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22" w:rsidRPr="00446F65" w:rsidRDefault="00103D22" w:rsidP="00317915">
      <w:pPr>
        <w:spacing w:line="240" w:lineRule="auto"/>
        <w:ind w:firstLine="567"/>
        <w:jc w:val="both"/>
        <w:rPr>
          <w:rFonts w:ascii="Times New Roman" w:hAnsi="Times New Roman" w:cs="Times New Roman"/>
          <w:b/>
          <w:sz w:val="26"/>
          <w:szCs w:val="26"/>
          <w:lang w:val="ro-MO"/>
        </w:rPr>
      </w:pPr>
      <w:bookmarkStart w:id="0" w:name="_GoBack"/>
      <w:bookmarkEnd w:id="0"/>
    </w:p>
    <w:p w:rsidR="00925DE7" w:rsidRPr="00446F65" w:rsidRDefault="00F82527" w:rsidP="00317915">
      <w:pPr>
        <w:spacing w:line="240" w:lineRule="auto"/>
        <w:ind w:firstLine="567"/>
        <w:jc w:val="center"/>
        <w:rPr>
          <w:rFonts w:ascii="Times New Roman" w:hAnsi="Times New Roman" w:cs="Times New Roman"/>
          <w:b/>
          <w:sz w:val="26"/>
          <w:szCs w:val="26"/>
          <w:lang w:val="ro-MO"/>
        </w:rPr>
      </w:pPr>
      <w:r w:rsidRPr="00446F65">
        <w:rPr>
          <w:rFonts w:ascii="Times New Roman" w:hAnsi="Times New Roman" w:cs="Times New Roman"/>
          <w:noProof/>
          <w:sz w:val="26"/>
          <w:szCs w:val="26"/>
        </w:rPr>
        <w:drawing>
          <wp:inline distT="0" distB="0" distL="0" distR="0" wp14:anchorId="1FEDFF4A" wp14:editId="08678F14">
            <wp:extent cx="1457325" cy="1777784"/>
            <wp:effectExtent l="0" t="0" r="0" b="0"/>
            <wp:docPr id="18" name="Picture 18" descr="https://encrypted-tbn2.gstatic.com/images?q=tbn:ANd9GcSI7b8wJaTJhzzgmg3-GGiuOECWzaHeYH3j9Cc-yqC9Niz47Och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ncrypted-tbn2.gstatic.com/images?q=tbn:ANd9GcSI7b8wJaTJhzzgmg3-GGiuOECWzaHeYH3j9Cc-yqC9Niz47OchQ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777784"/>
                    </a:xfrm>
                    <a:prstGeom prst="rect">
                      <a:avLst/>
                    </a:prstGeom>
                    <a:noFill/>
                    <a:ln>
                      <a:noFill/>
                    </a:ln>
                  </pic:spPr>
                </pic:pic>
              </a:graphicData>
            </a:graphic>
          </wp:inline>
        </w:drawing>
      </w:r>
    </w:p>
    <w:p w:rsidR="00103D22" w:rsidRPr="00446F65" w:rsidRDefault="00103D22" w:rsidP="00317915">
      <w:pPr>
        <w:spacing w:line="240" w:lineRule="auto"/>
        <w:ind w:firstLine="567"/>
        <w:jc w:val="both"/>
        <w:rPr>
          <w:rFonts w:ascii="Times New Roman" w:hAnsi="Times New Roman" w:cs="Times New Roman"/>
          <w:b/>
          <w:sz w:val="26"/>
          <w:szCs w:val="26"/>
          <w:lang w:val="ro-MO"/>
        </w:rPr>
      </w:pPr>
    </w:p>
    <w:p w:rsidR="00EC5AAE" w:rsidRPr="00446F65" w:rsidRDefault="00812F88" w:rsidP="00317915">
      <w:pPr>
        <w:tabs>
          <w:tab w:val="left" w:pos="3810"/>
        </w:tabs>
        <w:spacing w:line="240" w:lineRule="auto"/>
        <w:ind w:firstLine="567"/>
        <w:jc w:val="center"/>
        <w:rPr>
          <w:rFonts w:ascii="Times New Roman" w:hAnsi="Times New Roman" w:cs="Times New Roman"/>
          <w:b/>
          <w:sz w:val="26"/>
          <w:szCs w:val="26"/>
          <w:lang w:val="ro-MO"/>
        </w:rPr>
      </w:pPr>
      <w:r w:rsidRPr="00446F65">
        <w:rPr>
          <w:rFonts w:ascii="Times New Roman" w:hAnsi="Times New Roman" w:cs="Times New Roman"/>
          <w:b/>
          <w:sz w:val="26"/>
          <w:szCs w:val="26"/>
          <w:lang w:val="ro-MO"/>
        </w:rPr>
        <w:t xml:space="preserve">Analiza pieţei </w:t>
      </w:r>
      <w:r w:rsidR="00EC5AAE" w:rsidRPr="00446F65">
        <w:rPr>
          <w:rFonts w:ascii="Times New Roman" w:hAnsi="Times New Roman" w:cs="Times New Roman"/>
          <w:b/>
          <w:sz w:val="26"/>
          <w:szCs w:val="26"/>
          <w:lang w:val="ro-MO"/>
        </w:rPr>
        <w:t>de furnizare cu ridicata de servicii de acces local la puncte fixe și a pieței de furnizare cu ridicata de servicii de acces central la puncte fixe pentru produse de larg consum</w:t>
      </w:r>
      <w:r w:rsidR="00EC5AAE" w:rsidRPr="00446F65" w:rsidDel="00EC5AAE">
        <w:rPr>
          <w:rFonts w:ascii="Times New Roman" w:hAnsi="Times New Roman" w:cs="Times New Roman"/>
          <w:b/>
          <w:sz w:val="26"/>
          <w:szCs w:val="26"/>
          <w:lang w:val="ro-MO"/>
        </w:rPr>
        <w:t xml:space="preserve"> </w:t>
      </w:r>
    </w:p>
    <w:p w:rsidR="00556F93" w:rsidRPr="00446F65" w:rsidRDefault="00EC5AAE" w:rsidP="00317915">
      <w:pPr>
        <w:tabs>
          <w:tab w:val="left" w:pos="3810"/>
        </w:tabs>
        <w:spacing w:line="240" w:lineRule="auto"/>
        <w:ind w:firstLine="567"/>
        <w:jc w:val="center"/>
        <w:rPr>
          <w:rFonts w:ascii="Times New Roman" w:hAnsi="Times New Roman" w:cs="Times New Roman"/>
          <w:b/>
          <w:sz w:val="26"/>
          <w:szCs w:val="26"/>
          <w:lang w:val="ro-MO"/>
        </w:rPr>
      </w:pPr>
      <w:r w:rsidRPr="00446F65">
        <w:rPr>
          <w:rFonts w:ascii="Times New Roman" w:hAnsi="Times New Roman" w:cs="Times New Roman"/>
          <w:b/>
          <w:sz w:val="26"/>
          <w:szCs w:val="26"/>
          <w:lang w:val="ro-MO"/>
        </w:rPr>
        <w:tab/>
      </w:r>
      <w:r w:rsidRPr="00446F65">
        <w:rPr>
          <w:rFonts w:ascii="Times New Roman" w:hAnsi="Times New Roman" w:cs="Times New Roman"/>
          <w:b/>
          <w:sz w:val="26"/>
          <w:szCs w:val="26"/>
          <w:lang w:val="ro-MO"/>
        </w:rPr>
        <w:tab/>
        <w:t xml:space="preserve">  </w:t>
      </w:r>
    </w:p>
    <w:p w:rsidR="00103D22" w:rsidRPr="00446F65" w:rsidRDefault="00103D22" w:rsidP="00317915">
      <w:pPr>
        <w:spacing w:line="240" w:lineRule="auto"/>
        <w:jc w:val="center"/>
        <w:rPr>
          <w:rFonts w:ascii="Times New Roman" w:hAnsi="Times New Roman" w:cs="Times New Roman"/>
          <w:b/>
          <w:sz w:val="26"/>
          <w:szCs w:val="26"/>
          <w:lang w:val="ro-MO"/>
        </w:rPr>
      </w:pP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E13F46" w:rsidRPr="00446F65" w:rsidTr="00E13F46">
        <w:trPr>
          <w:jc w:val="center"/>
        </w:trPr>
        <w:tc>
          <w:tcPr>
            <w:tcW w:w="4644" w:type="dxa"/>
            <w:tcBorders>
              <w:top w:val="single" w:sz="4" w:space="0" w:color="auto"/>
              <w:left w:val="single" w:sz="4" w:space="0" w:color="auto"/>
              <w:bottom w:val="single" w:sz="4" w:space="0" w:color="auto"/>
              <w:right w:val="single" w:sz="4" w:space="0" w:color="auto"/>
            </w:tcBorders>
            <w:hideMark/>
          </w:tcPr>
          <w:p w:rsidR="00E13F46" w:rsidRPr="009A6487" w:rsidRDefault="00E13F46" w:rsidP="00317915">
            <w:pPr>
              <w:pStyle w:val="Subtitle1"/>
              <w:tabs>
                <w:tab w:val="left" w:pos="1080"/>
              </w:tabs>
              <w:jc w:val="both"/>
              <w:rPr>
                <w:b/>
                <w:sz w:val="26"/>
                <w:szCs w:val="26"/>
                <w:lang w:val="ro-MO"/>
              </w:rPr>
            </w:pPr>
            <w:r w:rsidRPr="009A6487">
              <w:rPr>
                <w:b/>
                <w:sz w:val="26"/>
                <w:szCs w:val="26"/>
                <w:lang w:val="ro-MO"/>
              </w:rPr>
              <w:t>Starea documentului:</w:t>
            </w:r>
          </w:p>
        </w:tc>
        <w:tc>
          <w:tcPr>
            <w:tcW w:w="4644" w:type="dxa"/>
            <w:tcBorders>
              <w:top w:val="single" w:sz="4" w:space="0" w:color="auto"/>
              <w:left w:val="single" w:sz="4" w:space="0" w:color="auto"/>
              <w:bottom w:val="single" w:sz="4" w:space="0" w:color="auto"/>
              <w:right w:val="single" w:sz="4" w:space="0" w:color="auto"/>
            </w:tcBorders>
            <w:hideMark/>
          </w:tcPr>
          <w:p w:rsidR="00E13F46" w:rsidRPr="009A6487" w:rsidRDefault="00CC216B" w:rsidP="00317915">
            <w:pPr>
              <w:pStyle w:val="Subtitle1"/>
              <w:tabs>
                <w:tab w:val="left" w:pos="1080"/>
              </w:tabs>
              <w:jc w:val="both"/>
              <w:rPr>
                <w:b/>
                <w:sz w:val="26"/>
                <w:szCs w:val="26"/>
                <w:lang w:val="ro-MO"/>
              </w:rPr>
            </w:pPr>
            <w:r>
              <w:rPr>
                <w:b/>
                <w:sz w:val="26"/>
                <w:szCs w:val="26"/>
                <w:lang w:val="ro-MO"/>
              </w:rPr>
              <w:t>Final</w:t>
            </w:r>
          </w:p>
        </w:tc>
      </w:tr>
      <w:tr w:rsidR="005159AC" w:rsidRPr="00446F65" w:rsidTr="00E13F46">
        <w:trPr>
          <w:jc w:val="center"/>
        </w:trPr>
        <w:tc>
          <w:tcPr>
            <w:tcW w:w="4644" w:type="dxa"/>
            <w:tcBorders>
              <w:top w:val="single" w:sz="4" w:space="0" w:color="auto"/>
              <w:left w:val="single" w:sz="4" w:space="0" w:color="auto"/>
              <w:bottom w:val="single" w:sz="4" w:space="0" w:color="auto"/>
              <w:right w:val="single" w:sz="4" w:space="0" w:color="auto"/>
            </w:tcBorders>
          </w:tcPr>
          <w:p w:rsidR="005159AC" w:rsidRPr="009A6487" w:rsidRDefault="00CC216B" w:rsidP="00317915">
            <w:pPr>
              <w:pStyle w:val="Subtitle1"/>
              <w:tabs>
                <w:tab w:val="left" w:pos="1080"/>
              </w:tabs>
              <w:jc w:val="both"/>
              <w:rPr>
                <w:b/>
                <w:sz w:val="26"/>
                <w:szCs w:val="26"/>
                <w:lang w:val="ro-MO"/>
              </w:rPr>
            </w:pPr>
            <w:r>
              <w:rPr>
                <w:b/>
                <w:sz w:val="26"/>
                <w:szCs w:val="26"/>
                <w:lang w:val="ro-MO"/>
              </w:rPr>
              <w:t xml:space="preserve">Data </w:t>
            </w:r>
            <w:r>
              <w:rPr>
                <w:b/>
                <w:sz w:val="26"/>
                <w:szCs w:val="26"/>
                <w:lang w:val="ro-RO"/>
              </w:rPr>
              <w:t>publicării</w:t>
            </w:r>
            <w:r w:rsidR="005159AC" w:rsidRPr="009A6487">
              <w:rPr>
                <w:b/>
                <w:sz w:val="26"/>
                <w:szCs w:val="26"/>
                <w:lang w:val="ro-MO"/>
              </w:rPr>
              <w:t>:</w:t>
            </w:r>
          </w:p>
        </w:tc>
        <w:tc>
          <w:tcPr>
            <w:tcW w:w="4644" w:type="dxa"/>
            <w:tcBorders>
              <w:top w:val="single" w:sz="4" w:space="0" w:color="auto"/>
              <w:left w:val="single" w:sz="4" w:space="0" w:color="auto"/>
              <w:bottom w:val="single" w:sz="4" w:space="0" w:color="auto"/>
              <w:right w:val="single" w:sz="4" w:space="0" w:color="auto"/>
            </w:tcBorders>
          </w:tcPr>
          <w:p w:rsidR="005159AC" w:rsidRPr="009A6487" w:rsidRDefault="0052722E" w:rsidP="003A4890">
            <w:pPr>
              <w:pStyle w:val="Subtitle1"/>
              <w:tabs>
                <w:tab w:val="left" w:pos="1080"/>
              </w:tabs>
              <w:jc w:val="both"/>
              <w:rPr>
                <w:b/>
                <w:sz w:val="26"/>
                <w:szCs w:val="26"/>
                <w:lang w:val="ro-MO"/>
              </w:rPr>
            </w:pPr>
            <w:r>
              <w:rPr>
                <w:b/>
                <w:sz w:val="26"/>
                <w:szCs w:val="26"/>
                <w:lang w:val="ro-MO"/>
              </w:rPr>
              <w:t>10</w:t>
            </w:r>
            <w:r w:rsidR="00CC216B">
              <w:rPr>
                <w:b/>
                <w:sz w:val="26"/>
                <w:szCs w:val="26"/>
                <w:lang w:val="ro-MO"/>
              </w:rPr>
              <w:t>.</w:t>
            </w:r>
            <w:r w:rsidR="00406193">
              <w:rPr>
                <w:b/>
                <w:sz w:val="26"/>
                <w:szCs w:val="26"/>
                <w:lang w:val="ro-MO"/>
              </w:rPr>
              <w:t>11</w:t>
            </w:r>
            <w:r w:rsidR="00CC216B" w:rsidRPr="009A6487">
              <w:rPr>
                <w:b/>
                <w:sz w:val="26"/>
                <w:szCs w:val="26"/>
                <w:lang w:val="ro-MO"/>
              </w:rPr>
              <w:t>.2017</w:t>
            </w:r>
          </w:p>
        </w:tc>
      </w:tr>
    </w:tbl>
    <w:p w:rsidR="00B14641" w:rsidRPr="00446F65" w:rsidRDefault="00B14641" w:rsidP="00317915">
      <w:pPr>
        <w:spacing w:line="240" w:lineRule="auto"/>
        <w:ind w:firstLine="567"/>
        <w:jc w:val="both"/>
        <w:rPr>
          <w:rFonts w:ascii="Times New Roman" w:hAnsi="Times New Roman" w:cs="Times New Roman"/>
          <w:b/>
          <w:sz w:val="26"/>
          <w:szCs w:val="26"/>
          <w:lang w:val="ro-MO"/>
        </w:rPr>
      </w:pPr>
    </w:p>
    <w:p w:rsidR="00B14641" w:rsidRPr="00446F65" w:rsidRDefault="00B14641" w:rsidP="00317915">
      <w:pPr>
        <w:spacing w:line="240" w:lineRule="auto"/>
        <w:rPr>
          <w:rFonts w:ascii="Times New Roman" w:hAnsi="Times New Roman" w:cs="Times New Roman"/>
          <w:b/>
          <w:sz w:val="26"/>
          <w:szCs w:val="26"/>
          <w:lang w:val="ro-MO"/>
        </w:rPr>
      </w:pPr>
      <w:r w:rsidRPr="00446F65">
        <w:rPr>
          <w:rFonts w:ascii="Times New Roman" w:hAnsi="Times New Roman" w:cs="Times New Roman"/>
          <w:b/>
          <w:sz w:val="26"/>
          <w:szCs w:val="26"/>
          <w:lang w:val="ro-MO"/>
        </w:rPr>
        <w:br w:type="page"/>
      </w:r>
    </w:p>
    <w:p w:rsidR="009A6487" w:rsidRPr="009A6487" w:rsidRDefault="001648E5">
      <w:pPr>
        <w:pStyle w:val="TOC1"/>
        <w:rPr>
          <w:rFonts w:asciiTheme="minorHAnsi" w:eastAsiaTheme="minorEastAsia" w:hAnsiTheme="minorHAnsi"/>
          <w:b w:val="0"/>
          <w:noProof/>
          <w:sz w:val="22"/>
        </w:rPr>
      </w:pPr>
      <w:r w:rsidRPr="00446F65">
        <w:rPr>
          <w:rFonts w:cs="Times New Roman"/>
          <w:b w:val="0"/>
          <w:sz w:val="26"/>
          <w:szCs w:val="26"/>
          <w:lang w:val="ro-MO"/>
        </w:rPr>
        <w:lastRenderedPageBreak/>
        <w:fldChar w:fldCharType="begin"/>
      </w:r>
      <w:r w:rsidRPr="00446F65">
        <w:rPr>
          <w:rFonts w:cs="Times New Roman"/>
          <w:b w:val="0"/>
          <w:sz w:val="26"/>
          <w:szCs w:val="26"/>
          <w:lang w:val="ro-MO"/>
        </w:rPr>
        <w:instrText xml:space="preserve"> TOC \o "1-5" \h \z \u </w:instrText>
      </w:r>
      <w:r w:rsidRPr="00446F65">
        <w:rPr>
          <w:rFonts w:cs="Times New Roman"/>
          <w:b w:val="0"/>
          <w:sz w:val="26"/>
          <w:szCs w:val="26"/>
          <w:lang w:val="ro-MO"/>
        </w:rPr>
        <w:fldChar w:fldCharType="separate"/>
      </w:r>
      <w:hyperlink w:anchor="_Toc492907361" w:history="1">
        <w:r w:rsidR="009A6487" w:rsidRPr="009A6487">
          <w:rPr>
            <w:rStyle w:val="Hyperlink"/>
            <w:rFonts w:cs="Times New Roman"/>
            <w:b w:val="0"/>
            <w:noProof/>
            <w:lang w:val="ro-MO"/>
          </w:rPr>
          <w:t>1.</w:t>
        </w:r>
        <w:r w:rsidR="009A6487" w:rsidRPr="009A6487">
          <w:rPr>
            <w:rFonts w:asciiTheme="minorHAnsi" w:eastAsiaTheme="minorEastAsia" w:hAnsiTheme="minorHAnsi"/>
            <w:b w:val="0"/>
            <w:noProof/>
            <w:sz w:val="22"/>
          </w:rPr>
          <w:tab/>
        </w:r>
        <w:r w:rsidR="009A6487" w:rsidRPr="009A6487">
          <w:rPr>
            <w:rStyle w:val="Hyperlink"/>
            <w:rFonts w:cs="Times New Roman"/>
            <w:b w:val="0"/>
            <w:noProof/>
            <w:lang w:val="ro-MO"/>
          </w:rPr>
          <w:t>Introducere</w:t>
        </w:r>
        <w:r w:rsidR="009A6487" w:rsidRPr="009A6487">
          <w:rPr>
            <w:b w:val="0"/>
            <w:noProof/>
            <w:webHidden/>
          </w:rPr>
          <w:tab/>
        </w:r>
        <w:r w:rsidR="009A6487" w:rsidRPr="009A6487">
          <w:rPr>
            <w:b w:val="0"/>
            <w:noProof/>
            <w:webHidden/>
          </w:rPr>
          <w:fldChar w:fldCharType="begin"/>
        </w:r>
        <w:r w:rsidR="009A6487" w:rsidRPr="009A6487">
          <w:rPr>
            <w:b w:val="0"/>
            <w:noProof/>
            <w:webHidden/>
          </w:rPr>
          <w:instrText xml:space="preserve"> PAGEREF _Toc492907361 \h </w:instrText>
        </w:r>
        <w:r w:rsidR="009A6487" w:rsidRPr="009A6487">
          <w:rPr>
            <w:b w:val="0"/>
            <w:noProof/>
            <w:webHidden/>
          </w:rPr>
        </w:r>
        <w:r w:rsidR="009A6487" w:rsidRPr="009A6487">
          <w:rPr>
            <w:b w:val="0"/>
            <w:noProof/>
            <w:webHidden/>
          </w:rPr>
          <w:fldChar w:fldCharType="separate"/>
        </w:r>
        <w:r w:rsidR="00F160BA">
          <w:rPr>
            <w:b w:val="0"/>
            <w:noProof/>
            <w:webHidden/>
          </w:rPr>
          <w:t>4</w:t>
        </w:r>
        <w:r w:rsidR="009A6487" w:rsidRPr="009A6487">
          <w:rPr>
            <w:b w:val="0"/>
            <w:noProof/>
            <w:webHidden/>
          </w:rPr>
          <w:fldChar w:fldCharType="end"/>
        </w:r>
      </w:hyperlink>
    </w:p>
    <w:p w:rsidR="009A6487" w:rsidRPr="009A6487" w:rsidRDefault="009A602F">
      <w:pPr>
        <w:pStyle w:val="TOC1"/>
        <w:rPr>
          <w:rFonts w:asciiTheme="minorHAnsi" w:eastAsiaTheme="minorEastAsia" w:hAnsiTheme="minorHAnsi"/>
          <w:b w:val="0"/>
          <w:noProof/>
          <w:sz w:val="22"/>
        </w:rPr>
      </w:pPr>
      <w:hyperlink w:anchor="_Toc492907362" w:history="1">
        <w:r w:rsidR="009A6487" w:rsidRPr="009A6487">
          <w:rPr>
            <w:rStyle w:val="Hyperlink"/>
            <w:rFonts w:cs="Times New Roman"/>
            <w:b w:val="0"/>
            <w:noProof/>
            <w:lang w:val="ro-MO"/>
          </w:rPr>
          <w:t>2.</w:t>
        </w:r>
        <w:r w:rsidR="009A6487" w:rsidRPr="009A6487">
          <w:rPr>
            <w:rFonts w:asciiTheme="minorHAnsi" w:eastAsiaTheme="minorEastAsia" w:hAnsiTheme="minorHAnsi"/>
            <w:b w:val="0"/>
            <w:noProof/>
            <w:sz w:val="22"/>
          </w:rPr>
          <w:tab/>
        </w:r>
        <w:r w:rsidR="009A6487" w:rsidRPr="009A6487">
          <w:rPr>
            <w:rStyle w:val="Hyperlink"/>
            <w:rFonts w:cs="Times New Roman"/>
            <w:b w:val="0"/>
            <w:noProof/>
            <w:lang w:val="ro-MO"/>
          </w:rPr>
          <w:t>Analiza pieței cu amănuntul</w:t>
        </w:r>
        <w:r w:rsidR="009A6487" w:rsidRPr="009A6487">
          <w:rPr>
            <w:b w:val="0"/>
            <w:noProof/>
            <w:webHidden/>
          </w:rPr>
          <w:tab/>
        </w:r>
        <w:r w:rsidR="009A6487" w:rsidRPr="009A6487">
          <w:rPr>
            <w:b w:val="0"/>
            <w:noProof/>
            <w:webHidden/>
          </w:rPr>
          <w:fldChar w:fldCharType="begin"/>
        </w:r>
        <w:r w:rsidR="009A6487" w:rsidRPr="009A6487">
          <w:rPr>
            <w:b w:val="0"/>
            <w:noProof/>
            <w:webHidden/>
          </w:rPr>
          <w:instrText xml:space="preserve"> PAGEREF _Toc492907362 \h </w:instrText>
        </w:r>
        <w:r w:rsidR="009A6487" w:rsidRPr="009A6487">
          <w:rPr>
            <w:b w:val="0"/>
            <w:noProof/>
            <w:webHidden/>
          </w:rPr>
        </w:r>
        <w:r w:rsidR="009A6487" w:rsidRPr="009A6487">
          <w:rPr>
            <w:b w:val="0"/>
            <w:noProof/>
            <w:webHidden/>
          </w:rPr>
          <w:fldChar w:fldCharType="separate"/>
        </w:r>
        <w:r w:rsidR="00F160BA">
          <w:rPr>
            <w:b w:val="0"/>
            <w:noProof/>
            <w:webHidden/>
          </w:rPr>
          <w:t>9</w:t>
        </w:r>
        <w:r w:rsidR="009A6487" w:rsidRPr="009A6487">
          <w:rPr>
            <w:b w:val="0"/>
            <w:noProof/>
            <w:webHidden/>
          </w:rPr>
          <w:fldChar w:fldCharType="end"/>
        </w:r>
      </w:hyperlink>
    </w:p>
    <w:p w:rsidR="009A6487" w:rsidRPr="009A6487" w:rsidRDefault="009A602F">
      <w:pPr>
        <w:pStyle w:val="TOC2"/>
        <w:tabs>
          <w:tab w:val="right" w:leader="dot" w:pos="10245"/>
        </w:tabs>
        <w:rPr>
          <w:rFonts w:asciiTheme="minorHAnsi" w:eastAsiaTheme="minorEastAsia" w:hAnsiTheme="minorHAnsi"/>
          <w:noProof/>
          <w:sz w:val="22"/>
        </w:rPr>
      </w:pPr>
      <w:hyperlink w:anchor="_Toc492907363" w:history="1">
        <w:r w:rsidR="009A6487" w:rsidRPr="009A6487">
          <w:rPr>
            <w:rStyle w:val="Hyperlink"/>
            <w:rFonts w:cs="Times New Roman"/>
            <w:noProof/>
            <w:lang w:val="ro-MO"/>
          </w:rPr>
          <w:t>2.1. Relația dintre piețele WLA, WCA și piețele cu amănuntul</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_Toc492907363 \h </w:instrText>
        </w:r>
        <w:r w:rsidR="009A6487" w:rsidRPr="009A6487">
          <w:rPr>
            <w:noProof/>
            <w:webHidden/>
          </w:rPr>
        </w:r>
        <w:r w:rsidR="009A6487" w:rsidRPr="009A6487">
          <w:rPr>
            <w:noProof/>
            <w:webHidden/>
          </w:rPr>
          <w:fldChar w:fldCharType="separate"/>
        </w:r>
        <w:r w:rsidR="00F160BA">
          <w:rPr>
            <w:noProof/>
            <w:webHidden/>
          </w:rPr>
          <w:t>9</w:t>
        </w:r>
        <w:r w:rsidR="009A6487" w:rsidRPr="009A6487">
          <w:rPr>
            <w:noProof/>
            <w:webHidden/>
          </w:rPr>
          <w:fldChar w:fldCharType="end"/>
        </w:r>
      </w:hyperlink>
    </w:p>
    <w:p w:rsidR="009A6487" w:rsidRPr="009A6487" w:rsidRDefault="009A602F">
      <w:pPr>
        <w:pStyle w:val="TOC2"/>
        <w:tabs>
          <w:tab w:val="right" w:leader="dot" w:pos="10245"/>
        </w:tabs>
        <w:rPr>
          <w:rFonts w:asciiTheme="minorHAnsi" w:eastAsiaTheme="minorEastAsia" w:hAnsiTheme="minorHAnsi"/>
          <w:noProof/>
          <w:sz w:val="22"/>
        </w:rPr>
      </w:pPr>
      <w:hyperlink w:anchor="_Toc492907364" w:history="1">
        <w:r w:rsidR="009A6487" w:rsidRPr="009A6487">
          <w:rPr>
            <w:rStyle w:val="Hyperlink"/>
            <w:rFonts w:cs="Times New Roman"/>
            <w:noProof/>
            <w:lang w:val="ro-MO"/>
          </w:rPr>
          <w:t>2.2. Caracteristicile și evoluția pieței cu amănuntul a serviciilor în bandă largă la puncte fixe</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_Toc492907364 \h </w:instrText>
        </w:r>
        <w:r w:rsidR="009A6487" w:rsidRPr="009A6487">
          <w:rPr>
            <w:noProof/>
            <w:webHidden/>
          </w:rPr>
        </w:r>
        <w:r w:rsidR="009A6487" w:rsidRPr="009A6487">
          <w:rPr>
            <w:noProof/>
            <w:webHidden/>
          </w:rPr>
          <w:fldChar w:fldCharType="separate"/>
        </w:r>
        <w:r w:rsidR="00F160BA">
          <w:rPr>
            <w:noProof/>
            <w:webHidden/>
          </w:rPr>
          <w:t>12</w:t>
        </w:r>
        <w:r w:rsidR="009A6487" w:rsidRPr="009A6487">
          <w:rPr>
            <w:noProof/>
            <w:webHidden/>
          </w:rPr>
          <w:fldChar w:fldCharType="end"/>
        </w:r>
      </w:hyperlink>
    </w:p>
    <w:p w:rsidR="009A6487" w:rsidRPr="009A6487" w:rsidRDefault="009A602F">
      <w:pPr>
        <w:pStyle w:val="TOC2"/>
        <w:tabs>
          <w:tab w:val="right" w:leader="dot" w:pos="10245"/>
        </w:tabs>
        <w:rPr>
          <w:rFonts w:asciiTheme="minorHAnsi" w:eastAsiaTheme="minorEastAsia" w:hAnsiTheme="minorHAnsi"/>
          <w:noProof/>
          <w:sz w:val="22"/>
        </w:rPr>
      </w:pPr>
      <w:hyperlink w:anchor="_Toc492907365" w:history="1">
        <w:r w:rsidR="009A6487" w:rsidRPr="009A6487">
          <w:rPr>
            <w:rStyle w:val="Hyperlink"/>
            <w:rFonts w:cs="Times New Roman"/>
            <w:noProof/>
            <w:lang w:val="ro-MO"/>
          </w:rPr>
          <w:t>2.3 Piața produsului cu amănuntul</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_Toc492907365 \h </w:instrText>
        </w:r>
        <w:r w:rsidR="009A6487" w:rsidRPr="009A6487">
          <w:rPr>
            <w:noProof/>
            <w:webHidden/>
          </w:rPr>
        </w:r>
        <w:r w:rsidR="009A6487" w:rsidRPr="009A6487">
          <w:rPr>
            <w:noProof/>
            <w:webHidden/>
          </w:rPr>
          <w:fldChar w:fldCharType="separate"/>
        </w:r>
        <w:r w:rsidR="00F160BA">
          <w:rPr>
            <w:noProof/>
            <w:webHidden/>
          </w:rPr>
          <w:t>15</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66" w:history="1">
        <w:r w:rsidR="009A6487" w:rsidRPr="009A6487">
          <w:rPr>
            <w:rStyle w:val="Hyperlink"/>
            <w:rFonts w:ascii="Times New Roman" w:hAnsi="Times New Roman" w:cs="Times New Roman"/>
            <w:bCs/>
            <w:noProof/>
            <w:lang w:val="ro-MO"/>
          </w:rPr>
          <w:t>2.1.3.1 Produsul focal cu amănuntul</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_Toc492907366 \h </w:instrText>
        </w:r>
        <w:r w:rsidR="009A6487" w:rsidRPr="009A6487">
          <w:rPr>
            <w:noProof/>
            <w:webHidden/>
          </w:rPr>
        </w:r>
        <w:r w:rsidR="009A6487" w:rsidRPr="009A6487">
          <w:rPr>
            <w:noProof/>
            <w:webHidden/>
          </w:rPr>
          <w:fldChar w:fldCharType="separate"/>
        </w:r>
        <w:r w:rsidR="00F160BA">
          <w:rPr>
            <w:noProof/>
            <w:webHidden/>
          </w:rPr>
          <w:t>15</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67" w:history="1">
        <w:r w:rsidR="009A6487" w:rsidRPr="009A6487">
          <w:rPr>
            <w:rStyle w:val="Hyperlink"/>
            <w:rFonts w:ascii="Times New Roman" w:hAnsi="Times New Roman" w:cs="Times New Roman"/>
            <w:noProof/>
            <w:lang w:val="ro-MO"/>
          </w:rPr>
          <w:t>2.1.3.2</w:t>
        </w:r>
        <w:r w:rsidR="009A6487" w:rsidRPr="009A6487">
          <w:rPr>
            <w:rStyle w:val="Hyperlink"/>
            <w:rFonts w:ascii="Times New Roman" w:hAnsi="Times New Roman" w:cs="Times New Roman"/>
            <w:bCs/>
            <w:noProof/>
            <w:lang w:val="ro-MO"/>
          </w:rPr>
          <w:t xml:space="preserve">  Lista substituenţilor produsului focal cu amănuntul</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_Toc492907367 \h </w:instrText>
        </w:r>
        <w:r w:rsidR="009A6487" w:rsidRPr="009A6487">
          <w:rPr>
            <w:noProof/>
            <w:webHidden/>
          </w:rPr>
        </w:r>
        <w:r w:rsidR="009A6487" w:rsidRPr="009A6487">
          <w:rPr>
            <w:noProof/>
            <w:webHidden/>
          </w:rPr>
          <w:fldChar w:fldCharType="separate"/>
        </w:r>
        <w:r w:rsidR="00F160BA">
          <w:rPr>
            <w:noProof/>
            <w:webHidden/>
          </w:rPr>
          <w:t>16</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68" w:history="1">
        <w:r w:rsidR="009A6487" w:rsidRPr="009A6487">
          <w:rPr>
            <w:rStyle w:val="Hyperlink"/>
            <w:rFonts w:ascii="Times New Roman" w:hAnsi="Times New Roman" w:cs="Times New Roman"/>
            <w:noProof/>
            <w:lang w:val="ro-MO"/>
          </w:rPr>
          <w:t>2.1.3.3  Sumarul analizei pieţei produsului cu amănuntul</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_Toc492907368 \h </w:instrText>
        </w:r>
        <w:r w:rsidR="009A6487" w:rsidRPr="009A6487">
          <w:rPr>
            <w:noProof/>
            <w:webHidden/>
          </w:rPr>
        </w:r>
        <w:r w:rsidR="009A6487" w:rsidRPr="009A6487">
          <w:rPr>
            <w:noProof/>
            <w:webHidden/>
          </w:rPr>
          <w:fldChar w:fldCharType="separate"/>
        </w:r>
        <w:r w:rsidR="00F160BA">
          <w:rPr>
            <w:noProof/>
            <w:webHidden/>
          </w:rPr>
          <w:t>22</w:t>
        </w:r>
        <w:r w:rsidR="009A6487" w:rsidRPr="009A6487">
          <w:rPr>
            <w:noProof/>
            <w:webHidden/>
          </w:rPr>
          <w:fldChar w:fldCharType="end"/>
        </w:r>
      </w:hyperlink>
    </w:p>
    <w:p w:rsidR="009A6487" w:rsidRPr="009A6487" w:rsidRDefault="009A602F">
      <w:pPr>
        <w:pStyle w:val="TOC1"/>
        <w:rPr>
          <w:rFonts w:asciiTheme="minorHAnsi" w:eastAsiaTheme="minorEastAsia" w:hAnsiTheme="minorHAnsi"/>
          <w:b w:val="0"/>
          <w:noProof/>
          <w:sz w:val="22"/>
        </w:rPr>
      </w:pPr>
      <w:hyperlink w:anchor="_Toc492907369" w:history="1">
        <w:r w:rsidR="009A6487" w:rsidRPr="009A6487">
          <w:rPr>
            <w:rStyle w:val="Hyperlink"/>
            <w:rFonts w:cs="Times New Roman"/>
            <w:b w:val="0"/>
            <w:noProof/>
            <w:lang w:val="ro-MO"/>
          </w:rPr>
          <w:t>3.</w:t>
        </w:r>
        <w:r w:rsidR="009A6487" w:rsidRPr="009A6487">
          <w:rPr>
            <w:rFonts w:asciiTheme="minorHAnsi" w:eastAsiaTheme="minorEastAsia" w:hAnsiTheme="minorHAnsi"/>
            <w:b w:val="0"/>
            <w:noProof/>
            <w:sz w:val="22"/>
          </w:rPr>
          <w:tab/>
        </w:r>
        <w:r w:rsidR="009A6487" w:rsidRPr="009A6487">
          <w:rPr>
            <w:rStyle w:val="Hyperlink"/>
            <w:rFonts w:cs="Times New Roman"/>
            <w:b w:val="0"/>
            <w:noProof/>
            <w:lang w:val="ro-MO"/>
          </w:rPr>
          <w:t>Piețele cu ridicata</w:t>
        </w:r>
        <w:r w:rsidR="009A6487" w:rsidRPr="009A6487">
          <w:rPr>
            <w:b w:val="0"/>
            <w:noProof/>
            <w:webHidden/>
          </w:rPr>
          <w:tab/>
        </w:r>
        <w:r w:rsidR="009A6487" w:rsidRPr="009A6487">
          <w:rPr>
            <w:b w:val="0"/>
            <w:noProof/>
            <w:webHidden/>
          </w:rPr>
          <w:fldChar w:fldCharType="begin"/>
        </w:r>
        <w:r w:rsidR="009A6487" w:rsidRPr="009A6487">
          <w:rPr>
            <w:b w:val="0"/>
            <w:noProof/>
            <w:webHidden/>
          </w:rPr>
          <w:instrText xml:space="preserve"> PAGEREF _Toc492907369 \h </w:instrText>
        </w:r>
        <w:r w:rsidR="009A6487" w:rsidRPr="009A6487">
          <w:rPr>
            <w:b w:val="0"/>
            <w:noProof/>
            <w:webHidden/>
          </w:rPr>
        </w:r>
        <w:r w:rsidR="009A6487" w:rsidRPr="009A6487">
          <w:rPr>
            <w:b w:val="0"/>
            <w:noProof/>
            <w:webHidden/>
          </w:rPr>
          <w:fldChar w:fldCharType="separate"/>
        </w:r>
        <w:r w:rsidR="00F160BA">
          <w:rPr>
            <w:b w:val="0"/>
            <w:noProof/>
            <w:webHidden/>
          </w:rPr>
          <w:t>23</w:t>
        </w:r>
        <w:r w:rsidR="009A6487" w:rsidRPr="009A6487">
          <w:rPr>
            <w:b w:val="0"/>
            <w:noProof/>
            <w:webHidden/>
          </w:rPr>
          <w:fldChar w:fldCharType="end"/>
        </w:r>
      </w:hyperlink>
    </w:p>
    <w:p w:rsidR="009A6487" w:rsidRPr="009A6487" w:rsidRDefault="009A602F">
      <w:pPr>
        <w:pStyle w:val="TOC2"/>
        <w:tabs>
          <w:tab w:val="right" w:leader="dot" w:pos="10245"/>
        </w:tabs>
        <w:rPr>
          <w:rFonts w:asciiTheme="minorHAnsi" w:eastAsiaTheme="minorEastAsia" w:hAnsiTheme="minorHAnsi"/>
          <w:noProof/>
          <w:sz w:val="22"/>
        </w:rPr>
      </w:pPr>
      <w:hyperlink w:anchor="_Toc492907370" w:history="1">
        <w:r w:rsidR="009A6487" w:rsidRPr="009A6487">
          <w:rPr>
            <w:rStyle w:val="Hyperlink"/>
            <w:rFonts w:cs="Times New Roman"/>
            <w:noProof/>
            <w:lang w:val="ro-MO"/>
          </w:rPr>
          <w:t>3.1 Identificarea Pieței furnizării cu ridicata de servicii de acces local la puncte fixe (WLA)</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_Toc492907370 \h </w:instrText>
        </w:r>
        <w:r w:rsidR="009A6487" w:rsidRPr="009A6487">
          <w:rPr>
            <w:noProof/>
            <w:webHidden/>
          </w:rPr>
        </w:r>
        <w:r w:rsidR="009A6487" w:rsidRPr="009A6487">
          <w:rPr>
            <w:noProof/>
            <w:webHidden/>
          </w:rPr>
          <w:fldChar w:fldCharType="separate"/>
        </w:r>
        <w:r w:rsidR="00F160BA">
          <w:rPr>
            <w:noProof/>
            <w:webHidden/>
          </w:rPr>
          <w:t>26</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371" w:history="1">
        <w:r w:rsidR="009A6487" w:rsidRPr="009A6487">
          <w:rPr>
            <w:rStyle w:val="Hyperlink"/>
            <w:rFonts w:cs="Times New Roman"/>
            <w:noProof/>
            <w:lang w:val="ro-MO"/>
          </w:rPr>
          <w:t>3.1.1 Definirea pieței produsului</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_Toc492907371 \h </w:instrText>
        </w:r>
        <w:r w:rsidR="009A6487" w:rsidRPr="009A6487">
          <w:rPr>
            <w:noProof/>
            <w:webHidden/>
          </w:rPr>
        </w:r>
        <w:r w:rsidR="009A6487" w:rsidRPr="009A6487">
          <w:rPr>
            <w:noProof/>
            <w:webHidden/>
          </w:rPr>
          <w:fldChar w:fldCharType="separate"/>
        </w:r>
        <w:r w:rsidR="00F160BA">
          <w:rPr>
            <w:noProof/>
            <w:webHidden/>
          </w:rPr>
          <w:t>26</w:t>
        </w:r>
        <w:r w:rsidR="009A6487" w:rsidRPr="009A6487">
          <w:rPr>
            <w:noProof/>
            <w:webHidden/>
          </w:rPr>
          <w:fldChar w:fldCharType="end"/>
        </w:r>
      </w:hyperlink>
    </w:p>
    <w:p w:rsidR="009A6487" w:rsidRPr="009A6487" w:rsidRDefault="009A602F">
      <w:pPr>
        <w:pStyle w:val="TOC5"/>
        <w:tabs>
          <w:tab w:val="left" w:pos="1760"/>
          <w:tab w:val="right" w:leader="dot" w:pos="10245"/>
        </w:tabs>
        <w:rPr>
          <w:rFonts w:eastAsiaTheme="minorEastAsia"/>
          <w:noProof/>
        </w:rPr>
      </w:pPr>
      <w:hyperlink w:anchor="_Toc492907372" w:history="1">
        <w:r w:rsidR="009A6487" w:rsidRPr="009A6487">
          <w:rPr>
            <w:rStyle w:val="Hyperlink"/>
            <w:rFonts w:ascii="Times New Roman" w:hAnsi="Times New Roman" w:cs="Times New Roman"/>
            <w:noProof/>
            <w:lang w:val="ro-MO"/>
          </w:rPr>
          <w:t>3.1.1.1</w:t>
        </w:r>
        <w:r w:rsidR="009A6487" w:rsidRPr="009A6487">
          <w:rPr>
            <w:rFonts w:eastAsiaTheme="minorEastAsia"/>
            <w:noProof/>
          </w:rPr>
          <w:tab/>
        </w:r>
        <w:r w:rsidR="009A6487" w:rsidRPr="009A6487">
          <w:rPr>
            <w:rStyle w:val="Hyperlink"/>
            <w:rFonts w:ascii="Times New Roman" w:hAnsi="Times New Roman" w:cs="Times New Roman"/>
            <w:noProof/>
            <w:lang w:val="ro-MO"/>
          </w:rPr>
          <w:t>Produsul focal pentru piața WLA</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_Toc492907372 \h </w:instrText>
        </w:r>
        <w:r w:rsidR="009A6487" w:rsidRPr="009A6487">
          <w:rPr>
            <w:noProof/>
            <w:webHidden/>
          </w:rPr>
        </w:r>
        <w:r w:rsidR="009A6487" w:rsidRPr="009A6487">
          <w:rPr>
            <w:noProof/>
            <w:webHidden/>
          </w:rPr>
          <w:fldChar w:fldCharType="separate"/>
        </w:r>
        <w:r w:rsidR="00F160BA">
          <w:rPr>
            <w:noProof/>
            <w:webHidden/>
          </w:rPr>
          <w:t>29</w:t>
        </w:r>
        <w:r w:rsidR="009A6487" w:rsidRPr="009A6487">
          <w:rPr>
            <w:noProof/>
            <w:webHidden/>
          </w:rPr>
          <w:fldChar w:fldCharType="end"/>
        </w:r>
      </w:hyperlink>
    </w:p>
    <w:p w:rsidR="009A6487" w:rsidRPr="009A6487" w:rsidRDefault="009A602F">
      <w:pPr>
        <w:pStyle w:val="TOC5"/>
        <w:tabs>
          <w:tab w:val="left" w:pos="1760"/>
          <w:tab w:val="right" w:leader="dot" w:pos="10245"/>
        </w:tabs>
        <w:rPr>
          <w:rFonts w:eastAsiaTheme="minorEastAsia"/>
          <w:noProof/>
        </w:rPr>
      </w:pPr>
      <w:hyperlink w:anchor="_Toc492907373" w:history="1">
        <w:r w:rsidR="009A6487" w:rsidRPr="009A6487">
          <w:rPr>
            <w:rStyle w:val="Hyperlink"/>
            <w:rFonts w:ascii="Times New Roman" w:hAnsi="Times New Roman" w:cs="Times New Roman"/>
            <w:noProof/>
            <w:lang w:val="ro-MO"/>
          </w:rPr>
          <w:t>3.1.1.2</w:t>
        </w:r>
        <w:r w:rsidR="009A6487" w:rsidRPr="009A6487">
          <w:rPr>
            <w:rFonts w:eastAsiaTheme="minorEastAsia"/>
            <w:noProof/>
          </w:rPr>
          <w:tab/>
        </w:r>
        <w:r w:rsidR="009A6487" w:rsidRPr="009A6487">
          <w:rPr>
            <w:rStyle w:val="Hyperlink"/>
            <w:rFonts w:ascii="Times New Roman" w:hAnsi="Times New Roman" w:cs="Times New Roman"/>
            <w:noProof/>
            <w:lang w:val="ro-MO"/>
          </w:rPr>
          <w:t>Lista substituenţilor produsului focal cu ridicata</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_Toc492907373 \h </w:instrText>
        </w:r>
        <w:r w:rsidR="009A6487" w:rsidRPr="009A6487">
          <w:rPr>
            <w:noProof/>
            <w:webHidden/>
          </w:rPr>
        </w:r>
        <w:r w:rsidR="009A6487" w:rsidRPr="009A6487">
          <w:rPr>
            <w:noProof/>
            <w:webHidden/>
          </w:rPr>
          <w:fldChar w:fldCharType="separate"/>
        </w:r>
        <w:r w:rsidR="00F160BA">
          <w:rPr>
            <w:noProof/>
            <w:webHidden/>
          </w:rPr>
          <w:t>29</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74" w:history="1">
        <w:r w:rsidR="009A6487" w:rsidRPr="009A6487">
          <w:rPr>
            <w:rStyle w:val="Hyperlink"/>
            <w:rFonts w:ascii="Times New Roman" w:hAnsi="Times New Roman" w:cs="Times New Roman"/>
            <w:noProof/>
            <w:lang w:val="ro-MO"/>
          </w:rPr>
          <w:t>3.1.1.3  Sumarul analizei pieţei produsului</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_Toc492907374 \h </w:instrText>
        </w:r>
        <w:r w:rsidR="009A6487" w:rsidRPr="009A6487">
          <w:rPr>
            <w:noProof/>
            <w:webHidden/>
          </w:rPr>
        </w:r>
        <w:r w:rsidR="009A6487" w:rsidRPr="009A6487">
          <w:rPr>
            <w:noProof/>
            <w:webHidden/>
          </w:rPr>
          <w:fldChar w:fldCharType="separate"/>
        </w:r>
        <w:r w:rsidR="00F160BA">
          <w:rPr>
            <w:noProof/>
            <w:webHidden/>
          </w:rPr>
          <w:t>33</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375" w:history="1">
        <w:r w:rsidR="009A6487" w:rsidRPr="009A6487">
          <w:rPr>
            <w:rStyle w:val="Hyperlink"/>
            <w:rFonts w:cs="Times New Roman"/>
            <w:noProof/>
            <w:lang w:val="ro-MO"/>
          </w:rPr>
          <w:t>3.1.2 Piaţa geografică cu ridicata</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_Toc492907375 \h </w:instrText>
        </w:r>
        <w:r w:rsidR="009A6487" w:rsidRPr="009A6487">
          <w:rPr>
            <w:noProof/>
            <w:webHidden/>
          </w:rPr>
        </w:r>
        <w:r w:rsidR="009A6487" w:rsidRPr="009A6487">
          <w:rPr>
            <w:noProof/>
            <w:webHidden/>
          </w:rPr>
          <w:fldChar w:fldCharType="separate"/>
        </w:r>
        <w:r w:rsidR="00F160BA">
          <w:rPr>
            <w:noProof/>
            <w:webHidden/>
          </w:rPr>
          <w:t>34</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376" w:history="1">
        <w:r w:rsidR="009A6487" w:rsidRPr="009A6487">
          <w:rPr>
            <w:rStyle w:val="Hyperlink"/>
            <w:rFonts w:cs="Times New Roman"/>
            <w:noProof/>
            <w:lang w:val="ro-MO"/>
          </w:rPr>
          <w:t>3.1.3 Aplicarea testului celor trei criterii</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_Toc492907376 \h </w:instrText>
        </w:r>
        <w:r w:rsidR="009A6487" w:rsidRPr="009A6487">
          <w:rPr>
            <w:noProof/>
            <w:webHidden/>
          </w:rPr>
        </w:r>
        <w:r w:rsidR="009A6487" w:rsidRPr="009A6487">
          <w:rPr>
            <w:noProof/>
            <w:webHidden/>
          </w:rPr>
          <w:fldChar w:fldCharType="separate"/>
        </w:r>
        <w:r w:rsidR="00F160BA">
          <w:rPr>
            <w:noProof/>
            <w:webHidden/>
          </w:rPr>
          <w:t>35</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77" w:history="1">
        <w:r w:rsidR="009A6487" w:rsidRPr="009A6487">
          <w:rPr>
            <w:rStyle w:val="Hyperlink"/>
            <w:rFonts w:ascii="Times New Roman" w:hAnsi="Times New Roman" w:cs="Times New Roman"/>
            <w:noProof/>
            <w:lang w:val="ro-MO"/>
          </w:rPr>
          <w:t>3.1.3.1  Barierele de intrare şi ieşire</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_Toc492907377 \h </w:instrText>
        </w:r>
        <w:r w:rsidR="009A6487" w:rsidRPr="009A6487">
          <w:rPr>
            <w:noProof/>
            <w:webHidden/>
          </w:rPr>
        </w:r>
        <w:r w:rsidR="009A6487" w:rsidRPr="009A6487">
          <w:rPr>
            <w:noProof/>
            <w:webHidden/>
          </w:rPr>
          <w:fldChar w:fldCharType="separate"/>
        </w:r>
        <w:r w:rsidR="00F160BA">
          <w:rPr>
            <w:noProof/>
            <w:webHidden/>
          </w:rPr>
          <w:t>36</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78" w:history="1">
        <w:r w:rsidR="009A6487" w:rsidRPr="009A6487">
          <w:rPr>
            <w:rStyle w:val="Hyperlink"/>
            <w:rFonts w:ascii="Times New Roman" w:hAnsi="Times New Roman" w:cs="Times New Roman"/>
            <w:noProof/>
            <w:lang w:val="ro-MO"/>
          </w:rPr>
          <w:t>3.1.3.2 Tendințe spre o concurență efectivă</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_Toc492907378 \h </w:instrText>
        </w:r>
        <w:r w:rsidR="009A6487" w:rsidRPr="009A6487">
          <w:rPr>
            <w:noProof/>
            <w:webHidden/>
          </w:rPr>
        </w:r>
        <w:r w:rsidR="009A6487" w:rsidRPr="009A6487">
          <w:rPr>
            <w:noProof/>
            <w:webHidden/>
          </w:rPr>
          <w:fldChar w:fldCharType="separate"/>
        </w:r>
        <w:r w:rsidR="00F160BA">
          <w:rPr>
            <w:noProof/>
            <w:webHidden/>
          </w:rPr>
          <w:t>37</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79" w:history="1">
        <w:r w:rsidR="009A6487" w:rsidRPr="009A6487">
          <w:rPr>
            <w:rStyle w:val="Hyperlink"/>
            <w:rFonts w:ascii="Times New Roman" w:hAnsi="Times New Roman" w:cs="Times New Roman"/>
            <w:noProof/>
            <w:lang w:val="ro-MO"/>
          </w:rPr>
          <w:t>3.1.3.3 Suficiența aplicării legislației concurenței</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_Toc492907379 \h </w:instrText>
        </w:r>
        <w:r w:rsidR="009A6487" w:rsidRPr="009A6487">
          <w:rPr>
            <w:noProof/>
            <w:webHidden/>
          </w:rPr>
        </w:r>
        <w:r w:rsidR="009A6487" w:rsidRPr="009A6487">
          <w:rPr>
            <w:noProof/>
            <w:webHidden/>
          </w:rPr>
          <w:fldChar w:fldCharType="separate"/>
        </w:r>
        <w:r w:rsidR="00F160BA">
          <w:rPr>
            <w:noProof/>
            <w:webHidden/>
          </w:rPr>
          <w:t>38</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380" w:history="1">
        <w:r w:rsidR="009A6487" w:rsidRPr="009A6487">
          <w:rPr>
            <w:rStyle w:val="Hyperlink"/>
            <w:rFonts w:cs="Times New Roman"/>
            <w:noProof/>
            <w:lang w:val="ro-MO"/>
          </w:rPr>
          <w:t>3.1.4 Concluzii privind identificarea pieței relevante</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_Toc492907380 \h </w:instrText>
        </w:r>
        <w:r w:rsidR="009A6487" w:rsidRPr="009A6487">
          <w:rPr>
            <w:noProof/>
            <w:webHidden/>
          </w:rPr>
        </w:r>
        <w:r w:rsidR="009A6487" w:rsidRPr="009A6487">
          <w:rPr>
            <w:noProof/>
            <w:webHidden/>
          </w:rPr>
          <w:fldChar w:fldCharType="separate"/>
        </w:r>
        <w:r w:rsidR="00F160BA">
          <w:rPr>
            <w:noProof/>
            <w:webHidden/>
          </w:rPr>
          <w:t>39</w:t>
        </w:r>
        <w:r w:rsidR="009A6487" w:rsidRPr="009A6487">
          <w:rPr>
            <w:noProof/>
            <w:webHidden/>
          </w:rPr>
          <w:fldChar w:fldCharType="end"/>
        </w:r>
      </w:hyperlink>
    </w:p>
    <w:p w:rsidR="009A6487" w:rsidRPr="009A6487" w:rsidRDefault="009A602F">
      <w:pPr>
        <w:pStyle w:val="TOC2"/>
        <w:tabs>
          <w:tab w:val="left" w:pos="880"/>
          <w:tab w:val="right" w:leader="dot" w:pos="10245"/>
        </w:tabs>
        <w:rPr>
          <w:rFonts w:asciiTheme="minorHAnsi" w:eastAsiaTheme="minorEastAsia" w:hAnsiTheme="minorHAnsi"/>
          <w:noProof/>
          <w:sz w:val="22"/>
        </w:rPr>
      </w:pPr>
      <w:hyperlink w:anchor="_Toc492907381" w:history="1">
        <w:r w:rsidR="009A6487" w:rsidRPr="009A6487">
          <w:rPr>
            <w:rStyle w:val="Hyperlink"/>
            <w:rFonts w:cs="Times New Roman"/>
            <w:noProof/>
            <w:lang w:val="ro-MO"/>
          </w:rPr>
          <w:t>3.2</w:t>
        </w:r>
        <w:r w:rsidR="009A6487" w:rsidRPr="009A6487">
          <w:rPr>
            <w:rFonts w:asciiTheme="minorHAnsi" w:eastAsiaTheme="minorEastAsia" w:hAnsiTheme="minorHAnsi"/>
            <w:noProof/>
            <w:sz w:val="22"/>
          </w:rPr>
          <w:tab/>
        </w:r>
        <w:r w:rsidR="009A6487" w:rsidRPr="009A6487">
          <w:rPr>
            <w:rStyle w:val="Hyperlink"/>
            <w:rFonts w:cs="Times New Roman"/>
            <w:noProof/>
            <w:lang w:val="ro-MO"/>
          </w:rPr>
          <w:t>Analiza pieței furnizării cu ridicata de servicii de acces local la puncte fixe (WLA)</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_Toc492907381 \h </w:instrText>
        </w:r>
        <w:r w:rsidR="009A6487" w:rsidRPr="009A6487">
          <w:rPr>
            <w:noProof/>
            <w:webHidden/>
          </w:rPr>
        </w:r>
        <w:r w:rsidR="009A6487" w:rsidRPr="009A6487">
          <w:rPr>
            <w:noProof/>
            <w:webHidden/>
          </w:rPr>
          <w:fldChar w:fldCharType="separate"/>
        </w:r>
        <w:r w:rsidR="00F160BA">
          <w:rPr>
            <w:noProof/>
            <w:webHidden/>
          </w:rPr>
          <w:t>40</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382" w:history="1">
        <w:r w:rsidR="009A6487" w:rsidRPr="009A6487">
          <w:rPr>
            <w:rStyle w:val="Hyperlink"/>
            <w:rFonts w:cs="Times New Roman"/>
            <w:noProof/>
            <w:lang w:val="ro-MO"/>
          </w:rPr>
          <w:t>3.2.1 Evaluarea cotei de piață</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_Toc492907382 \h </w:instrText>
        </w:r>
        <w:r w:rsidR="009A6487" w:rsidRPr="009A6487">
          <w:rPr>
            <w:noProof/>
            <w:webHidden/>
          </w:rPr>
        </w:r>
        <w:r w:rsidR="009A6487" w:rsidRPr="009A6487">
          <w:rPr>
            <w:noProof/>
            <w:webHidden/>
          </w:rPr>
          <w:fldChar w:fldCharType="separate"/>
        </w:r>
        <w:r w:rsidR="00F160BA">
          <w:rPr>
            <w:noProof/>
            <w:webHidden/>
          </w:rPr>
          <w:t>40</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383" w:history="1">
        <w:r w:rsidR="009A6487" w:rsidRPr="009A6487">
          <w:rPr>
            <w:rStyle w:val="Hyperlink"/>
            <w:rFonts w:cs="Times New Roman"/>
            <w:noProof/>
            <w:lang w:val="ro-MO"/>
          </w:rPr>
          <w:t>3.2.2 Analiza ulterioară a pieţei</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_Toc492907383 \h </w:instrText>
        </w:r>
        <w:r w:rsidR="009A6487" w:rsidRPr="009A6487">
          <w:rPr>
            <w:noProof/>
            <w:webHidden/>
          </w:rPr>
        </w:r>
        <w:r w:rsidR="009A6487" w:rsidRPr="009A6487">
          <w:rPr>
            <w:noProof/>
            <w:webHidden/>
          </w:rPr>
          <w:fldChar w:fldCharType="separate"/>
        </w:r>
        <w:r w:rsidR="00F160BA">
          <w:rPr>
            <w:noProof/>
            <w:webHidden/>
          </w:rPr>
          <w:t>41</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84" w:history="1">
        <w:r w:rsidR="009A6487" w:rsidRPr="009A6487">
          <w:rPr>
            <w:rStyle w:val="Hyperlink"/>
            <w:rFonts w:ascii="Times New Roman" w:hAnsi="Times New Roman" w:cs="Times New Roman"/>
            <w:noProof/>
            <w:lang w:val="ro-MO"/>
          </w:rPr>
          <w:t>3.2.2.1 Cota de piaţă şi stabilitatea acesteia</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_Toc492907384 \h </w:instrText>
        </w:r>
        <w:r w:rsidR="009A6487" w:rsidRPr="009A6487">
          <w:rPr>
            <w:noProof/>
            <w:webHidden/>
          </w:rPr>
        </w:r>
        <w:r w:rsidR="009A6487" w:rsidRPr="009A6487">
          <w:rPr>
            <w:noProof/>
            <w:webHidden/>
          </w:rPr>
          <w:fldChar w:fldCharType="separate"/>
        </w:r>
        <w:r w:rsidR="00F160BA">
          <w:rPr>
            <w:noProof/>
            <w:webHidden/>
          </w:rPr>
          <w:t>41</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85" w:history="1">
        <w:r w:rsidR="009A6487" w:rsidRPr="009A6487">
          <w:rPr>
            <w:rStyle w:val="Hyperlink"/>
            <w:rFonts w:ascii="Times New Roman" w:hAnsi="Times New Roman" w:cs="Times New Roman"/>
            <w:noProof/>
            <w:lang w:val="ro-MO"/>
          </w:rPr>
          <w:t>3.2.2.2 Dimensiunea Furnizorului</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_Toc492907385 \h </w:instrText>
        </w:r>
        <w:r w:rsidR="009A6487" w:rsidRPr="009A6487">
          <w:rPr>
            <w:noProof/>
            <w:webHidden/>
          </w:rPr>
        </w:r>
        <w:r w:rsidR="009A6487" w:rsidRPr="009A6487">
          <w:rPr>
            <w:noProof/>
            <w:webHidden/>
          </w:rPr>
          <w:fldChar w:fldCharType="separate"/>
        </w:r>
        <w:r w:rsidR="00F160BA">
          <w:rPr>
            <w:noProof/>
            <w:webHidden/>
          </w:rPr>
          <w:t>42</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86" w:history="1">
        <w:r w:rsidR="009A6487" w:rsidRPr="009A6487">
          <w:rPr>
            <w:rStyle w:val="Hyperlink"/>
            <w:rFonts w:ascii="Times New Roman" w:hAnsi="Times New Roman" w:cs="Times New Roman"/>
            <w:noProof/>
            <w:lang w:val="ro-MO"/>
          </w:rPr>
          <w:t>3.2.2.3 Controlul infrastructurii greu de duplicat</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_Toc492907386 \h </w:instrText>
        </w:r>
        <w:r w:rsidR="009A6487" w:rsidRPr="009A6487">
          <w:rPr>
            <w:noProof/>
            <w:webHidden/>
          </w:rPr>
        </w:r>
        <w:r w:rsidR="009A6487" w:rsidRPr="009A6487">
          <w:rPr>
            <w:noProof/>
            <w:webHidden/>
          </w:rPr>
          <w:fldChar w:fldCharType="separate"/>
        </w:r>
        <w:r w:rsidR="00F160BA">
          <w:rPr>
            <w:noProof/>
            <w:webHidden/>
          </w:rPr>
          <w:t>43</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87" w:history="1">
        <w:r w:rsidR="009A6487" w:rsidRPr="009A6487">
          <w:rPr>
            <w:rStyle w:val="Hyperlink"/>
            <w:rFonts w:ascii="Times New Roman" w:hAnsi="Times New Roman" w:cs="Times New Roman"/>
            <w:noProof/>
            <w:lang w:val="ro-MO"/>
          </w:rPr>
          <w:t>3.2.2.4 Puterea de contracarare a cumpărătorilor</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_Toc492907387 \h </w:instrText>
        </w:r>
        <w:r w:rsidR="009A6487" w:rsidRPr="009A6487">
          <w:rPr>
            <w:noProof/>
            <w:webHidden/>
          </w:rPr>
        </w:r>
        <w:r w:rsidR="009A6487" w:rsidRPr="009A6487">
          <w:rPr>
            <w:noProof/>
            <w:webHidden/>
          </w:rPr>
          <w:fldChar w:fldCharType="separate"/>
        </w:r>
        <w:r w:rsidR="00F160BA">
          <w:rPr>
            <w:noProof/>
            <w:webHidden/>
          </w:rPr>
          <w:t>44</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88" w:history="1">
        <w:r w:rsidR="009A6487" w:rsidRPr="009A6487">
          <w:rPr>
            <w:rStyle w:val="Hyperlink"/>
            <w:rFonts w:ascii="Times New Roman" w:hAnsi="Times New Roman" w:cs="Times New Roman"/>
            <w:noProof/>
            <w:lang w:val="ro-MO"/>
          </w:rPr>
          <w:t>3.2.2.5 Numărul furnizorilor de pe piaţă</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_Toc492907388 \h </w:instrText>
        </w:r>
        <w:r w:rsidR="009A6487" w:rsidRPr="009A6487">
          <w:rPr>
            <w:noProof/>
            <w:webHidden/>
          </w:rPr>
        </w:r>
        <w:r w:rsidR="009A6487" w:rsidRPr="009A6487">
          <w:rPr>
            <w:noProof/>
            <w:webHidden/>
          </w:rPr>
          <w:fldChar w:fldCharType="separate"/>
        </w:r>
        <w:r w:rsidR="00F160BA">
          <w:rPr>
            <w:noProof/>
            <w:webHidden/>
          </w:rPr>
          <w:t>45</w:t>
        </w:r>
        <w:r w:rsidR="009A6487" w:rsidRPr="009A6487">
          <w:rPr>
            <w:noProof/>
            <w:webHidden/>
          </w:rPr>
          <w:fldChar w:fldCharType="end"/>
        </w:r>
      </w:hyperlink>
    </w:p>
    <w:p w:rsidR="009A6487" w:rsidRPr="009A6487" w:rsidRDefault="009A602F">
      <w:pPr>
        <w:pStyle w:val="TOC2"/>
        <w:tabs>
          <w:tab w:val="right" w:leader="dot" w:pos="10245"/>
        </w:tabs>
        <w:rPr>
          <w:rFonts w:asciiTheme="minorHAnsi" w:eastAsiaTheme="minorEastAsia" w:hAnsiTheme="minorHAnsi"/>
          <w:noProof/>
          <w:sz w:val="22"/>
        </w:rPr>
      </w:pPr>
      <w:hyperlink w:anchor="_Toc492907389" w:history="1">
        <w:r w:rsidR="009A6487" w:rsidRPr="009A6487">
          <w:rPr>
            <w:rStyle w:val="Hyperlink"/>
            <w:rFonts w:cs="Times New Roman"/>
            <w:noProof/>
            <w:lang w:val="ro-MO"/>
          </w:rPr>
          <w:t>3.3 Determinarea și analiza obligațiilor</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_Toc492907389 \h </w:instrText>
        </w:r>
        <w:r w:rsidR="009A6487" w:rsidRPr="009A6487">
          <w:rPr>
            <w:noProof/>
            <w:webHidden/>
          </w:rPr>
        </w:r>
        <w:r w:rsidR="009A6487" w:rsidRPr="009A6487">
          <w:rPr>
            <w:noProof/>
            <w:webHidden/>
          </w:rPr>
          <w:fldChar w:fldCharType="separate"/>
        </w:r>
        <w:r w:rsidR="00F160BA">
          <w:rPr>
            <w:noProof/>
            <w:webHidden/>
          </w:rPr>
          <w:t>46</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390" w:history="1">
        <w:r w:rsidR="009A6487" w:rsidRPr="009A6487">
          <w:rPr>
            <w:rStyle w:val="Hyperlink"/>
            <w:rFonts w:cs="Times New Roman"/>
            <w:noProof/>
            <w:lang w:val="ro-MO"/>
          </w:rPr>
          <w:t>3.3.1. Cadrul legal</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_Toc492907390 \h </w:instrText>
        </w:r>
        <w:r w:rsidR="009A6487" w:rsidRPr="009A6487">
          <w:rPr>
            <w:noProof/>
            <w:webHidden/>
          </w:rPr>
        </w:r>
        <w:r w:rsidR="009A6487" w:rsidRPr="009A6487">
          <w:rPr>
            <w:noProof/>
            <w:webHidden/>
          </w:rPr>
          <w:fldChar w:fldCharType="separate"/>
        </w:r>
        <w:r w:rsidR="00F160BA">
          <w:rPr>
            <w:noProof/>
            <w:webHidden/>
          </w:rPr>
          <w:t>46</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391" w:history="1">
        <w:r w:rsidR="009A6487" w:rsidRPr="009A6487">
          <w:rPr>
            <w:rStyle w:val="Hyperlink"/>
            <w:rFonts w:cs="Times New Roman"/>
            <w:noProof/>
            <w:lang w:val="ro-MO"/>
          </w:rPr>
          <w:t>3.3.2  Principiile aplicate de ANRCETI pentru stabilirea remediilor</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_Toc492907391 \h </w:instrText>
        </w:r>
        <w:r w:rsidR="009A6487" w:rsidRPr="009A6487">
          <w:rPr>
            <w:noProof/>
            <w:webHidden/>
          </w:rPr>
        </w:r>
        <w:r w:rsidR="009A6487" w:rsidRPr="009A6487">
          <w:rPr>
            <w:noProof/>
            <w:webHidden/>
          </w:rPr>
          <w:fldChar w:fldCharType="separate"/>
        </w:r>
        <w:r w:rsidR="00F160BA">
          <w:rPr>
            <w:noProof/>
            <w:webHidden/>
          </w:rPr>
          <w:t>47</w:t>
        </w:r>
        <w:r w:rsidR="009A6487" w:rsidRPr="009A6487">
          <w:rPr>
            <w:noProof/>
            <w:webHidden/>
          </w:rPr>
          <w:fldChar w:fldCharType="end"/>
        </w:r>
      </w:hyperlink>
    </w:p>
    <w:p w:rsidR="009A6487" w:rsidRPr="009A6487" w:rsidRDefault="009A602F">
      <w:pPr>
        <w:pStyle w:val="TOC4"/>
        <w:tabs>
          <w:tab w:val="left" w:pos="1540"/>
          <w:tab w:val="right" w:leader="dot" w:pos="10245"/>
        </w:tabs>
        <w:rPr>
          <w:rFonts w:asciiTheme="minorHAnsi" w:eastAsiaTheme="minorEastAsia" w:hAnsiTheme="minorHAnsi"/>
          <w:noProof/>
          <w:sz w:val="22"/>
        </w:rPr>
      </w:pPr>
      <w:hyperlink w:anchor="_Toc492907392" w:history="1">
        <w:r w:rsidR="009A6487" w:rsidRPr="009A6487">
          <w:rPr>
            <w:rStyle w:val="Hyperlink"/>
            <w:rFonts w:cs="Times New Roman"/>
            <w:noProof/>
            <w:lang w:val="ro-MO"/>
          </w:rPr>
          <w:t>3.3.3</w:t>
        </w:r>
        <w:r w:rsidR="009A6487" w:rsidRPr="009A6487">
          <w:rPr>
            <w:rFonts w:asciiTheme="minorHAnsi" w:eastAsiaTheme="minorEastAsia" w:hAnsiTheme="minorHAnsi"/>
            <w:noProof/>
            <w:sz w:val="22"/>
          </w:rPr>
          <w:tab/>
        </w:r>
        <w:r w:rsidR="009A6487" w:rsidRPr="009A6487">
          <w:rPr>
            <w:rStyle w:val="Hyperlink"/>
            <w:rFonts w:cs="Times New Roman"/>
            <w:noProof/>
            <w:lang w:val="ro-MO"/>
          </w:rPr>
          <w:t>Obligaţii impuse anterior în sarcina furnizorului cu putere semnificativă și impactul acestora asupra concurenței de piață</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_Toc492907392 \h </w:instrText>
        </w:r>
        <w:r w:rsidR="009A6487" w:rsidRPr="009A6487">
          <w:rPr>
            <w:noProof/>
            <w:webHidden/>
          </w:rPr>
        </w:r>
        <w:r w:rsidR="009A6487" w:rsidRPr="009A6487">
          <w:rPr>
            <w:noProof/>
            <w:webHidden/>
          </w:rPr>
          <w:fldChar w:fldCharType="separate"/>
        </w:r>
        <w:r w:rsidR="00F160BA">
          <w:rPr>
            <w:noProof/>
            <w:webHidden/>
          </w:rPr>
          <w:t>48</w:t>
        </w:r>
        <w:r w:rsidR="009A6487" w:rsidRPr="009A6487">
          <w:rPr>
            <w:noProof/>
            <w:webHidden/>
          </w:rPr>
          <w:fldChar w:fldCharType="end"/>
        </w:r>
      </w:hyperlink>
    </w:p>
    <w:p w:rsidR="009A6487" w:rsidRPr="009A6487" w:rsidRDefault="009A602F">
      <w:pPr>
        <w:pStyle w:val="TOC4"/>
        <w:tabs>
          <w:tab w:val="left" w:pos="1540"/>
          <w:tab w:val="right" w:leader="dot" w:pos="10245"/>
        </w:tabs>
        <w:rPr>
          <w:rFonts w:asciiTheme="minorHAnsi" w:eastAsiaTheme="minorEastAsia" w:hAnsiTheme="minorHAnsi"/>
          <w:noProof/>
          <w:sz w:val="22"/>
        </w:rPr>
      </w:pPr>
      <w:hyperlink w:anchor="_Toc492907393" w:history="1">
        <w:r w:rsidR="009A6487" w:rsidRPr="009A6487">
          <w:rPr>
            <w:rStyle w:val="Hyperlink"/>
            <w:rFonts w:cs="Times New Roman"/>
            <w:noProof/>
            <w:lang w:val="ro-MO"/>
          </w:rPr>
          <w:t>3.3.4</w:t>
        </w:r>
        <w:r w:rsidR="009A6487" w:rsidRPr="009A6487">
          <w:rPr>
            <w:rFonts w:asciiTheme="minorHAnsi" w:eastAsiaTheme="minorEastAsia" w:hAnsiTheme="minorHAnsi"/>
            <w:noProof/>
            <w:sz w:val="22"/>
          </w:rPr>
          <w:tab/>
        </w:r>
        <w:r w:rsidR="009A6487" w:rsidRPr="009A6487">
          <w:rPr>
            <w:rStyle w:val="Hyperlink"/>
            <w:rFonts w:cs="Times New Roman"/>
            <w:noProof/>
            <w:lang w:val="ro-MO"/>
          </w:rPr>
          <w:t>Problemele concurenței și identificarea remediilor necesare</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_Toc492907393 \h </w:instrText>
        </w:r>
        <w:r w:rsidR="009A6487" w:rsidRPr="009A6487">
          <w:rPr>
            <w:noProof/>
            <w:webHidden/>
          </w:rPr>
        </w:r>
        <w:r w:rsidR="009A6487" w:rsidRPr="009A6487">
          <w:rPr>
            <w:noProof/>
            <w:webHidden/>
          </w:rPr>
          <w:fldChar w:fldCharType="separate"/>
        </w:r>
        <w:r w:rsidR="00F160BA">
          <w:rPr>
            <w:noProof/>
            <w:webHidden/>
          </w:rPr>
          <w:t>49</w:t>
        </w:r>
        <w:r w:rsidR="009A6487" w:rsidRPr="009A6487">
          <w:rPr>
            <w:noProof/>
            <w:webHidden/>
          </w:rPr>
          <w:fldChar w:fldCharType="end"/>
        </w:r>
      </w:hyperlink>
    </w:p>
    <w:p w:rsidR="009A6487" w:rsidRPr="009A6487" w:rsidRDefault="009A602F">
      <w:pPr>
        <w:pStyle w:val="TOC2"/>
        <w:tabs>
          <w:tab w:val="right" w:leader="dot" w:pos="10245"/>
        </w:tabs>
        <w:rPr>
          <w:rFonts w:asciiTheme="minorHAnsi" w:eastAsiaTheme="minorEastAsia" w:hAnsiTheme="minorHAnsi"/>
          <w:noProof/>
          <w:sz w:val="22"/>
        </w:rPr>
      </w:pPr>
      <w:hyperlink w:anchor="_Toc492907394" w:history="1">
        <w:r w:rsidR="009A6487" w:rsidRPr="009A6487">
          <w:rPr>
            <w:rStyle w:val="Hyperlink"/>
            <w:rFonts w:cs="Times New Roman"/>
            <w:noProof/>
            <w:lang w:val="ro-MO"/>
          </w:rPr>
          <w:t>3.4 Identificarea Pieței furnizării cu ridicata de servicii de acces central la puncte fixe pentru produse de larg consum (WCA)</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_Toc492907394 \h </w:instrText>
        </w:r>
        <w:r w:rsidR="009A6487" w:rsidRPr="009A6487">
          <w:rPr>
            <w:noProof/>
            <w:webHidden/>
          </w:rPr>
        </w:r>
        <w:r w:rsidR="009A6487" w:rsidRPr="009A6487">
          <w:rPr>
            <w:noProof/>
            <w:webHidden/>
          </w:rPr>
          <w:fldChar w:fldCharType="separate"/>
        </w:r>
        <w:r w:rsidR="00F160BA">
          <w:rPr>
            <w:noProof/>
            <w:webHidden/>
          </w:rPr>
          <w:t>50</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395" w:history="1">
        <w:r w:rsidR="009A6487" w:rsidRPr="009A6487">
          <w:rPr>
            <w:rStyle w:val="Hyperlink"/>
            <w:rFonts w:cs="Times New Roman"/>
            <w:noProof/>
            <w:lang w:val="ro-MO"/>
          </w:rPr>
          <w:t>3.4.1 Definirea pieței produsului</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_Toc492907395 \h </w:instrText>
        </w:r>
        <w:r w:rsidR="009A6487" w:rsidRPr="009A6487">
          <w:rPr>
            <w:noProof/>
            <w:webHidden/>
          </w:rPr>
        </w:r>
        <w:r w:rsidR="009A6487" w:rsidRPr="009A6487">
          <w:rPr>
            <w:noProof/>
            <w:webHidden/>
          </w:rPr>
          <w:fldChar w:fldCharType="separate"/>
        </w:r>
        <w:r w:rsidR="00F160BA">
          <w:rPr>
            <w:noProof/>
            <w:webHidden/>
          </w:rPr>
          <w:t>50</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96" w:history="1">
        <w:r w:rsidR="009A6487" w:rsidRPr="009A6487">
          <w:rPr>
            <w:rStyle w:val="Hyperlink"/>
            <w:rFonts w:ascii="Times New Roman" w:hAnsi="Times New Roman" w:cs="Times New Roman"/>
            <w:noProof/>
            <w:lang w:val="ro-MO"/>
          </w:rPr>
          <w:t>4.1.1.1 Produsul focal</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_Toc492907396 \h </w:instrText>
        </w:r>
        <w:r w:rsidR="009A6487" w:rsidRPr="009A6487">
          <w:rPr>
            <w:noProof/>
            <w:webHidden/>
          </w:rPr>
        </w:r>
        <w:r w:rsidR="009A6487" w:rsidRPr="009A6487">
          <w:rPr>
            <w:noProof/>
            <w:webHidden/>
          </w:rPr>
          <w:fldChar w:fldCharType="separate"/>
        </w:r>
        <w:r w:rsidR="00F160BA">
          <w:rPr>
            <w:noProof/>
            <w:webHidden/>
          </w:rPr>
          <w:t>52</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397" w:history="1">
        <w:r w:rsidR="009A6487" w:rsidRPr="009A6487">
          <w:rPr>
            <w:rStyle w:val="Hyperlink"/>
            <w:rFonts w:ascii="Times New Roman" w:hAnsi="Times New Roman" w:cs="Times New Roman"/>
            <w:noProof/>
            <w:lang w:val="ro-MO"/>
          </w:rPr>
          <w:t>4.1.1.2 Lista substituenţilor produsului focal cu ridicata</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_Toc492907397 \h </w:instrText>
        </w:r>
        <w:r w:rsidR="009A6487" w:rsidRPr="009A6487">
          <w:rPr>
            <w:noProof/>
            <w:webHidden/>
          </w:rPr>
        </w:r>
        <w:r w:rsidR="009A6487" w:rsidRPr="009A6487">
          <w:rPr>
            <w:noProof/>
            <w:webHidden/>
          </w:rPr>
          <w:fldChar w:fldCharType="separate"/>
        </w:r>
        <w:r w:rsidR="00F160BA">
          <w:rPr>
            <w:noProof/>
            <w:webHidden/>
          </w:rPr>
          <w:t>52</w:t>
        </w:r>
        <w:r w:rsidR="009A6487" w:rsidRPr="009A6487">
          <w:rPr>
            <w:noProof/>
            <w:webHidden/>
          </w:rPr>
          <w:fldChar w:fldCharType="end"/>
        </w:r>
      </w:hyperlink>
    </w:p>
    <w:p w:rsidR="009A6487" w:rsidRPr="009A6487" w:rsidRDefault="009A602F">
      <w:pPr>
        <w:pStyle w:val="TOC5"/>
        <w:tabs>
          <w:tab w:val="left" w:pos="1760"/>
          <w:tab w:val="right" w:leader="dot" w:pos="10245"/>
        </w:tabs>
        <w:rPr>
          <w:rFonts w:eastAsiaTheme="minorEastAsia"/>
          <w:noProof/>
        </w:rPr>
      </w:pPr>
      <w:hyperlink w:anchor="_Toc492907398" w:history="1">
        <w:r w:rsidR="009A6487" w:rsidRPr="009A6487">
          <w:rPr>
            <w:rStyle w:val="Hyperlink"/>
            <w:rFonts w:ascii="Times New Roman" w:hAnsi="Times New Roman" w:cs="Times New Roman"/>
            <w:noProof/>
            <w:lang w:val="ro-MO"/>
          </w:rPr>
          <w:t>4.1.1.3</w:t>
        </w:r>
        <w:r w:rsidR="009A6487" w:rsidRPr="009A6487">
          <w:rPr>
            <w:rFonts w:eastAsiaTheme="minorEastAsia"/>
            <w:noProof/>
          </w:rPr>
          <w:tab/>
        </w:r>
        <w:r w:rsidR="009A6487" w:rsidRPr="009A6487">
          <w:rPr>
            <w:rStyle w:val="Hyperlink"/>
            <w:rFonts w:ascii="Times New Roman" w:hAnsi="Times New Roman" w:cs="Times New Roman"/>
            <w:noProof/>
            <w:lang w:val="ro-MO"/>
          </w:rPr>
          <w:t>Sumarul analizei pieţei produsului</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_Toc492907398 \h </w:instrText>
        </w:r>
        <w:r w:rsidR="009A6487" w:rsidRPr="009A6487">
          <w:rPr>
            <w:noProof/>
            <w:webHidden/>
          </w:rPr>
        </w:r>
        <w:r w:rsidR="009A6487" w:rsidRPr="009A6487">
          <w:rPr>
            <w:noProof/>
            <w:webHidden/>
          </w:rPr>
          <w:fldChar w:fldCharType="separate"/>
        </w:r>
        <w:r w:rsidR="00F160BA">
          <w:rPr>
            <w:noProof/>
            <w:webHidden/>
          </w:rPr>
          <w:t>55</w:t>
        </w:r>
        <w:r w:rsidR="009A6487" w:rsidRPr="009A6487">
          <w:rPr>
            <w:noProof/>
            <w:webHidden/>
          </w:rPr>
          <w:fldChar w:fldCharType="end"/>
        </w:r>
      </w:hyperlink>
    </w:p>
    <w:p w:rsidR="009A6487" w:rsidRPr="009A6487" w:rsidRDefault="009A602F">
      <w:pPr>
        <w:pStyle w:val="TOC4"/>
        <w:tabs>
          <w:tab w:val="left" w:pos="1540"/>
          <w:tab w:val="right" w:leader="dot" w:pos="10245"/>
        </w:tabs>
        <w:rPr>
          <w:rFonts w:asciiTheme="minorHAnsi" w:eastAsiaTheme="minorEastAsia" w:hAnsiTheme="minorHAnsi"/>
          <w:noProof/>
          <w:sz w:val="22"/>
        </w:rPr>
      </w:pPr>
      <w:hyperlink w:anchor="_Toc492907399" w:history="1">
        <w:r w:rsidR="009A6487" w:rsidRPr="009A6487">
          <w:rPr>
            <w:rStyle w:val="Hyperlink"/>
            <w:rFonts w:cs="Times New Roman"/>
            <w:noProof/>
            <w:lang w:val="ro-MO"/>
          </w:rPr>
          <w:t>3.4.2</w:t>
        </w:r>
        <w:r w:rsidR="009A6487" w:rsidRPr="009A6487">
          <w:rPr>
            <w:rFonts w:asciiTheme="minorHAnsi" w:eastAsiaTheme="minorEastAsia" w:hAnsiTheme="minorHAnsi"/>
            <w:noProof/>
            <w:sz w:val="22"/>
          </w:rPr>
          <w:tab/>
        </w:r>
        <w:r w:rsidR="009A6487" w:rsidRPr="009A6487">
          <w:rPr>
            <w:rStyle w:val="Hyperlink"/>
            <w:rFonts w:cs="Times New Roman"/>
            <w:noProof/>
            <w:lang w:val="ro-MO"/>
          </w:rPr>
          <w:t>Piaţa geografică</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_Toc492907399 \h </w:instrText>
        </w:r>
        <w:r w:rsidR="009A6487" w:rsidRPr="009A6487">
          <w:rPr>
            <w:noProof/>
            <w:webHidden/>
          </w:rPr>
        </w:r>
        <w:r w:rsidR="009A6487" w:rsidRPr="009A6487">
          <w:rPr>
            <w:noProof/>
            <w:webHidden/>
          </w:rPr>
          <w:fldChar w:fldCharType="separate"/>
        </w:r>
        <w:r w:rsidR="00F160BA">
          <w:rPr>
            <w:noProof/>
            <w:webHidden/>
          </w:rPr>
          <w:t>55</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400" w:history="1">
        <w:r w:rsidR="009A6487" w:rsidRPr="009A6487">
          <w:rPr>
            <w:rStyle w:val="Hyperlink"/>
            <w:rFonts w:cs="Times New Roman"/>
            <w:noProof/>
            <w:lang w:val="ro-MO"/>
          </w:rPr>
          <w:t>3.4.3 Aplicarea testului celor trei criterii</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_Toc492907400 \h </w:instrText>
        </w:r>
        <w:r w:rsidR="009A6487" w:rsidRPr="009A6487">
          <w:rPr>
            <w:noProof/>
            <w:webHidden/>
          </w:rPr>
        </w:r>
        <w:r w:rsidR="009A6487" w:rsidRPr="009A6487">
          <w:rPr>
            <w:noProof/>
            <w:webHidden/>
          </w:rPr>
          <w:fldChar w:fldCharType="separate"/>
        </w:r>
        <w:r w:rsidR="00F160BA">
          <w:rPr>
            <w:noProof/>
            <w:webHidden/>
          </w:rPr>
          <w:t>56</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401" w:history="1">
        <w:r w:rsidR="009A6487" w:rsidRPr="009A6487">
          <w:rPr>
            <w:rStyle w:val="Hyperlink"/>
            <w:rFonts w:ascii="Times New Roman" w:hAnsi="Times New Roman" w:cs="Times New Roman"/>
            <w:bCs/>
            <w:noProof/>
            <w:lang w:val="ro-MO"/>
          </w:rPr>
          <w:t>3.4.3.1 Barierele de intrare şi ieşire</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_Toc492907401 \h </w:instrText>
        </w:r>
        <w:r w:rsidR="009A6487" w:rsidRPr="009A6487">
          <w:rPr>
            <w:noProof/>
            <w:webHidden/>
          </w:rPr>
        </w:r>
        <w:r w:rsidR="009A6487" w:rsidRPr="009A6487">
          <w:rPr>
            <w:noProof/>
            <w:webHidden/>
          </w:rPr>
          <w:fldChar w:fldCharType="separate"/>
        </w:r>
        <w:r w:rsidR="00F160BA">
          <w:rPr>
            <w:noProof/>
            <w:webHidden/>
          </w:rPr>
          <w:t>57</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402" w:history="1">
        <w:r w:rsidR="009A6487" w:rsidRPr="009A6487">
          <w:rPr>
            <w:rStyle w:val="Hyperlink"/>
            <w:rFonts w:ascii="Times New Roman" w:hAnsi="Times New Roman" w:cs="Times New Roman"/>
            <w:noProof/>
            <w:lang w:val="ro-MO"/>
          </w:rPr>
          <w:t xml:space="preserve">3.4.3.2 </w:t>
        </w:r>
        <w:r w:rsidR="009A6487" w:rsidRPr="009A6487">
          <w:rPr>
            <w:rStyle w:val="Hyperlink"/>
            <w:rFonts w:ascii="Times New Roman" w:hAnsi="Times New Roman" w:cs="Times New Roman"/>
            <w:bCs/>
            <w:iCs/>
            <w:noProof/>
            <w:lang w:val="ro-MO"/>
          </w:rPr>
          <w:t>Tendinţe spre concurenţă eficientă</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_Toc492907402 \h </w:instrText>
        </w:r>
        <w:r w:rsidR="009A6487" w:rsidRPr="009A6487">
          <w:rPr>
            <w:noProof/>
            <w:webHidden/>
          </w:rPr>
        </w:r>
        <w:r w:rsidR="009A6487" w:rsidRPr="009A6487">
          <w:rPr>
            <w:noProof/>
            <w:webHidden/>
          </w:rPr>
          <w:fldChar w:fldCharType="separate"/>
        </w:r>
        <w:r w:rsidR="00F160BA">
          <w:rPr>
            <w:noProof/>
            <w:webHidden/>
          </w:rPr>
          <w:t>58</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403" w:history="1">
        <w:r w:rsidR="009A6487" w:rsidRPr="009A6487">
          <w:rPr>
            <w:rStyle w:val="Hyperlink"/>
            <w:rFonts w:ascii="Times New Roman" w:hAnsi="Times New Roman" w:cs="Times New Roman"/>
            <w:noProof/>
            <w:lang w:val="ro-MO"/>
          </w:rPr>
          <w:t>3.4.3.3  Suficienţa aplicării prevederilor legislaţiei concurenţei</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_Toc492907403 \h </w:instrText>
        </w:r>
        <w:r w:rsidR="009A6487" w:rsidRPr="009A6487">
          <w:rPr>
            <w:noProof/>
            <w:webHidden/>
          </w:rPr>
        </w:r>
        <w:r w:rsidR="009A6487" w:rsidRPr="009A6487">
          <w:rPr>
            <w:noProof/>
            <w:webHidden/>
          </w:rPr>
          <w:fldChar w:fldCharType="separate"/>
        </w:r>
        <w:r w:rsidR="00F160BA">
          <w:rPr>
            <w:noProof/>
            <w:webHidden/>
          </w:rPr>
          <w:t>58</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404" w:history="1">
        <w:r w:rsidR="009A6487" w:rsidRPr="009A6487">
          <w:rPr>
            <w:rStyle w:val="Hyperlink"/>
            <w:rFonts w:cs="Times New Roman"/>
            <w:noProof/>
            <w:lang w:val="ro-MO"/>
          </w:rPr>
          <w:t>3.4.4 Concluzii privind identificarea pieţei relevante</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_Toc492907404 \h </w:instrText>
        </w:r>
        <w:r w:rsidR="009A6487" w:rsidRPr="009A6487">
          <w:rPr>
            <w:noProof/>
            <w:webHidden/>
          </w:rPr>
        </w:r>
        <w:r w:rsidR="009A6487" w:rsidRPr="009A6487">
          <w:rPr>
            <w:noProof/>
            <w:webHidden/>
          </w:rPr>
          <w:fldChar w:fldCharType="separate"/>
        </w:r>
        <w:r w:rsidR="00F160BA">
          <w:rPr>
            <w:noProof/>
            <w:webHidden/>
          </w:rPr>
          <w:t>60</w:t>
        </w:r>
        <w:r w:rsidR="009A6487" w:rsidRPr="009A6487">
          <w:rPr>
            <w:noProof/>
            <w:webHidden/>
          </w:rPr>
          <w:fldChar w:fldCharType="end"/>
        </w:r>
      </w:hyperlink>
    </w:p>
    <w:p w:rsidR="009A6487" w:rsidRPr="009A6487" w:rsidRDefault="009A602F">
      <w:pPr>
        <w:pStyle w:val="TOC2"/>
        <w:tabs>
          <w:tab w:val="right" w:leader="dot" w:pos="10245"/>
        </w:tabs>
        <w:rPr>
          <w:rFonts w:asciiTheme="minorHAnsi" w:eastAsiaTheme="minorEastAsia" w:hAnsiTheme="minorHAnsi"/>
          <w:noProof/>
          <w:sz w:val="22"/>
        </w:rPr>
      </w:pPr>
      <w:hyperlink w:anchor="_Toc492907405" w:history="1">
        <w:r w:rsidR="009A6487" w:rsidRPr="009A6487">
          <w:rPr>
            <w:rStyle w:val="Hyperlink"/>
            <w:rFonts w:cs="Times New Roman"/>
            <w:noProof/>
            <w:lang w:val="ro-MO"/>
          </w:rPr>
          <w:t>3.5 Analiza pieţei furnizării cu ridicata de servicii de acces central la puncte fixe pentru produse de larg consum (WCA)</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_Toc492907405 \h </w:instrText>
        </w:r>
        <w:r w:rsidR="009A6487" w:rsidRPr="009A6487">
          <w:rPr>
            <w:noProof/>
            <w:webHidden/>
          </w:rPr>
        </w:r>
        <w:r w:rsidR="009A6487" w:rsidRPr="009A6487">
          <w:rPr>
            <w:noProof/>
            <w:webHidden/>
          </w:rPr>
          <w:fldChar w:fldCharType="separate"/>
        </w:r>
        <w:r w:rsidR="00F160BA">
          <w:rPr>
            <w:noProof/>
            <w:webHidden/>
          </w:rPr>
          <w:t>60</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406" w:history="1">
        <w:r w:rsidR="009A6487" w:rsidRPr="009A6487">
          <w:rPr>
            <w:rStyle w:val="Hyperlink"/>
            <w:rFonts w:cs="Times New Roman"/>
            <w:noProof/>
            <w:lang w:val="ro-MO"/>
          </w:rPr>
          <w:t>3.5.1 Evaluarea cotei de piaţă</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_Toc492907406 \h </w:instrText>
        </w:r>
        <w:r w:rsidR="009A6487" w:rsidRPr="009A6487">
          <w:rPr>
            <w:noProof/>
            <w:webHidden/>
          </w:rPr>
        </w:r>
        <w:r w:rsidR="009A6487" w:rsidRPr="009A6487">
          <w:rPr>
            <w:noProof/>
            <w:webHidden/>
          </w:rPr>
          <w:fldChar w:fldCharType="separate"/>
        </w:r>
        <w:r w:rsidR="00F160BA">
          <w:rPr>
            <w:noProof/>
            <w:webHidden/>
          </w:rPr>
          <w:t>60</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407" w:history="1">
        <w:r w:rsidR="009A6487" w:rsidRPr="009A6487">
          <w:rPr>
            <w:rStyle w:val="Hyperlink"/>
            <w:rFonts w:cs="Times New Roman"/>
            <w:noProof/>
            <w:lang w:val="ro-MO"/>
          </w:rPr>
          <w:t>3.5.2 Analiza ulterioară a pieţei</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_Toc492907407 \h </w:instrText>
        </w:r>
        <w:r w:rsidR="009A6487" w:rsidRPr="009A6487">
          <w:rPr>
            <w:noProof/>
            <w:webHidden/>
          </w:rPr>
        </w:r>
        <w:r w:rsidR="009A6487" w:rsidRPr="009A6487">
          <w:rPr>
            <w:noProof/>
            <w:webHidden/>
          </w:rPr>
          <w:fldChar w:fldCharType="separate"/>
        </w:r>
        <w:r w:rsidR="00F160BA">
          <w:rPr>
            <w:noProof/>
            <w:webHidden/>
          </w:rPr>
          <w:t>61</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408" w:history="1">
        <w:r w:rsidR="009A6487" w:rsidRPr="009A6487">
          <w:rPr>
            <w:rStyle w:val="Hyperlink"/>
            <w:rFonts w:ascii="Times New Roman" w:hAnsi="Times New Roman" w:cs="Times New Roman"/>
            <w:noProof/>
            <w:lang w:val="ro-MO"/>
          </w:rPr>
          <w:t>3.5.2.1 Cota de piaţă şi stabilitatea acesteia</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_Toc492907408 \h </w:instrText>
        </w:r>
        <w:r w:rsidR="009A6487" w:rsidRPr="009A6487">
          <w:rPr>
            <w:noProof/>
            <w:webHidden/>
          </w:rPr>
        </w:r>
        <w:r w:rsidR="009A6487" w:rsidRPr="009A6487">
          <w:rPr>
            <w:noProof/>
            <w:webHidden/>
          </w:rPr>
          <w:fldChar w:fldCharType="separate"/>
        </w:r>
        <w:r w:rsidR="00F160BA">
          <w:rPr>
            <w:noProof/>
            <w:webHidden/>
          </w:rPr>
          <w:t>61</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409" w:history="1">
        <w:r w:rsidR="009A6487" w:rsidRPr="009A6487">
          <w:rPr>
            <w:rStyle w:val="Hyperlink"/>
            <w:rFonts w:ascii="Times New Roman" w:hAnsi="Times New Roman" w:cs="Times New Roman"/>
            <w:noProof/>
            <w:lang w:val="ro-MO"/>
          </w:rPr>
          <w:t>3.5.2.2 Dimensiunea Furnizorului şi Controlul infrastructurii greu de duplicat</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_Toc492907409 \h </w:instrText>
        </w:r>
        <w:r w:rsidR="009A6487" w:rsidRPr="009A6487">
          <w:rPr>
            <w:noProof/>
            <w:webHidden/>
          </w:rPr>
        </w:r>
        <w:r w:rsidR="009A6487" w:rsidRPr="009A6487">
          <w:rPr>
            <w:noProof/>
            <w:webHidden/>
          </w:rPr>
          <w:fldChar w:fldCharType="separate"/>
        </w:r>
        <w:r w:rsidR="00F160BA">
          <w:rPr>
            <w:noProof/>
            <w:webHidden/>
          </w:rPr>
          <w:t>62</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410" w:history="1">
        <w:r w:rsidR="009A6487" w:rsidRPr="009A6487">
          <w:rPr>
            <w:rStyle w:val="Hyperlink"/>
            <w:rFonts w:ascii="Times New Roman" w:hAnsi="Times New Roman" w:cs="Times New Roman"/>
            <w:noProof/>
            <w:lang w:val="ro-MO"/>
          </w:rPr>
          <w:t>3.5.2.3 Economiile de scară</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_Toc492907410 \h </w:instrText>
        </w:r>
        <w:r w:rsidR="009A6487" w:rsidRPr="009A6487">
          <w:rPr>
            <w:noProof/>
            <w:webHidden/>
          </w:rPr>
        </w:r>
        <w:r w:rsidR="009A6487" w:rsidRPr="009A6487">
          <w:rPr>
            <w:noProof/>
            <w:webHidden/>
          </w:rPr>
          <w:fldChar w:fldCharType="separate"/>
        </w:r>
        <w:r w:rsidR="00F160BA">
          <w:rPr>
            <w:noProof/>
            <w:webHidden/>
          </w:rPr>
          <w:t>63</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411" w:history="1">
        <w:r w:rsidR="009A6487" w:rsidRPr="009A6487">
          <w:rPr>
            <w:rStyle w:val="Hyperlink"/>
            <w:rFonts w:ascii="Times New Roman" w:hAnsi="Times New Roman" w:cs="Times New Roman"/>
            <w:noProof/>
            <w:lang w:val="ro-MO"/>
          </w:rPr>
          <w:t>3.5.2.4 Economiile de gamă de produse</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_Toc492907411 \h </w:instrText>
        </w:r>
        <w:r w:rsidR="009A6487" w:rsidRPr="009A6487">
          <w:rPr>
            <w:noProof/>
            <w:webHidden/>
          </w:rPr>
        </w:r>
        <w:r w:rsidR="009A6487" w:rsidRPr="009A6487">
          <w:rPr>
            <w:noProof/>
            <w:webHidden/>
          </w:rPr>
          <w:fldChar w:fldCharType="separate"/>
        </w:r>
        <w:r w:rsidR="00F160BA">
          <w:rPr>
            <w:noProof/>
            <w:webHidden/>
          </w:rPr>
          <w:t>64</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412" w:history="1">
        <w:r w:rsidR="009A6487" w:rsidRPr="009A6487">
          <w:rPr>
            <w:rStyle w:val="Hyperlink"/>
            <w:rFonts w:ascii="Times New Roman" w:hAnsi="Times New Roman" w:cs="Times New Roman"/>
            <w:noProof/>
            <w:lang w:val="ro-MO"/>
          </w:rPr>
          <w:t>3.5.2.5 Economiile de densitate</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_Toc492907412 \h </w:instrText>
        </w:r>
        <w:r w:rsidR="009A6487" w:rsidRPr="009A6487">
          <w:rPr>
            <w:noProof/>
            <w:webHidden/>
          </w:rPr>
        </w:r>
        <w:r w:rsidR="009A6487" w:rsidRPr="009A6487">
          <w:rPr>
            <w:noProof/>
            <w:webHidden/>
          </w:rPr>
          <w:fldChar w:fldCharType="separate"/>
        </w:r>
        <w:r w:rsidR="00F160BA">
          <w:rPr>
            <w:noProof/>
            <w:webHidden/>
          </w:rPr>
          <w:t>64</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413" w:history="1">
        <w:r w:rsidR="009A6487" w:rsidRPr="009A6487">
          <w:rPr>
            <w:rStyle w:val="Hyperlink"/>
            <w:rFonts w:ascii="Times New Roman" w:hAnsi="Times New Roman" w:cs="Times New Roman"/>
            <w:noProof/>
            <w:lang w:val="ro-MO"/>
          </w:rPr>
          <w:t>3.5.2.6 Puterea de contracarare a utilizatorilor</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_Toc492907413 \h </w:instrText>
        </w:r>
        <w:r w:rsidR="009A6487" w:rsidRPr="009A6487">
          <w:rPr>
            <w:noProof/>
            <w:webHidden/>
          </w:rPr>
        </w:r>
        <w:r w:rsidR="009A6487" w:rsidRPr="009A6487">
          <w:rPr>
            <w:noProof/>
            <w:webHidden/>
          </w:rPr>
          <w:fldChar w:fldCharType="separate"/>
        </w:r>
        <w:r w:rsidR="00F160BA">
          <w:rPr>
            <w:noProof/>
            <w:webHidden/>
          </w:rPr>
          <w:t>65</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414" w:history="1">
        <w:r w:rsidR="009A6487" w:rsidRPr="009A6487">
          <w:rPr>
            <w:rStyle w:val="Hyperlink"/>
            <w:rFonts w:ascii="Times New Roman" w:hAnsi="Times New Roman" w:cs="Times New Roman"/>
            <w:noProof/>
            <w:lang w:val="ro-MO"/>
          </w:rPr>
          <w:t>3.5.2.7 Nivelul de integrare pe verticală</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_Toc492907414 \h </w:instrText>
        </w:r>
        <w:r w:rsidR="009A6487" w:rsidRPr="009A6487">
          <w:rPr>
            <w:noProof/>
            <w:webHidden/>
          </w:rPr>
        </w:r>
        <w:r w:rsidR="009A6487" w:rsidRPr="009A6487">
          <w:rPr>
            <w:noProof/>
            <w:webHidden/>
          </w:rPr>
          <w:fldChar w:fldCharType="separate"/>
        </w:r>
        <w:r w:rsidR="00F160BA">
          <w:rPr>
            <w:noProof/>
            <w:webHidden/>
          </w:rPr>
          <w:t>65</w:t>
        </w:r>
        <w:r w:rsidR="009A6487" w:rsidRPr="009A6487">
          <w:rPr>
            <w:noProof/>
            <w:webHidden/>
          </w:rPr>
          <w:fldChar w:fldCharType="end"/>
        </w:r>
      </w:hyperlink>
    </w:p>
    <w:p w:rsidR="009A6487" w:rsidRPr="009A6487" w:rsidRDefault="009A602F">
      <w:pPr>
        <w:pStyle w:val="TOC5"/>
        <w:tabs>
          <w:tab w:val="right" w:leader="dot" w:pos="10245"/>
        </w:tabs>
        <w:rPr>
          <w:rFonts w:eastAsiaTheme="minorEastAsia"/>
          <w:noProof/>
        </w:rPr>
      </w:pPr>
      <w:hyperlink w:anchor="_Toc492907415" w:history="1">
        <w:r w:rsidR="009A6487" w:rsidRPr="009A6487">
          <w:rPr>
            <w:rStyle w:val="Hyperlink"/>
            <w:rFonts w:ascii="Times New Roman" w:hAnsi="Times New Roman" w:cs="Times New Roman"/>
            <w:noProof/>
            <w:lang w:val="ro-MO"/>
          </w:rPr>
          <w:t>3.5.2.8 Numărul furnizorilor de pe piaţă</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_Toc492907415 \h </w:instrText>
        </w:r>
        <w:r w:rsidR="009A6487" w:rsidRPr="009A6487">
          <w:rPr>
            <w:noProof/>
            <w:webHidden/>
          </w:rPr>
        </w:r>
        <w:r w:rsidR="009A6487" w:rsidRPr="009A6487">
          <w:rPr>
            <w:noProof/>
            <w:webHidden/>
          </w:rPr>
          <w:fldChar w:fldCharType="separate"/>
        </w:r>
        <w:r w:rsidR="00F160BA">
          <w:rPr>
            <w:noProof/>
            <w:webHidden/>
          </w:rPr>
          <w:t>66</w:t>
        </w:r>
        <w:r w:rsidR="009A6487" w:rsidRPr="009A6487">
          <w:rPr>
            <w:noProof/>
            <w:webHidden/>
          </w:rPr>
          <w:fldChar w:fldCharType="end"/>
        </w:r>
      </w:hyperlink>
    </w:p>
    <w:p w:rsidR="009A6487" w:rsidRPr="009A6487" w:rsidRDefault="009A602F">
      <w:pPr>
        <w:pStyle w:val="TOC2"/>
        <w:tabs>
          <w:tab w:val="right" w:leader="dot" w:pos="10245"/>
        </w:tabs>
        <w:rPr>
          <w:rFonts w:asciiTheme="minorHAnsi" w:eastAsiaTheme="minorEastAsia" w:hAnsiTheme="minorHAnsi"/>
          <w:noProof/>
          <w:sz w:val="22"/>
        </w:rPr>
      </w:pPr>
      <w:hyperlink w:anchor="_Toc492907416" w:history="1">
        <w:r w:rsidR="009A6487" w:rsidRPr="009A6487">
          <w:rPr>
            <w:rStyle w:val="Hyperlink"/>
            <w:rFonts w:cs="Times New Roman"/>
            <w:noProof/>
            <w:lang w:val="ro-MO"/>
          </w:rPr>
          <w:t>3.6. Determinarea şi analiza obligaţiilor</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_Toc492907416 \h </w:instrText>
        </w:r>
        <w:r w:rsidR="009A6487" w:rsidRPr="009A6487">
          <w:rPr>
            <w:noProof/>
            <w:webHidden/>
          </w:rPr>
        </w:r>
        <w:r w:rsidR="009A6487" w:rsidRPr="009A6487">
          <w:rPr>
            <w:noProof/>
            <w:webHidden/>
          </w:rPr>
          <w:fldChar w:fldCharType="separate"/>
        </w:r>
        <w:r w:rsidR="00F160BA">
          <w:rPr>
            <w:noProof/>
            <w:webHidden/>
          </w:rPr>
          <w:t>67</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417" w:history="1">
        <w:r w:rsidR="009A6487" w:rsidRPr="009A6487">
          <w:rPr>
            <w:rStyle w:val="Hyperlink"/>
            <w:rFonts w:cs="Times New Roman"/>
            <w:noProof/>
            <w:lang w:val="ro-MO"/>
          </w:rPr>
          <w:t>3.6.1. Cadrul legal</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_Toc492907417 \h </w:instrText>
        </w:r>
        <w:r w:rsidR="009A6487" w:rsidRPr="009A6487">
          <w:rPr>
            <w:noProof/>
            <w:webHidden/>
          </w:rPr>
        </w:r>
        <w:r w:rsidR="009A6487" w:rsidRPr="009A6487">
          <w:rPr>
            <w:noProof/>
            <w:webHidden/>
          </w:rPr>
          <w:fldChar w:fldCharType="separate"/>
        </w:r>
        <w:r w:rsidR="00F160BA">
          <w:rPr>
            <w:noProof/>
            <w:webHidden/>
          </w:rPr>
          <w:t>67</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418" w:history="1">
        <w:r w:rsidR="009A6487" w:rsidRPr="009A6487">
          <w:rPr>
            <w:rStyle w:val="Hyperlink"/>
            <w:rFonts w:cs="Times New Roman"/>
            <w:noProof/>
            <w:lang w:val="ro-MO"/>
          </w:rPr>
          <w:t>3.6.2 Principiile aplicate de ANRCETI pentru stabilirea remediilor</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_Toc492907418 \h </w:instrText>
        </w:r>
        <w:r w:rsidR="009A6487" w:rsidRPr="009A6487">
          <w:rPr>
            <w:noProof/>
            <w:webHidden/>
          </w:rPr>
        </w:r>
        <w:r w:rsidR="009A6487" w:rsidRPr="009A6487">
          <w:rPr>
            <w:noProof/>
            <w:webHidden/>
          </w:rPr>
          <w:fldChar w:fldCharType="separate"/>
        </w:r>
        <w:r w:rsidR="00F160BA">
          <w:rPr>
            <w:noProof/>
            <w:webHidden/>
          </w:rPr>
          <w:t>67</w:t>
        </w:r>
        <w:r w:rsidR="009A6487" w:rsidRPr="009A6487">
          <w:rPr>
            <w:noProof/>
            <w:webHidden/>
          </w:rPr>
          <w:fldChar w:fldCharType="end"/>
        </w:r>
      </w:hyperlink>
    </w:p>
    <w:p w:rsidR="009A6487" w:rsidRPr="009A6487" w:rsidRDefault="009A602F">
      <w:pPr>
        <w:pStyle w:val="TOC4"/>
        <w:tabs>
          <w:tab w:val="right" w:leader="dot" w:pos="10245"/>
        </w:tabs>
        <w:rPr>
          <w:rFonts w:asciiTheme="minorHAnsi" w:eastAsiaTheme="minorEastAsia" w:hAnsiTheme="minorHAnsi"/>
          <w:noProof/>
          <w:sz w:val="22"/>
        </w:rPr>
      </w:pPr>
      <w:hyperlink w:anchor="_Toc492907419" w:history="1">
        <w:r w:rsidR="009A6487" w:rsidRPr="009A6487">
          <w:rPr>
            <w:rStyle w:val="Hyperlink"/>
            <w:rFonts w:cs="Times New Roman"/>
            <w:noProof/>
            <w:lang w:val="ro-MO"/>
          </w:rPr>
          <w:t>3.6.3 Obligaţii impuse anterior în sarcina furnizorului cu putere semnificativă şi impactul acestora asupra concurenţei de piaţă</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_Toc492907419 \h </w:instrText>
        </w:r>
        <w:r w:rsidR="009A6487" w:rsidRPr="009A6487">
          <w:rPr>
            <w:noProof/>
            <w:webHidden/>
          </w:rPr>
        </w:r>
        <w:r w:rsidR="009A6487" w:rsidRPr="009A6487">
          <w:rPr>
            <w:noProof/>
            <w:webHidden/>
          </w:rPr>
          <w:fldChar w:fldCharType="separate"/>
        </w:r>
        <w:r w:rsidR="00F160BA">
          <w:rPr>
            <w:noProof/>
            <w:webHidden/>
          </w:rPr>
          <w:t>68</w:t>
        </w:r>
        <w:r w:rsidR="009A6487" w:rsidRPr="009A6487">
          <w:rPr>
            <w:noProof/>
            <w:webHidden/>
          </w:rPr>
          <w:fldChar w:fldCharType="end"/>
        </w:r>
      </w:hyperlink>
    </w:p>
    <w:p w:rsidR="009A6487" w:rsidRDefault="009A602F">
      <w:pPr>
        <w:pStyle w:val="TOC4"/>
        <w:tabs>
          <w:tab w:val="right" w:leader="dot" w:pos="10245"/>
        </w:tabs>
        <w:rPr>
          <w:rFonts w:asciiTheme="minorHAnsi" w:eastAsiaTheme="minorEastAsia" w:hAnsiTheme="minorHAnsi"/>
          <w:noProof/>
          <w:sz w:val="22"/>
        </w:rPr>
      </w:pPr>
      <w:hyperlink w:anchor="_Toc492907420" w:history="1">
        <w:r w:rsidR="009A6487" w:rsidRPr="009A6487">
          <w:rPr>
            <w:rStyle w:val="Hyperlink"/>
            <w:rFonts w:cs="Times New Roman"/>
            <w:noProof/>
            <w:lang w:val="ro-MO"/>
          </w:rPr>
          <w:t>3.6.4 Examinarea remediilor necesare</w:t>
        </w:r>
        <w:r w:rsidR="009A6487" w:rsidRPr="009A6487">
          <w:rPr>
            <w:noProof/>
            <w:webHidden/>
          </w:rPr>
          <w:tab/>
        </w:r>
        <w:r w:rsidR="009A6487" w:rsidRPr="009A6487">
          <w:rPr>
            <w:noProof/>
            <w:webHidden/>
          </w:rPr>
          <w:fldChar w:fldCharType="begin"/>
        </w:r>
        <w:r w:rsidR="009A6487" w:rsidRPr="009A6487">
          <w:rPr>
            <w:noProof/>
            <w:webHidden/>
          </w:rPr>
          <w:instrText xml:space="preserve"> PAGEREF _Toc492907420 \h </w:instrText>
        </w:r>
        <w:r w:rsidR="009A6487" w:rsidRPr="009A6487">
          <w:rPr>
            <w:noProof/>
            <w:webHidden/>
          </w:rPr>
        </w:r>
        <w:r w:rsidR="009A6487" w:rsidRPr="009A6487">
          <w:rPr>
            <w:noProof/>
            <w:webHidden/>
          </w:rPr>
          <w:fldChar w:fldCharType="separate"/>
        </w:r>
        <w:r w:rsidR="00F160BA">
          <w:rPr>
            <w:noProof/>
            <w:webHidden/>
          </w:rPr>
          <w:t>70</w:t>
        </w:r>
        <w:r w:rsidR="009A6487" w:rsidRPr="009A6487">
          <w:rPr>
            <w:noProof/>
            <w:webHidden/>
          </w:rPr>
          <w:fldChar w:fldCharType="end"/>
        </w:r>
      </w:hyperlink>
    </w:p>
    <w:p w:rsidR="00925DE7" w:rsidRPr="00446F65" w:rsidRDefault="001648E5" w:rsidP="00317915">
      <w:pPr>
        <w:spacing w:line="240" w:lineRule="auto"/>
        <w:rPr>
          <w:rFonts w:ascii="Times New Roman" w:hAnsi="Times New Roman" w:cs="Times New Roman"/>
          <w:b/>
          <w:sz w:val="26"/>
          <w:szCs w:val="26"/>
          <w:lang w:val="ro-MO"/>
        </w:rPr>
      </w:pPr>
      <w:r w:rsidRPr="00446F65">
        <w:rPr>
          <w:rFonts w:ascii="Times New Roman" w:hAnsi="Times New Roman" w:cs="Times New Roman"/>
          <w:b/>
          <w:sz w:val="26"/>
          <w:szCs w:val="26"/>
          <w:lang w:val="ro-MO"/>
        </w:rPr>
        <w:fldChar w:fldCharType="end"/>
      </w:r>
      <w:r w:rsidR="00925DE7" w:rsidRPr="00446F65">
        <w:rPr>
          <w:rFonts w:ascii="Times New Roman" w:hAnsi="Times New Roman" w:cs="Times New Roman"/>
          <w:b/>
          <w:sz w:val="26"/>
          <w:szCs w:val="26"/>
          <w:lang w:val="ro-MO"/>
        </w:rPr>
        <w:br w:type="page"/>
      </w:r>
    </w:p>
    <w:p w:rsidR="00AC277A" w:rsidRPr="00122CAE" w:rsidRDefault="00637B7C" w:rsidP="00122CAE">
      <w:pPr>
        <w:pStyle w:val="Heading1"/>
        <w:numPr>
          <w:ilvl w:val="0"/>
          <w:numId w:val="9"/>
        </w:numPr>
        <w:spacing w:before="0" w:line="240" w:lineRule="auto"/>
        <w:rPr>
          <w:rFonts w:cs="Times New Roman"/>
          <w:color w:val="auto"/>
          <w:sz w:val="26"/>
          <w:szCs w:val="26"/>
          <w:lang w:val="ro-MO"/>
        </w:rPr>
      </w:pPr>
      <w:bookmarkStart w:id="1" w:name="_Toc492907361"/>
      <w:r w:rsidRPr="00122CAE">
        <w:rPr>
          <w:rFonts w:cs="Times New Roman"/>
          <w:color w:val="auto"/>
          <w:sz w:val="26"/>
          <w:szCs w:val="26"/>
          <w:lang w:val="ro-MO"/>
        </w:rPr>
        <w:lastRenderedPageBreak/>
        <w:t>Introducere</w:t>
      </w:r>
      <w:bookmarkEnd w:id="1"/>
    </w:p>
    <w:p w:rsidR="00595326" w:rsidRPr="00122CAE" w:rsidRDefault="00595326" w:rsidP="00317915">
      <w:pPr>
        <w:spacing w:after="0" w:line="240" w:lineRule="auto"/>
        <w:ind w:firstLine="720"/>
        <w:jc w:val="both"/>
        <w:rPr>
          <w:rFonts w:ascii="Times New Roman" w:hAnsi="Times New Roman" w:cs="Times New Roman"/>
          <w:sz w:val="26"/>
          <w:szCs w:val="26"/>
          <w:lang w:val="ro-MO"/>
        </w:rPr>
      </w:pPr>
    </w:p>
    <w:p w:rsidR="000458DC" w:rsidRPr="00122CAE" w:rsidRDefault="00AC277A" w:rsidP="00317915">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 xml:space="preserve">În conformitate cu articolul 51 din Legea </w:t>
      </w:r>
      <w:r w:rsidR="009D3406" w:rsidRPr="00122CAE">
        <w:rPr>
          <w:rFonts w:ascii="Times New Roman" w:hAnsi="Times New Roman" w:cs="Times New Roman"/>
          <w:sz w:val="26"/>
          <w:szCs w:val="26"/>
          <w:lang w:val="ro-MO"/>
        </w:rPr>
        <w:t>comunicaţiilor electronice nr. 241-XVI din 15 noiembrie 2007 (Monitorul Oficial al Republicii Moldova, 2008, nr. 51-54, art.155) cu modificările și completările ulterioare</w:t>
      </w:r>
      <w:r w:rsidR="009D3406" w:rsidRPr="00122CAE">
        <w:rPr>
          <w:rFonts w:ascii="Times New Roman" w:hAnsi="Times New Roman" w:cs="Times New Roman"/>
          <w:i/>
          <w:sz w:val="26"/>
          <w:szCs w:val="26"/>
          <w:lang w:val="ro-MO"/>
        </w:rPr>
        <w:t>,</w:t>
      </w:r>
      <w:r w:rsidR="009D3406" w:rsidRPr="00122CAE" w:rsidDel="009D3406">
        <w:rPr>
          <w:rFonts w:ascii="Times New Roman" w:hAnsi="Times New Roman" w:cs="Times New Roman"/>
          <w:sz w:val="26"/>
          <w:szCs w:val="26"/>
          <w:lang w:val="ro-MO"/>
        </w:rPr>
        <w:t xml:space="preserve"> </w:t>
      </w:r>
      <w:r w:rsidR="00D17B56" w:rsidRPr="00122CAE">
        <w:rPr>
          <w:rFonts w:ascii="Times New Roman" w:hAnsi="Times New Roman" w:cs="Times New Roman"/>
          <w:sz w:val="26"/>
          <w:szCs w:val="26"/>
          <w:lang w:val="ro-MO"/>
        </w:rPr>
        <w:t xml:space="preserve">în continuare </w:t>
      </w:r>
      <w:r w:rsidR="009D3406" w:rsidRPr="00122CAE">
        <w:rPr>
          <w:rFonts w:ascii="Times New Roman" w:hAnsi="Times New Roman" w:cs="Times New Roman"/>
          <w:sz w:val="26"/>
          <w:szCs w:val="26"/>
          <w:lang w:val="ro-MO"/>
        </w:rPr>
        <w:t xml:space="preserve">denumită </w:t>
      </w:r>
      <w:r w:rsidRPr="00122CAE">
        <w:rPr>
          <w:rFonts w:ascii="Times New Roman" w:hAnsi="Times New Roman" w:cs="Times New Roman"/>
          <w:sz w:val="26"/>
          <w:szCs w:val="26"/>
          <w:lang w:val="ro-MO"/>
        </w:rPr>
        <w:t>Legea</w:t>
      </w:r>
      <w:r w:rsidR="00D17B56" w:rsidRPr="00122CAE">
        <w:rPr>
          <w:rFonts w:ascii="Times New Roman" w:hAnsi="Times New Roman" w:cs="Times New Roman"/>
          <w:sz w:val="26"/>
          <w:szCs w:val="26"/>
          <w:lang w:val="ro-MO"/>
        </w:rPr>
        <w:t xml:space="preserve"> </w:t>
      </w:r>
      <w:r w:rsidR="009D3406" w:rsidRPr="00122CAE">
        <w:rPr>
          <w:rFonts w:ascii="Times New Roman" w:hAnsi="Times New Roman" w:cs="Times New Roman"/>
          <w:sz w:val="26"/>
          <w:szCs w:val="26"/>
          <w:lang w:val="ro-MO"/>
        </w:rPr>
        <w:t>241</w:t>
      </w:r>
      <w:r w:rsidR="00CA7D32" w:rsidRPr="00122CAE">
        <w:rPr>
          <w:rFonts w:ascii="Times New Roman" w:hAnsi="Times New Roman" w:cs="Times New Roman"/>
          <w:sz w:val="26"/>
          <w:szCs w:val="26"/>
          <w:lang w:val="ro-MO"/>
        </w:rPr>
        <w:t>/2007</w:t>
      </w:r>
      <w:r w:rsidR="009D3406" w:rsidRPr="00122CAE">
        <w:rPr>
          <w:rFonts w:ascii="Times New Roman" w:hAnsi="Times New Roman" w:cs="Times New Roman"/>
          <w:sz w:val="26"/>
          <w:szCs w:val="26"/>
          <w:lang w:val="ro-MO"/>
        </w:rPr>
        <w:t>,</w:t>
      </w:r>
      <w:r w:rsidR="007C057B" w:rsidRPr="00122CAE">
        <w:rPr>
          <w:rFonts w:ascii="Times New Roman" w:hAnsi="Times New Roman" w:cs="Times New Roman"/>
          <w:sz w:val="26"/>
          <w:szCs w:val="26"/>
          <w:lang w:val="ro-MO"/>
        </w:rPr>
        <w:t xml:space="preserve"> </w:t>
      </w:r>
      <w:r w:rsidRPr="00122CAE">
        <w:rPr>
          <w:rFonts w:ascii="Times New Roman" w:hAnsi="Times New Roman" w:cs="Times New Roman"/>
          <w:sz w:val="26"/>
          <w:szCs w:val="26"/>
          <w:lang w:val="ro-MO"/>
        </w:rPr>
        <w:t>Agenţia Naţională pentru Reglementare în Comunicaţii Electronice şi Tehnologia Informaţiei (ANRCETI) identifică pieţele relevante şi efectuează analize de piaţă pe aceste pieţe în scopul determinării faptului dacă piaţa relevantă este suficient de competitivă şi al impunerii, menţinerii, modificării ori retragerii obligaţiilor speciale preventive. ANRCETI defineşte metodologia şi criteriile de identificare a pieţelor relevante şi identifică aceste pieţe, luând în considerare condiţiile naţionale specifice. De asemenea, ANRCETI publică lista pieţelor relevante.</w:t>
      </w:r>
    </w:p>
    <w:p w:rsidR="00B3170B" w:rsidRPr="00122CAE" w:rsidRDefault="00AC277A" w:rsidP="00317915">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Procesul de identificare şi analiză a pieţelor relevante a fost stabilit în Regulamentul privind identificarea şi analiza pieţelor relevante din domeniul comunicaţiilor electronice şi desemnarea furnizorilor de reţele şi/sau servicii de comunicaţii electronice cu putere semnificativă pe aceste pieţe, aprobat prin Hotărârea Consiliului de Administraţie al ANRCETI nr.</w:t>
      </w:r>
      <w:r w:rsidR="00193426" w:rsidRPr="00122CAE">
        <w:rPr>
          <w:rFonts w:ascii="Times New Roman" w:hAnsi="Times New Roman" w:cs="Times New Roman"/>
          <w:sz w:val="26"/>
          <w:szCs w:val="26"/>
          <w:lang w:val="ro-MO"/>
        </w:rPr>
        <w:t xml:space="preserve"> </w:t>
      </w:r>
      <w:r w:rsidRPr="00122CAE">
        <w:rPr>
          <w:rFonts w:ascii="Times New Roman" w:hAnsi="Times New Roman" w:cs="Times New Roman"/>
          <w:sz w:val="26"/>
          <w:szCs w:val="26"/>
          <w:lang w:val="ro-MO"/>
        </w:rPr>
        <w:t>55 din 29 decembrie 2008</w:t>
      </w:r>
      <w:r w:rsidR="009D3406" w:rsidRPr="00122CAE">
        <w:rPr>
          <w:rFonts w:ascii="Times New Roman" w:hAnsi="Times New Roman" w:cs="Times New Roman"/>
          <w:sz w:val="26"/>
          <w:szCs w:val="26"/>
          <w:lang w:val="ro-MO"/>
        </w:rPr>
        <w:t xml:space="preserve">, în continuare denumit </w:t>
      </w:r>
      <w:r w:rsidRPr="00122CAE">
        <w:rPr>
          <w:rFonts w:ascii="Times New Roman" w:hAnsi="Times New Roman" w:cs="Times New Roman"/>
          <w:sz w:val="26"/>
          <w:szCs w:val="26"/>
          <w:lang w:val="ro-MO"/>
        </w:rPr>
        <w:t>Regulament</w:t>
      </w:r>
      <w:r w:rsidR="009D3406" w:rsidRPr="00122CAE">
        <w:rPr>
          <w:rFonts w:ascii="Times New Roman" w:hAnsi="Times New Roman" w:cs="Times New Roman"/>
          <w:sz w:val="26"/>
          <w:szCs w:val="26"/>
          <w:lang w:val="ro-MO"/>
        </w:rPr>
        <w:t>.</w:t>
      </w:r>
      <w:r w:rsidRPr="00122CAE">
        <w:rPr>
          <w:rFonts w:ascii="Times New Roman" w:hAnsi="Times New Roman" w:cs="Times New Roman"/>
          <w:sz w:val="26"/>
          <w:szCs w:val="26"/>
          <w:lang w:val="ro-MO"/>
        </w:rPr>
        <w:t xml:space="preserve"> </w:t>
      </w:r>
      <w:r w:rsidR="00BA537E" w:rsidRPr="00122CAE">
        <w:rPr>
          <w:rFonts w:ascii="Times New Roman" w:hAnsi="Times New Roman" w:cs="Times New Roman"/>
          <w:sz w:val="26"/>
          <w:szCs w:val="26"/>
          <w:lang w:val="ro-MO"/>
        </w:rPr>
        <w:t xml:space="preserve">Regulamentul prevede instrumentele (criteriile) utilizate de către ANRCETI în vederea analizei pieţelor pentru identificarea pieţelor relevante reglementării </w:t>
      </w:r>
      <w:r w:rsidR="00BA537E" w:rsidRPr="00122CAE">
        <w:rPr>
          <w:rFonts w:ascii="Times New Roman" w:hAnsi="Times New Roman" w:cs="Times New Roman"/>
          <w:i/>
          <w:sz w:val="26"/>
          <w:szCs w:val="26"/>
          <w:lang w:val="ro-MO"/>
        </w:rPr>
        <w:t>ex-ante</w:t>
      </w:r>
      <w:r w:rsidR="00BA537E" w:rsidRPr="00122CAE">
        <w:rPr>
          <w:rFonts w:ascii="Times New Roman" w:hAnsi="Times New Roman" w:cs="Times New Roman"/>
          <w:sz w:val="26"/>
          <w:szCs w:val="26"/>
          <w:lang w:val="ro-MO"/>
        </w:rPr>
        <w:t xml:space="preserve"> (preventive)</w:t>
      </w:r>
      <w:r w:rsidR="00DD0961" w:rsidRPr="00122CAE">
        <w:rPr>
          <w:rFonts w:ascii="Times New Roman" w:hAnsi="Times New Roman" w:cs="Times New Roman"/>
          <w:sz w:val="26"/>
          <w:szCs w:val="26"/>
          <w:lang w:val="ro-MO"/>
        </w:rPr>
        <w:t xml:space="preserve">, analiza în detaliu a pieţelor relevante în vederea determinării furnizorilor cu putere semnificativă pe acestea şi impunerii măsurilor </w:t>
      </w:r>
      <w:r w:rsidR="005B0E79" w:rsidRPr="00122CAE">
        <w:rPr>
          <w:rFonts w:ascii="Times New Roman" w:hAnsi="Times New Roman" w:cs="Times New Roman"/>
          <w:i/>
          <w:sz w:val="26"/>
          <w:szCs w:val="26"/>
          <w:lang w:val="ro-MO"/>
        </w:rPr>
        <w:t>ex-ante</w:t>
      </w:r>
      <w:r w:rsidR="00DD0961" w:rsidRPr="00122CAE">
        <w:rPr>
          <w:rFonts w:ascii="Times New Roman" w:hAnsi="Times New Roman" w:cs="Times New Roman"/>
          <w:sz w:val="26"/>
          <w:szCs w:val="26"/>
          <w:lang w:val="ro-MO"/>
        </w:rPr>
        <w:t xml:space="preserve"> în sarcina acestor furnizori. </w:t>
      </w:r>
    </w:p>
    <w:p w:rsidR="00DC6558" w:rsidRPr="00122CAE" w:rsidRDefault="009A1118" w:rsidP="00317915">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 xml:space="preserve">ANRCETI a efectuat </w:t>
      </w:r>
      <w:r w:rsidR="00D70FB9" w:rsidRPr="00122CAE">
        <w:rPr>
          <w:rFonts w:ascii="Times New Roman" w:hAnsi="Times New Roman" w:cs="Times New Roman"/>
          <w:sz w:val="26"/>
          <w:szCs w:val="26"/>
          <w:lang w:val="ro-MO"/>
        </w:rPr>
        <w:t xml:space="preserve">analiza </w:t>
      </w:r>
      <w:r w:rsidR="00B32602" w:rsidRPr="00122CAE">
        <w:rPr>
          <w:rFonts w:ascii="Times New Roman" w:hAnsi="Times New Roman" w:cs="Times New Roman"/>
          <w:sz w:val="26"/>
          <w:szCs w:val="26"/>
          <w:lang w:val="ro-MO"/>
        </w:rPr>
        <w:t>pi</w:t>
      </w:r>
      <w:r w:rsidR="00D70FB9" w:rsidRPr="00122CAE">
        <w:rPr>
          <w:rFonts w:ascii="Times New Roman" w:hAnsi="Times New Roman" w:cs="Times New Roman"/>
          <w:sz w:val="26"/>
          <w:szCs w:val="26"/>
          <w:lang w:val="ro-MO"/>
        </w:rPr>
        <w:t>e</w:t>
      </w:r>
      <w:r w:rsidR="00B32602" w:rsidRPr="00122CAE">
        <w:rPr>
          <w:rFonts w:ascii="Times New Roman" w:hAnsi="Times New Roman" w:cs="Times New Roman"/>
          <w:sz w:val="26"/>
          <w:szCs w:val="26"/>
          <w:lang w:val="ro-MO"/>
        </w:rPr>
        <w:t>ţ</w:t>
      </w:r>
      <w:r w:rsidR="00D70FB9" w:rsidRPr="00122CAE">
        <w:rPr>
          <w:rFonts w:ascii="Times New Roman" w:hAnsi="Times New Roman" w:cs="Times New Roman"/>
          <w:sz w:val="26"/>
          <w:szCs w:val="26"/>
          <w:lang w:val="ro-MO"/>
        </w:rPr>
        <w:t>ei</w:t>
      </w:r>
      <w:r w:rsidR="00B32602" w:rsidRPr="00122CAE">
        <w:rPr>
          <w:rFonts w:ascii="Times New Roman" w:hAnsi="Times New Roman" w:cs="Times New Roman"/>
          <w:sz w:val="26"/>
          <w:szCs w:val="26"/>
          <w:lang w:val="ro-MO"/>
        </w:rPr>
        <w:t xml:space="preserve"> accesului cu ridicata </w:t>
      </w:r>
      <w:r w:rsidR="00580CA9" w:rsidRPr="00122CAE">
        <w:rPr>
          <w:rFonts w:ascii="Times New Roman" w:hAnsi="Times New Roman" w:cs="Times New Roman"/>
          <w:sz w:val="26"/>
          <w:szCs w:val="26"/>
          <w:lang w:val="ro-MO"/>
        </w:rPr>
        <w:t>la infrastructura de rețea la un post fix</w:t>
      </w:r>
      <w:r w:rsidR="00CB7117" w:rsidRPr="00122CAE" w:rsidDel="00CB7117">
        <w:rPr>
          <w:rStyle w:val="FootnoteReference"/>
          <w:rFonts w:ascii="Times New Roman" w:hAnsi="Times New Roman" w:cs="Times New Roman"/>
          <w:sz w:val="26"/>
          <w:szCs w:val="26"/>
          <w:lang w:val="ro-MO"/>
        </w:rPr>
        <w:t xml:space="preserve"> </w:t>
      </w:r>
      <w:r w:rsidR="00B32602" w:rsidRPr="00122CAE">
        <w:rPr>
          <w:rFonts w:ascii="Times New Roman" w:hAnsi="Times New Roman" w:cs="Times New Roman"/>
          <w:sz w:val="26"/>
          <w:szCs w:val="26"/>
          <w:lang w:val="ro-MO"/>
        </w:rPr>
        <w:t>(Piaţa 4</w:t>
      </w:r>
      <w:r w:rsidR="00D17B56" w:rsidRPr="00122CAE">
        <w:rPr>
          <w:rFonts w:ascii="Times New Roman" w:hAnsi="Times New Roman" w:cs="Times New Roman"/>
          <w:sz w:val="26"/>
          <w:szCs w:val="26"/>
          <w:lang w:val="ro-MO"/>
        </w:rPr>
        <w:t>)</w:t>
      </w:r>
      <w:r w:rsidR="00193426" w:rsidRPr="00122CAE">
        <w:rPr>
          <w:rFonts w:ascii="Times New Roman" w:hAnsi="Times New Roman" w:cs="Times New Roman"/>
          <w:sz w:val="26"/>
          <w:szCs w:val="26"/>
          <w:lang w:val="ro-MO"/>
        </w:rPr>
        <w:t xml:space="preserve"> și </w:t>
      </w:r>
      <w:r w:rsidR="00D70FB9" w:rsidRPr="00122CAE">
        <w:rPr>
          <w:rFonts w:ascii="Times New Roman" w:hAnsi="Times New Roman" w:cs="Times New Roman"/>
          <w:sz w:val="26"/>
          <w:szCs w:val="26"/>
          <w:lang w:val="ro-MO"/>
        </w:rPr>
        <w:t xml:space="preserve">analiza </w:t>
      </w:r>
      <w:r w:rsidR="00D935B1" w:rsidRPr="00122CAE">
        <w:rPr>
          <w:rFonts w:ascii="Times New Roman" w:hAnsi="Times New Roman" w:cs="Times New Roman"/>
          <w:sz w:val="26"/>
          <w:szCs w:val="26"/>
          <w:lang w:val="ro-MO"/>
        </w:rPr>
        <w:t>pi</w:t>
      </w:r>
      <w:r w:rsidR="00D70FB9" w:rsidRPr="00122CAE">
        <w:rPr>
          <w:rFonts w:ascii="Times New Roman" w:hAnsi="Times New Roman" w:cs="Times New Roman"/>
          <w:sz w:val="26"/>
          <w:szCs w:val="26"/>
          <w:lang w:val="ro-MO"/>
        </w:rPr>
        <w:t>e</w:t>
      </w:r>
      <w:r w:rsidR="00D935B1" w:rsidRPr="00122CAE">
        <w:rPr>
          <w:rFonts w:ascii="Times New Roman" w:hAnsi="Times New Roman" w:cs="Times New Roman"/>
          <w:sz w:val="26"/>
          <w:szCs w:val="26"/>
          <w:lang w:val="ro-MO"/>
        </w:rPr>
        <w:t>ţ</w:t>
      </w:r>
      <w:r w:rsidR="00D70FB9" w:rsidRPr="00122CAE">
        <w:rPr>
          <w:rFonts w:ascii="Times New Roman" w:hAnsi="Times New Roman" w:cs="Times New Roman"/>
          <w:sz w:val="26"/>
          <w:szCs w:val="26"/>
          <w:lang w:val="ro-MO"/>
        </w:rPr>
        <w:t>ei</w:t>
      </w:r>
      <w:r w:rsidR="00D935B1" w:rsidRPr="00122CAE">
        <w:rPr>
          <w:rFonts w:ascii="Times New Roman" w:hAnsi="Times New Roman" w:cs="Times New Roman"/>
          <w:sz w:val="26"/>
          <w:szCs w:val="26"/>
          <w:lang w:val="ro-MO"/>
        </w:rPr>
        <w:t xml:space="preserve"> accesului cu ridicata la comunicații în bandă largă (Piaţa 5)</w:t>
      </w:r>
      <w:r w:rsidR="00D70FB9" w:rsidRPr="00122CAE">
        <w:rPr>
          <w:rFonts w:ascii="Times New Roman" w:hAnsi="Times New Roman" w:cs="Times New Roman"/>
          <w:sz w:val="26"/>
          <w:szCs w:val="26"/>
          <w:lang w:val="ro-MO"/>
        </w:rPr>
        <w:t xml:space="preserve"> în anul 2010 (prima iterație), în anul 2013 (a doua iterație) și în anul 2015 (a treia iterație)</w:t>
      </w:r>
      <w:r w:rsidR="003A6AB5" w:rsidRPr="00122CAE">
        <w:rPr>
          <w:rFonts w:ascii="Times New Roman" w:hAnsi="Times New Roman" w:cs="Times New Roman"/>
          <w:sz w:val="26"/>
          <w:szCs w:val="26"/>
          <w:lang w:val="ro-MO"/>
        </w:rPr>
        <w:t xml:space="preserve">. </w:t>
      </w:r>
    </w:p>
    <w:p w:rsidR="00A63587" w:rsidRPr="00122CAE" w:rsidRDefault="00A63587" w:rsidP="00317915">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În urma primei iterații a</w:t>
      </w:r>
      <w:r w:rsidR="00076AD9" w:rsidRPr="00122CAE">
        <w:rPr>
          <w:rFonts w:ascii="Times New Roman" w:hAnsi="Times New Roman" w:cs="Times New Roman"/>
          <w:sz w:val="26"/>
          <w:szCs w:val="26"/>
          <w:lang w:val="ro-MO"/>
        </w:rPr>
        <w:t>le</w:t>
      </w:r>
      <w:r w:rsidRPr="00122CAE">
        <w:rPr>
          <w:rFonts w:ascii="Times New Roman" w:hAnsi="Times New Roman" w:cs="Times New Roman"/>
          <w:sz w:val="26"/>
          <w:szCs w:val="26"/>
          <w:lang w:val="ro-MO"/>
        </w:rPr>
        <w:t xml:space="preserve"> analizelor efectuate au fost identificate piețele 4 și 5 drept susceptibile reglementării preventive (Hotărârile Consiliului de Administraţie al ANRCETI nr. 09 și 10 din 18.03.2010), drept furnizor cu putere semnificativă pe aceste pieţe (Hotărârile Consiliului de Administraţie al ANRCETI nr. 29 și 30 din 28.09.2010) </w:t>
      </w:r>
      <w:r w:rsidR="00CA7D32" w:rsidRPr="00122CAE">
        <w:rPr>
          <w:rFonts w:ascii="Times New Roman" w:hAnsi="Times New Roman" w:cs="Times New Roman"/>
          <w:sz w:val="26"/>
          <w:szCs w:val="26"/>
          <w:lang w:val="ro-MO"/>
        </w:rPr>
        <w:t xml:space="preserve">a fost desemnat S.A. „Moldtelecom” </w:t>
      </w:r>
      <w:r w:rsidRPr="00122CAE">
        <w:rPr>
          <w:rFonts w:ascii="Times New Roman" w:hAnsi="Times New Roman" w:cs="Times New Roman"/>
          <w:sz w:val="26"/>
          <w:szCs w:val="26"/>
          <w:lang w:val="ro-MO"/>
        </w:rPr>
        <w:t>și au fost impuse obligaţii speciale preventive în sarcina acestuia (Hotărârile Consiliului de Administraţie al ANRCETI nr. 05 și 06 din 28.03.2011).</w:t>
      </w:r>
    </w:p>
    <w:p w:rsidR="00A63587" w:rsidRPr="00122CAE" w:rsidRDefault="00076AD9" w:rsidP="00317915">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În urma celei de-a doua iterații ale analizelor efectuate au fost identificate piețele 4 și 5 drept susceptibile reglementării preventive</w:t>
      </w:r>
      <w:r w:rsidR="004F61DF" w:rsidRPr="00122CAE">
        <w:rPr>
          <w:rFonts w:ascii="Times New Roman" w:hAnsi="Times New Roman" w:cs="Times New Roman"/>
          <w:sz w:val="26"/>
          <w:szCs w:val="26"/>
          <w:lang w:val="ro-MO"/>
        </w:rPr>
        <w:t>,</w:t>
      </w:r>
      <w:r w:rsidRPr="00122CAE">
        <w:rPr>
          <w:rFonts w:ascii="Times New Roman" w:hAnsi="Times New Roman" w:cs="Times New Roman"/>
          <w:sz w:val="26"/>
          <w:szCs w:val="26"/>
          <w:lang w:val="ro-MO"/>
        </w:rPr>
        <w:t xml:space="preserve"> a fost desemnat S.A. „Moldtelecom” drept furnizor cu putere semnificativă pe aceste pieţe (Hotărârile Consiliului de Administraţie al ANRCETI nr. 5 și 6 din 14.02.2013)</w:t>
      </w:r>
      <w:r w:rsidR="004F61DF" w:rsidRPr="00122CAE">
        <w:rPr>
          <w:rFonts w:ascii="Times New Roman" w:hAnsi="Times New Roman" w:cs="Times New Roman"/>
          <w:sz w:val="26"/>
          <w:szCs w:val="26"/>
          <w:lang w:val="ro-MO"/>
        </w:rPr>
        <w:t>, au fost impuse obligaţii speciale preventive în sarcina acestuia pe piața 4 (Hotărârea Consiliului de Administraţie al ANRCETI nr. 56 din 26.09.2013), iar pe piața 5 au fost menținute, cu anumite modificări și completări (Hotărârea Consiliului de Administraţie al ANRCETI nr. 57 din 26.09.2013) obligaţii</w:t>
      </w:r>
      <w:r w:rsidR="00BF0BFB" w:rsidRPr="00122CAE">
        <w:rPr>
          <w:rFonts w:ascii="Times New Roman" w:hAnsi="Times New Roman" w:cs="Times New Roman"/>
          <w:sz w:val="26"/>
          <w:szCs w:val="26"/>
          <w:lang w:val="ro-MO"/>
        </w:rPr>
        <w:t>le</w:t>
      </w:r>
      <w:r w:rsidR="004F61DF" w:rsidRPr="00122CAE">
        <w:rPr>
          <w:rFonts w:ascii="Times New Roman" w:hAnsi="Times New Roman" w:cs="Times New Roman"/>
          <w:sz w:val="26"/>
          <w:szCs w:val="26"/>
          <w:lang w:val="ro-MO"/>
        </w:rPr>
        <w:t xml:space="preserve"> speciale preventive impuse anterior prin Hotărârea Consiliului de Administraţie al ANRCETI nr. 06 din </w:t>
      </w:r>
      <w:r w:rsidR="00BF0BFB" w:rsidRPr="00122CAE">
        <w:rPr>
          <w:rFonts w:ascii="Times New Roman" w:hAnsi="Times New Roman" w:cs="Times New Roman"/>
          <w:sz w:val="26"/>
          <w:szCs w:val="26"/>
          <w:lang w:val="ro-MO"/>
        </w:rPr>
        <w:t>28.03.2011</w:t>
      </w:r>
      <w:r w:rsidRPr="00122CAE">
        <w:rPr>
          <w:rFonts w:ascii="Times New Roman" w:hAnsi="Times New Roman" w:cs="Times New Roman"/>
          <w:sz w:val="26"/>
          <w:szCs w:val="26"/>
          <w:lang w:val="ro-MO"/>
        </w:rPr>
        <w:t xml:space="preserve">.    </w:t>
      </w:r>
    </w:p>
    <w:p w:rsidR="00BF0BFB" w:rsidRPr="00122CAE" w:rsidRDefault="00BF0BFB" w:rsidP="00122CAE">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În urma celei de-a treia iterații ale analizelor efectuate au fost identificate piețele 4 și 5 drept susceptibile reglementării preventive, drept furnizor cu putere semnificativă pe aceste pieţe</w:t>
      </w:r>
      <w:r w:rsidR="000D6893" w:rsidRPr="00122CAE">
        <w:rPr>
          <w:rFonts w:ascii="Times New Roman" w:hAnsi="Times New Roman" w:cs="Times New Roman"/>
          <w:sz w:val="26"/>
          <w:szCs w:val="26"/>
          <w:lang w:val="ro-MO"/>
        </w:rPr>
        <w:t xml:space="preserve"> </w:t>
      </w:r>
      <w:r w:rsidR="00CA7D32" w:rsidRPr="00122CAE">
        <w:rPr>
          <w:rFonts w:ascii="Times New Roman" w:hAnsi="Times New Roman" w:cs="Times New Roman"/>
          <w:sz w:val="26"/>
          <w:szCs w:val="26"/>
          <w:lang w:val="ro-MO"/>
        </w:rPr>
        <w:t xml:space="preserve">a fost desemnat S.A. „Moldtelecom” </w:t>
      </w:r>
      <w:r w:rsidR="000D6893" w:rsidRPr="00122CAE">
        <w:rPr>
          <w:rFonts w:ascii="Times New Roman" w:hAnsi="Times New Roman" w:cs="Times New Roman"/>
          <w:sz w:val="26"/>
          <w:szCs w:val="26"/>
          <w:lang w:val="ro-MO"/>
        </w:rPr>
        <w:t>și</w:t>
      </w:r>
      <w:r w:rsidRPr="00122CAE">
        <w:rPr>
          <w:rFonts w:ascii="Times New Roman" w:hAnsi="Times New Roman" w:cs="Times New Roman"/>
          <w:sz w:val="26"/>
          <w:szCs w:val="26"/>
          <w:lang w:val="ro-MO"/>
        </w:rPr>
        <w:t xml:space="preserve"> au fost menținute obligaţiile speciale preventive impuse anterior </w:t>
      </w:r>
      <w:r w:rsidR="000D6893" w:rsidRPr="00122CAE">
        <w:rPr>
          <w:rFonts w:ascii="Times New Roman" w:hAnsi="Times New Roman" w:cs="Times New Roman"/>
          <w:sz w:val="26"/>
          <w:szCs w:val="26"/>
          <w:lang w:val="ro-MO"/>
        </w:rPr>
        <w:t>în sarcina acestuia (Hotărârile Consiliului de Administraţie al ANRCETI nr. 64 și 65 din 01.10.2015).</w:t>
      </w:r>
      <w:r w:rsidRPr="00122CAE">
        <w:rPr>
          <w:rFonts w:ascii="Times New Roman" w:hAnsi="Times New Roman" w:cs="Times New Roman"/>
          <w:sz w:val="26"/>
          <w:szCs w:val="26"/>
          <w:lang w:val="ro-MO"/>
        </w:rPr>
        <w:t xml:space="preserve">    </w:t>
      </w:r>
    </w:p>
    <w:p w:rsidR="000D6893" w:rsidRPr="00122CAE" w:rsidRDefault="000D6893" w:rsidP="00122CAE">
      <w:pPr>
        <w:spacing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 xml:space="preserve">În </w:t>
      </w:r>
      <w:r w:rsidR="002026C6" w:rsidRPr="00122CAE">
        <w:rPr>
          <w:rFonts w:ascii="Times New Roman" w:hAnsi="Times New Roman" w:cs="Times New Roman"/>
          <w:sz w:val="26"/>
          <w:szCs w:val="26"/>
          <w:lang w:val="ro-MO"/>
        </w:rPr>
        <w:t>anul 2016</w:t>
      </w:r>
      <w:r w:rsidRPr="00122CAE">
        <w:rPr>
          <w:rFonts w:ascii="Times New Roman" w:hAnsi="Times New Roman" w:cs="Times New Roman"/>
          <w:sz w:val="26"/>
          <w:szCs w:val="26"/>
          <w:lang w:val="ro-MO"/>
        </w:rPr>
        <w:t xml:space="preserve"> ANRCETI a iniţiat elaborarea analizelor de piaţă în iteraţia a 4-a. În urma analizei ANRCETI are dreptul să impună, să menţină, să modifice sau să revoce obligaţiile faţă de furnizorii de reţele şi/sau servicii de comunicaţii electronice.</w:t>
      </w:r>
    </w:p>
    <w:p w:rsidR="00DC6558" w:rsidRPr="00122CAE" w:rsidRDefault="00DC6558" w:rsidP="00317915">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lastRenderedPageBreak/>
        <w:t>Piaţa accesului cu ridicata la infrastructura de rețea la un post fix</w:t>
      </w:r>
      <w:r w:rsidRPr="00122CAE" w:rsidDel="00CB7117">
        <w:rPr>
          <w:rStyle w:val="FootnoteReference"/>
          <w:rFonts w:ascii="Times New Roman" w:hAnsi="Times New Roman" w:cs="Times New Roman"/>
          <w:sz w:val="26"/>
          <w:szCs w:val="26"/>
          <w:lang w:val="ro-MO"/>
        </w:rPr>
        <w:t xml:space="preserve"> </w:t>
      </w:r>
      <w:r w:rsidRPr="00122CAE">
        <w:rPr>
          <w:rFonts w:ascii="Times New Roman" w:hAnsi="Times New Roman" w:cs="Times New Roman"/>
          <w:sz w:val="26"/>
          <w:szCs w:val="26"/>
          <w:lang w:val="ro-MO"/>
        </w:rPr>
        <w:t>(Piaţa 4) și piața accesului cu ridicata la comunicații în bandă largă (Piaţa 5) fac parte din lista piețelor relevante din Recomandarea Comisiei Europene 2007/879/EC</w:t>
      </w:r>
      <w:r w:rsidRPr="00122CAE">
        <w:rPr>
          <w:rStyle w:val="FootnoteReference"/>
          <w:rFonts w:ascii="Times New Roman" w:hAnsi="Times New Roman" w:cs="Times New Roman"/>
          <w:sz w:val="26"/>
          <w:szCs w:val="26"/>
          <w:lang w:val="ro-MO"/>
        </w:rPr>
        <w:footnoteReference w:id="1"/>
      </w:r>
      <w:r w:rsidRPr="00122CAE">
        <w:rPr>
          <w:rFonts w:ascii="Times New Roman" w:hAnsi="Times New Roman" w:cs="Times New Roman"/>
          <w:sz w:val="26"/>
          <w:szCs w:val="26"/>
          <w:lang w:val="ro-MO"/>
        </w:rPr>
        <w:t xml:space="preserve"> privind piețele relevante de produse și de servicii din sectorul comunicațiilor electronice care pot face obiectul unei reglementări </w:t>
      </w:r>
      <w:r w:rsidRPr="00122CAE">
        <w:rPr>
          <w:rFonts w:ascii="Times New Roman" w:hAnsi="Times New Roman" w:cs="Times New Roman"/>
          <w:i/>
          <w:sz w:val="26"/>
          <w:szCs w:val="26"/>
          <w:lang w:val="ro-MO"/>
        </w:rPr>
        <w:t>ex-ante</w:t>
      </w:r>
      <w:r w:rsidRPr="00122CAE">
        <w:rPr>
          <w:rFonts w:ascii="Times New Roman" w:hAnsi="Times New Roman" w:cs="Times New Roman"/>
          <w:sz w:val="26"/>
          <w:szCs w:val="26"/>
          <w:lang w:val="ro-MO"/>
        </w:rPr>
        <w:t>, în conformitate cu Directiva 2002/21/CE a Parlamentului European și a Consiliului privind un cadru de reglementare comun pentru rețelele și serviciile de comunicații electronice.</w:t>
      </w:r>
    </w:p>
    <w:p w:rsidR="00DC6558" w:rsidRPr="00122CAE" w:rsidRDefault="007D200B" w:rsidP="00122CAE">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 xml:space="preserve">Odată cu trecerea a </w:t>
      </w:r>
      <w:r w:rsidR="00F778DE" w:rsidRPr="00122CAE">
        <w:rPr>
          <w:rFonts w:ascii="Times New Roman" w:hAnsi="Times New Roman" w:cs="Times New Roman"/>
          <w:sz w:val="26"/>
          <w:szCs w:val="26"/>
          <w:lang w:val="ro-MO"/>
        </w:rPr>
        <w:t>7</w:t>
      </w:r>
      <w:r w:rsidRPr="00122CAE">
        <w:rPr>
          <w:rFonts w:ascii="Times New Roman" w:hAnsi="Times New Roman" w:cs="Times New Roman"/>
          <w:sz w:val="26"/>
          <w:szCs w:val="26"/>
          <w:lang w:val="ro-MO"/>
        </w:rPr>
        <w:t xml:space="preserve"> ani de la ultima revizuire a Recomandării </w:t>
      </w:r>
      <w:r w:rsidR="00F778DE" w:rsidRPr="00122CAE">
        <w:rPr>
          <w:rFonts w:ascii="Times New Roman" w:hAnsi="Times New Roman" w:cs="Times New Roman"/>
          <w:sz w:val="26"/>
          <w:szCs w:val="26"/>
          <w:lang w:val="ro-MO"/>
        </w:rPr>
        <w:t>privind piețele relevante (Recomandarea 2007/879/EC),</w:t>
      </w:r>
      <w:r w:rsidRPr="00122CAE">
        <w:rPr>
          <w:rFonts w:ascii="Times New Roman" w:hAnsi="Times New Roman" w:cs="Times New Roman"/>
          <w:sz w:val="26"/>
          <w:szCs w:val="26"/>
          <w:lang w:val="ro-MO"/>
        </w:rPr>
        <w:t xml:space="preserve"> Comisia</w:t>
      </w:r>
      <w:r w:rsidR="00CA7D32" w:rsidRPr="00122CAE">
        <w:rPr>
          <w:rFonts w:ascii="Times New Roman" w:hAnsi="Times New Roman" w:cs="Times New Roman"/>
          <w:sz w:val="26"/>
          <w:szCs w:val="26"/>
          <w:lang w:val="ro-MO"/>
        </w:rPr>
        <w:t xml:space="preserve"> Europeană</w:t>
      </w:r>
      <w:r w:rsidRPr="00122CAE">
        <w:rPr>
          <w:rFonts w:ascii="Times New Roman" w:hAnsi="Times New Roman" w:cs="Times New Roman"/>
          <w:sz w:val="26"/>
          <w:szCs w:val="26"/>
          <w:lang w:val="ro-MO"/>
        </w:rPr>
        <w:t>, pe 9 octombrie 2014, a adoptat o nouă Recomandare cu privire la piețele relevante de produse și servicii din sectorul comunicațiilor electronice susceptibile reglementării preventive (în continuare Recomandarea 2014/710/EU</w:t>
      </w:r>
      <w:r w:rsidR="00F778DE" w:rsidRPr="00122CAE">
        <w:rPr>
          <w:rStyle w:val="FootnoteReference"/>
          <w:rFonts w:ascii="Times New Roman" w:hAnsi="Times New Roman" w:cs="Times New Roman"/>
          <w:sz w:val="26"/>
          <w:szCs w:val="26"/>
          <w:lang w:val="ro-MO"/>
        </w:rPr>
        <w:footnoteReference w:id="2"/>
      </w:r>
      <w:r w:rsidRPr="00122CAE">
        <w:rPr>
          <w:rFonts w:ascii="Times New Roman" w:hAnsi="Times New Roman" w:cs="Times New Roman"/>
          <w:sz w:val="26"/>
          <w:szCs w:val="26"/>
          <w:lang w:val="ro-MO"/>
        </w:rPr>
        <w:t>)</w:t>
      </w:r>
      <w:r w:rsidR="00F778DE" w:rsidRPr="00122CAE">
        <w:rPr>
          <w:rFonts w:ascii="Times New Roman" w:hAnsi="Times New Roman" w:cs="Times New Roman"/>
          <w:sz w:val="26"/>
          <w:szCs w:val="26"/>
          <w:lang w:val="ro-MO"/>
        </w:rPr>
        <w:t>.</w:t>
      </w:r>
    </w:p>
    <w:p w:rsidR="00F778DE" w:rsidRPr="00122CAE" w:rsidRDefault="00F778DE" w:rsidP="00122CAE">
      <w:pPr>
        <w:spacing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 xml:space="preserve">Concluzia în urma consultărilor publice a Recomandării 2014/710/EU, a studiului </w:t>
      </w:r>
      <w:r w:rsidR="00CA7D32" w:rsidRPr="00122CAE">
        <w:rPr>
          <w:rFonts w:ascii="Times New Roman" w:hAnsi="Times New Roman" w:cs="Times New Roman"/>
          <w:sz w:val="26"/>
          <w:szCs w:val="26"/>
          <w:lang w:val="ro-MO"/>
        </w:rPr>
        <w:t xml:space="preserve">furnizat Comisiei Europene </w:t>
      </w:r>
      <w:r w:rsidRPr="00122CAE">
        <w:rPr>
          <w:rFonts w:ascii="Times New Roman" w:hAnsi="Times New Roman" w:cs="Times New Roman"/>
          <w:sz w:val="26"/>
          <w:szCs w:val="26"/>
          <w:lang w:val="ro-MO"/>
        </w:rPr>
        <w:t>de experți (</w:t>
      </w:r>
      <w:proofErr w:type="spellStart"/>
      <w:r w:rsidRPr="00122CAE">
        <w:rPr>
          <w:rFonts w:ascii="Times New Roman" w:hAnsi="Times New Roman" w:cs="Times New Roman"/>
          <w:i/>
          <w:sz w:val="26"/>
          <w:szCs w:val="26"/>
          <w:lang w:val="ro-MO"/>
        </w:rPr>
        <w:t>Ecorys</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Idate</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Icri</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Future</w:t>
      </w:r>
      <w:proofErr w:type="spellEnd"/>
      <w:r w:rsidRPr="00122CAE">
        <w:rPr>
          <w:rFonts w:ascii="Times New Roman" w:hAnsi="Times New Roman" w:cs="Times New Roman"/>
          <w:i/>
          <w:sz w:val="26"/>
          <w:szCs w:val="26"/>
          <w:lang w:val="ro-MO"/>
        </w:rPr>
        <w:t xml:space="preserve"> electronic </w:t>
      </w:r>
      <w:proofErr w:type="spellStart"/>
      <w:r w:rsidRPr="00122CAE">
        <w:rPr>
          <w:rFonts w:ascii="Times New Roman" w:hAnsi="Times New Roman" w:cs="Times New Roman"/>
          <w:i/>
          <w:sz w:val="26"/>
          <w:szCs w:val="26"/>
          <w:lang w:val="ro-MO"/>
        </w:rPr>
        <w:t>communications</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markets</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subject</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to</w:t>
      </w:r>
      <w:proofErr w:type="spellEnd"/>
      <w:r w:rsidRPr="00122CAE">
        <w:rPr>
          <w:rFonts w:ascii="Times New Roman" w:hAnsi="Times New Roman" w:cs="Times New Roman"/>
          <w:i/>
          <w:sz w:val="26"/>
          <w:szCs w:val="26"/>
          <w:lang w:val="ro-MO"/>
        </w:rPr>
        <w:t xml:space="preserve"> ex ante </w:t>
      </w:r>
      <w:proofErr w:type="spellStart"/>
      <w:r w:rsidRPr="00122CAE">
        <w:rPr>
          <w:rFonts w:ascii="Times New Roman" w:hAnsi="Times New Roman" w:cs="Times New Roman"/>
          <w:i/>
          <w:sz w:val="26"/>
          <w:szCs w:val="26"/>
          <w:lang w:val="ro-MO"/>
        </w:rPr>
        <w:t>regu</w:t>
      </w:r>
      <w:r w:rsidR="007C7958" w:rsidRPr="00122CAE">
        <w:rPr>
          <w:rFonts w:ascii="Times New Roman" w:hAnsi="Times New Roman" w:cs="Times New Roman"/>
          <w:i/>
          <w:sz w:val="26"/>
          <w:szCs w:val="26"/>
          <w:lang w:val="ro-MO"/>
        </w:rPr>
        <w:t>lation</w:t>
      </w:r>
      <w:proofErr w:type="spellEnd"/>
      <w:r w:rsidR="007C7958" w:rsidRPr="00122CAE">
        <w:rPr>
          <w:rFonts w:ascii="Times New Roman" w:hAnsi="Times New Roman" w:cs="Times New Roman"/>
          <w:i/>
          <w:sz w:val="26"/>
          <w:szCs w:val="26"/>
          <w:lang w:val="ro-MO"/>
        </w:rPr>
        <w:t>, Final report, 18.9.2013</w:t>
      </w:r>
      <w:r w:rsidRPr="00122CAE">
        <w:rPr>
          <w:rStyle w:val="FootnoteReference"/>
          <w:rFonts w:ascii="Times New Roman" w:hAnsi="Times New Roman" w:cs="Times New Roman"/>
          <w:sz w:val="26"/>
          <w:szCs w:val="26"/>
          <w:lang w:val="ro-MO"/>
        </w:rPr>
        <w:footnoteReference w:id="3"/>
      </w:r>
      <w:r w:rsidRPr="00122CAE">
        <w:rPr>
          <w:rFonts w:ascii="Times New Roman" w:hAnsi="Times New Roman" w:cs="Times New Roman"/>
          <w:sz w:val="26"/>
          <w:szCs w:val="26"/>
          <w:lang w:val="ro-MO"/>
        </w:rPr>
        <w:t xml:space="preserve">) și a discuțiilor Comisiei </w:t>
      </w:r>
      <w:r w:rsidR="00CA7D32" w:rsidRPr="00122CAE">
        <w:rPr>
          <w:rFonts w:ascii="Times New Roman" w:hAnsi="Times New Roman" w:cs="Times New Roman"/>
          <w:sz w:val="26"/>
          <w:szCs w:val="26"/>
          <w:lang w:val="ro-MO"/>
        </w:rPr>
        <w:t xml:space="preserve">Europene </w:t>
      </w:r>
      <w:r w:rsidRPr="00122CAE">
        <w:rPr>
          <w:rFonts w:ascii="Times New Roman" w:hAnsi="Times New Roman" w:cs="Times New Roman"/>
          <w:sz w:val="26"/>
          <w:szCs w:val="26"/>
          <w:lang w:val="ro-MO"/>
        </w:rPr>
        <w:t xml:space="preserve">cu Grupul de lucru a experților BEREC este că Piața 4 “piaţa accesului cu ridicata (fizic) la infrastructura de rețea (inclusiv acces necondiţionat partajat sau total) la un post fix” și Piața 5 “piaţa accesului cu ridicata în bandă largă” din Recomandarea 2007/879/EC sunt susceptibile reglementării </w:t>
      </w:r>
      <w:r w:rsidRPr="00122CAE">
        <w:rPr>
          <w:rFonts w:ascii="Times New Roman" w:hAnsi="Times New Roman" w:cs="Times New Roman"/>
          <w:i/>
          <w:sz w:val="26"/>
          <w:szCs w:val="26"/>
          <w:lang w:val="ro-MO"/>
        </w:rPr>
        <w:t xml:space="preserve">ex-ante. </w:t>
      </w:r>
      <w:r w:rsidRPr="00122CAE">
        <w:rPr>
          <w:rFonts w:ascii="Times New Roman" w:hAnsi="Times New Roman" w:cs="Times New Roman"/>
          <w:sz w:val="26"/>
          <w:szCs w:val="26"/>
          <w:lang w:val="ro-MO"/>
        </w:rPr>
        <w:t>Părțile interesate au accentuat totuși asupra necesității de a se ține cont de dezvoltările pieței și dezvoltările tehnologice la definirea piețelor menționate.</w:t>
      </w:r>
    </w:p>
    <w:p w:rsidR="00355948" w:rsidRPr="00122CAE" w:rsidRDefault="00355948" w:rsidP="00122CAE">
      <w:pPr>
        <w:spacing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Ținând cont că în sectorul comunicațiilor electronice produsele și serviciile evoluează continuu ca rezultat al dezvoltării tehnologice (un exemplu fiind fenomenul convergenței, conform căruia produse similare pot fi furnizate prin intermediul diferitor tipuri de rețele), definițiile piețelor relevante se pot modifica în timp, pe măsură ce caracteristicile produselor și ale serviciilor pot evolua, iar posibilitățile de substituire din perspectiva cererii și a ofertei pot suferi modificări.</w:t>
      </w:r>
    </w:p>
    <w:p w:rsidR="005005A8" w:rsidRPr="00122CAE" w:rsidRDefault="00375C03" w:rsidP="00122CAE">
      <w:pPr>
        <w:spacing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În nota explicativă la Recomandarea 2014/710/UE sunt prezentate evoluțiile</w:t>
      </w:r>
      <w:r w:rsidR="009E29D1" w:rsidRPr="00122CAE">
        <w:rPr>
          <w:rFonts w:ascii="Times New Roman" w:hAnsi="Times New Roman" w:cs="Times New Roman"/>
          <w:sz w:val="26"/>
          <w:szCs w:val="26"/>
          <w:lang w:val="ro-MO"/>
        </w:rPr>
        <w:t xml:space="preserve"> tehnologice </w:t>
      </w:r>
      <w:r w:rsidRPr="00122CAE">
        <w:rPr>
          <w:rFonts w:ascii="Times New Roman" w:hAnsi="Times New Roman" w:cs="Times New Roman"/>
          <w:sz w:val="26"/>
          <w:szCs w:val="26"/>
          <w:lang w:val="ro-MO"/>
        </w:rPr>
        <w:t xml:space="preserve">observate din ultimii ani </w:t>
      </w:r>
      <w:r w:rsidR="00CE3F20" w:rsidRPr="00122CAE">
        <w:rPr>
          <w:rFonts w:ascii="Times New Roman" w:hAnsi="Times New Roman" w:cs="Times New Roman"/>
          <w:sz w:val="26"/>
          <w:szCs w:val="26"/>
          <w:lang w:val="ro-MO"/>
        </w:rPr>
        <w:t>cu</w:t>
      </w:r>
      <w:r w:rsidR="009E29D1" w:rsidRPr="00122CAE">
        <w:rPr>
          <w:rFonts w:ascii="Times New Roman" w:hAnsi="Times New Roman" w:cs="Times New Roman"/>
          <w:sz w:val="26"/>
          <w:szCs w:val="26"/>
          <w:lang w:val="ro-MO"/>
        </w:rPr>
        <w:t xml:space="preserve"> impact asupra definițiilor piețelor relevante. Acestea includ </w:t>
      </w:r>
      <w:r w:rsidR="005005A8" w:rsidRPr="00122CAE">
        <w:rPr>
          <w:rFonts w:ascii="Times New Roman" w:hAnsi="Times New Roman" w:cs="Times New Roman"/>
          <w:sz w:val="26"/>
          <w:szCs w:val="26"/>
          <w:lang w:val="ro-MO"/>
        </w:rPr>
        <w:t>lansarea rețelelor</w:t>
      </w:r>
      <w:r w:rsidR="009E29D1" w:rsidRPr="00122CAE">
        <w:rPr>
          <w:rFonts w:ascii="Times New Roman" w:hAnsi="Times New Roman" w:cs="Times New Roman"/>
          <w:sz w:val="26"/>
          <w:szCs w:val="26"/>
          <w:lang w:val="ro-MO"/>
        </w:rPr>
        <w:t xml:space="preserve"> LTE</w:t>
      </w:r>
      <w:r w:rsidR="00E639F0" w:rsidRPr="00122CAE">
        <w:rPr>
          <w:rFonts w:ascii="Times New Roman" w:hAnsi="Times New Roman" w:cs="Times New Roman"/>
          <w:i/>
          <w:sz w:val="26"/>
          <w:szCs w:val="26"/>
          <w:lang w:val="ro-MO"/>
        </w:rPr>
        <w:t xml:space="preserve"> (</w:t>
      </w:r>
      <w:proofErr w:type="spellStart"/>
      <w:r w:rsidR="00E639F0" w:rsidRPr="00122CAE">
        <w:rPr>
          <w:rFonts w:ascii="Times New Roman" w:hAnsi="Times New Roman" w:cs="Times New Roman"/>
          <w:i/>
          <w:sz w:val="26"/>
          <w:szCs w:val="26"/>
          <w:lang w:val="ro-MO"/>
        </w:rPr>
        <w:t>Long</w:t>
      </w:r>
      <w:proofErr w:type="spellEnd"/>
      <w:r w:rsidR="00E639F0" w:rsidRPr="00122CAE">
        <w:rPr>
          <w:rFonts w:ascii="Times New Roman" w:hAnsi="Times New Roman" w:cs="Times New Roman"/>
          <w:i/>
          <w:sz w:val="26"/>
          <w:szCs w:val="26"/>
          <w:lang w:val="ro-MO"/>
        </w:rPr>
        <w:t xml:space="preserve"> </w:t>
      </w:r>
      <w:proofErr w:type="spellStart"/>
      <w:r w:rsidR="00E639F0" w:rsidRPr="00122CAE">
        <w:rPr>
          <w:rFonts w:ascii="Times New Roman" w:hAnsi="Times New Roman" w:cs="Times New Roman"/>
          <w:i/>
          <w:sz w:val="26"/>
          <w:szCs w:val="26"/>
          <w:lang w:val="ro-MO"/>
        </w:rPr>
        <w:t>Term</w:t>
      </w:r>
      <w:proofErr w:type="spellEnd"/>
      <w:r w:rsidR="00E639F0" w:rsidRPr="00122CAE">
        <w:rPr>
          <w:rFonts w:ascii="Times New Roman" w:hAnsi="Times New Roman" w:cs="Times New Roman"/>
          <w:i/>
          <w:sz w:val="26"/>
          <w:szCs w:val="26"/>
          <w:lang w:val="ro-MO"/>
        </w:rPr>
        <w:t xml:space="preserve"> </w:t>
      </w:r>
      <w:proofErr w:type="spellStart"/>
      <w:r w:rsidR="00E639F0" w:rsidRPr="00122CAE">
        <w:rPr>
          <w:rFonts w:ascii="Times New Roman" w:hAnsi="Times New Roman" w:cs="Times New Roman"/>
          <w:i/>
          <w:sz w:val="26"/>
          <w:szCs w:val="26"/>
          <w:lang w:val="ro-MO"/>
        </w:rPr>
        <w:t>Evolution</w:t>
      </w:r>
      <w:proofErr w:type="spellEnd"/>
      <w:r w:rsidR="00E639F0" w:rsidRPr="00122CAE">
        <w:rPr>
          <w:rFonts w:ascii="Times New Roman" w:hAnsi="Times New Roman" w:cs="Times New Roman"/>
          <w:i/>
          <w:sz w:val="26"/>
          <w:szCs w:val="26"/>
          <w:lang w:val="ro-MO"/>
        </w:rPr>
        <w:t>)</w:t>
      </w:r>
      <w:r w:rsidR="009E29D1" w:rsidRPr="00122CAE">
        <w:rPr>
          <w:rFonts w:ascii="Times New Roman" w:hAnsi="Times New Roman" w:cs="Times New Roman"/>
          <w:sz w:val="26"/>
          <w:szCs w:val="26"/>
          <w:lang w:val="ro-MO"/>
        </w:rPr>
        <w:t xml:space="preserve">, modernizarea infrastructurilor de cablu și </w:t>
      </w:r>
      <w:r w:rsidR="005005A8" w:rsidRPr="00122CAE">
        <w:rPr>
          <w:rFonts w:ascii="Times New Roman" w:hAnsi="Times New Roman" w:cs="Times New Roman"/>
          <w:sz w:val="26"/>
          <w:szCs w:val="26"/>
          <w:lang w:val="ro-MO"/>
        </w:rPr>
        <w:t>dezvoltarea</w:t>
      </w:r>
      <w:r w:rsidR="009E29D1" w:rsidRPr="00122CAE">
        <w:rPr>
          <w:rFonts w:ascii="Times New Roman" w:hAnsi="Times New Roman" w:cs="Times New Roman"/>
          <w:sz w:val="26"/>
          <w:szCs w:val="26"/>
          <w:lang w:val="ro-MO"/>
        </w:rPr>
        <w:t xml:space="preserve"> rețelelor de fibră optică. Mai mult, </w:t>
      </w:r>
      <w:r w:rsidR="00911C77" w:rsidRPr="00122CAE">
        <w:rPr>
          <w:rFonts w:ascii="Times New Roman" w:hAnsi="Times New Roman" w:cs="Times New Roman"/>
          <w:sz w:val="26"/>
          <w:szCs w:val="26"/>
          <w:lang w:val="ro-MO"/>
        </w:rPr>
        <w:t xml:space="preserve">creșterea substanțială a utilizării </w:t>
      </w:r>
      <w:r w:rsidR="00BB04D4" w:rsidRPr="00122CAE">
        <w:rPr>
          <w:rFonts w:ascii="Times New Roman" w:hAnsi="Times New Roman" w:cs="Times New Roman"/>
          <w:sz w:val="26"/>
          <w:szCs w:val="26"/>
          <w:lang w:val="ro-MO"/>
        </w:rPr>
        <w:t>I</w:t>
      </w:r>
      <w:r w:rsidR="00911C77" w:rsidRPr="00122CAE">
        <w:rPr>
          <w:rFonts w:ascii="Times New Roman" w:hAnsi="Times New Roman" w:cs="Times New Roman"/>
          <w:sz w:val="26"/>
          <w:szCs w:val="26"/>
          <w:lang w:val="ro-MO"/>
        </w:rPr>
        <w:t xml:space="preserve">nternetului în bandă largă </w:t>
      </w:r>
      <w:r w:rsidR="00B00EFF" w:rsidRPr="00122CAE">
        <w:rPr>
          <w:rFonts w:ascii="Times New Roman" w:hAnsi="Times New Roman" w:cs="Times New Roman"/>
          <w:sz w:val="26"/>
          <w:szCs w:val="26"/>
          <w:lang w:val="ro-MO"/>
        </w:rPr>
        <w:t>a dus la o creștere atât a ofertei cât și a cererii pentru servicii și aplicații furnizate prin Internet, cum ar fi serviciile OTT (</w:t>
      </w:r>
      <w:proofErr w:type="spellStart"/>
      <w:r w:rsidR="00B00EFF" w:rsidRPr="00122CAE">
        <w:rPr>
          <w:rFonts w:ascii="Times New Roman" w:hAnsi="Times New Roman" w:cs="Times New Roman"/>
          <w:i/>
          <w:sz w:val="26"/>
          <w:szCs w:val="26"/>
          <w:lang w:val="ro-MO"/>
        </w:rPr>
        <w:t>Over-The-Top</w:t>
      </w:r>
      <w:proofErr w:type="spellEnd"/>
      <w:r w:rsidR="00B00EFF" w:rsidRPr="00122CAE">
        <w:rPr>
          <w:rFonts w:ascii="Times New Roman" w:hAnsi="Times New Roman" w:cs="Times New Roman"/>
          <w:sz w:val="26"/>
          <w:szCs w:val="26"/>
          <w:lang w:val="ro-MO"/>
        </w:rPr>
        <w:t xml:space="preserve">). </w:t>
      </w:r>
      <w:r w:rsidR="00670350" w:rsidRPr="00122CAE">
        <w:rPr>
          <w:rFonts w:ascii="Times New Roman" w:hAnsi="Times New Roman" w:cs="Times New Roman"/>
          <w:sz w:val="26"/>
          <w:szCs w:val="26"/>
          <w:lang w:val="ro-MO"/>
        </w:rPr>
        <w:t xml:space="preserve">Suplimentar, odată cu modernizarea tehnologiilor prin cablu și </w:t>
      </w:r>
      <w:r w:rsidR="005005A8" w:rsidRPr="00122CAE">
        <w:rPr>
          <w:rFonts w:ascii="Times New Roman" w:hAnsi="Times New Roman" w:cs="Times New Roman"/>
          <w:sz w:val="26"/>
          <w:szCs w:val="26"/>
          <w:lang w:val="ro-MO"/>
        </w:rPr>
        <w:t>dezvoltarea</w:t>
      </w:r>
      <w:r w:rsidR="00670350" w:rsidRPr="00122CAE">
        <w:rPr>
          <w:rFonts w:ascii="Times New Roman" w:hAnsi="Times New Roman" w:cs="Times New Roman"/>
          <w:sz w:val="26"/>
          <w:szCs w:val="26"/>
          <w:lang w:val="ro-MO"/>
        </w:rPr>
        <w:t xml:space="preserve"> rețelelor de fibră optică la nivel local, a crescut și nivelul competitivității inter-platforme. </w:t>
      </w:r>
      <w:r w:rsidR="00C97DA1" w:rsidRPr="00122CAE">
        <w:rPr>
          <w:rFonts w:ascii="Times New Roman" w:hAnsi="Times New Roman" w:cs="Times New Roman"/>
          <w:sz w:val="26"/>
          <w:szCs w:val="26"/>
          <w:lang w:val="ro-MO"/>
        </w:rPr>
        <w:t>P</w:t>
      </w:r>
      <w:r w:rsidR="005005A8" w:rsidRPr="00122CAE">
        <w:rPr>
          <w:rFonts w:ascii="Times New Roman" w:hAnsi="Times New Roman" w:cs="Times New Roman"/>
          <w:sz w:val="26"/>
          <w:szCs w:val="26"/>
          <w:lang w:val="ro-MO"/>
        </w:rPr>
        <w:t xml:space="preserve">rincipalele </w:t>
      </w:r>
      <w:r w:rsidR="00CE3F20" w:rsidRPr="00122CAE">
        <w:rPr>
          <w:rFonts w:ascii="Times New Roman" w:hAnsi="Times New Roman" w:cs="Times New Roman"/>
          <w:sz w:val="26"/>
          <w:szCs w:val="26"/>
          <w:lang w:val="ro-MO"/>
        </w:rPr>
        <w:t xml:space="preserve">evoluții și </w:t>
      </w:r>
      <w:r w:rsidR="005005A8" w:rsidRPr="00122CAE">
        <w:rPr>
          <w:rFonts w:ascii="Times New Roman" w:hAnsi="Times New Roman" w:cs="Times New Roman"/>
          <w:sz w:val="26"/>
          <w:szCs w:val="26"/>
          <w:lang w:val="ro-MO"/>
        </w:rPr>
        <w:t xml:space="preserve">tendințe </w:t>
      </w:r>
      <w:r w:rsidR="00C97DA1" w:rsidRPr="00122CAE">
        <w:rPr>
          <w:rFonts w:ascii="Times New Roman" w:hAnsi="Times New Roman" w:cs="Times New Roman"/>
          <w:sz w:val="26"/>
          <w:szCs w:val="26"/>
          <w:lang w:val="ro-MO"/>
        </w:rPr>
        <w:t>cu</w:t>
      </w:r>
      <w:r w:rsidR="005005A8" w:rsidRPr="00122CAE">
        <w:rPr>
          <w:rFonts w:ascii="Times New Roman" w:hAnsi="Times New Roman" w:cs="Times New Roman"/>
          <w:sz w:val="26"/>
          <w:szCs w:val="26"/>
          <w:lang w:val="ro-MO"/>
        </w:rPr>
        <w:t xml:space="preserve"> impact asupra concurenței și asupra delimitărilor piețelor propuse în prezenta analiză</w:t>
      </w:r>
      <w:r w:rsidR="00C97DA1" w:rsidRPr="00122CAE">
        <w:rPr>
          <w:rFonts w:ascii="Times New Roman" w:hAnsi="Times New Roman" w:cs="Times New Roman"/>
          <w:sz w:val="26"/>
          <w:szCs w:val="26"/>
          <w:lang w:val="ro-MO"/>
        </w:rPr>
        <w:t xml:space="preserve"> sunt:</w:t>
      </w:r>
    </w:p>
    <w:p w:rsidR="00273C85" w:rsidRPr="00122CAE" w:rsidRDefault="00E639F0" w:rsidP="00122CAE">
      <w:pPr>
        <w:pStyle w:val="ListParagraph"/>
        <w:numPr>
          <w:ilvl w:val="0"/>
          <w:numId w:val="11"/>
        </w:numPr>
        <w:spacing w:line="240" w:lineRule="auto"/>
        <w:ind w:left="0" w:firstLine="540"/>
        <w:jc w:val="both"/>
        <w:rPr>
          <w:rFonts w:ascii="Times New Roman" w:hAnsi="Times New Roman" w:cs="Times New Roman"/>
          <w:sz w:val="26"/>
          <w:szCs w:val="26"/>
          <w:lang w:val="ro-MO"/>
        </w:rPr>
      </w:pPr>
      <w:r w:rsidRPr="00122CAE">
        <w:rPr>
          <w:rFonts w:ascii="Times New Roman" w:hAnsi="Times New Roman" w:cs="Times New Roman"/>
          <w:b/>
          <w:i/>
          <w:sz w:val="26"/>
          <w:szCs w:val="26"/>
          <w:lang w:val="ro-MO"/>
        </w:rPr>
        <w:t>R</w:t>
      </w:r>
      <w:r w:rsidR="00225971" w:rsidRPr="00122CAE">
        <w:rPr>
          <w:rFonts w:ascii="Times New Roman" w:hAnsi="Times New Roman" w:cs="Times New Roman"/>
          <w:b/>
          <w:i/>
          <w:sz w:val="26"/>
          <w:szCs w:val="26"/>
          <w:lang w:val="ro-MO"/>
        </w:rPr>
        <w:t xml:space="preserve">ețelele </w:t>
      </w:r>
      <w:r w:rsidR="005005A8" w:rsidRPr="00122CAE">
        <w:rPr>
          <w:rFonts w:ascii="Times New Roman" w:hAnsi="Times New Roman" w:cs="Times New Roman"/>
          <w:b/>
          <w:i/>
          <w:sz w:val="26"/>
          <w:szCs w:val="26"/>
          <w:lang w:val="ro-MO"/>
        </w:rPr>
        <w:t>LTE</w:t>
      </w:r>
      <w:r w:rsidRPr="00122CAE">
        <w:rPr>
          <w:rFonts w:ascii="Times New Roman" w:hAnsi="Times New Roman" w:cs="Times New Roman"/>
          <w:i/>
          <w:sz w:val="26"/>
          <w:szCs w:val="26"/>
          <w:lang w:val="ro-MO"/>
        </w:rPr>
        <w:t>.</w:t>
      </w:r>
      <w:r w:rsidR="005005A8" w:rsidRPr="00122CAE">
        <w:rPr>
          <w:rFonts w:ascii="Times New Roman" w:hAnsi="Times New Roman" w:cs="Times New Roman"/>
          <w:sz w:val="26"/>
          <w:szCs w:val="26"/>
          <w:lang w:val="ro-MO"/>
        </w:rPr>
        <w:t xml:space="preserve"> </w:t>
      </w:r>
      <w:r w:rsidRPr="00122CAE">
        <w:rPr>
          <w:rFonts w:ascii="Times New Roman" w:hAnsi="Times New Roman" w:cs="Times New Roman"/>
          <w:i/>
          <w:sz w:val="26"/>
          <w:szCs w:val="26"/>
          <w:lang w:val="ro-MO"/>
        </w:rPr>
        <w:t xml:space="preserve"> </w:t>
      </w:r>
      <w:r w:rsidR="00CE3F20" w:rsidRPr="00122CAE">
        <w:rPr>
          <w:rFonts w:ascii="Times New Roman" w:hAnsi="Times New Roman" w:cs="Times New Roman"/>
          <w:sz w:val="26"/>
          <w:szCs w:val="26"/>
          <w:lang w:val="ro-MO"/>
        </w:rPr>
        <w:t xml:space="preserve">Lansarea rețelelor LTE au un impact apreciabil </w:t>
      </w:r>
      <w:r w:rsidR="004B2439" w:rsidRPr="00122CAE">
        <w:rPr>
          <w:rFonts w:ascii="Times New Roman" w:hAnsi="Times New Roman" w:cs="Times New Roman"/>
          <w:sz w:val="26"/>
          <w:szCs w:val="26"/>
          <w:lang w:val="ro-MO"/>
        </w:rPr>
        <w:t>asupra</w:t>
      </w:r>
      <w:r w:rsidR="00CE3F20" w:rsidRPr="00122CAE">
        <w:rPr>
          <w:rFonts w:ascii="Times New Roman" w:hAnsi="Times New Roman" w:cs="Times New Roman"/>
          <w:sz w:val="26"/>
          <w:szCs w:val="26"/>
          <w:lang w:val="ro-MO"/>
        </w:rPr>
        <w:t xml:space="preserve"> pi</w:t>
      </w:r>
      <w:r w:rsidR="004B2439" w:rsidRPr="00122CAE">
        <w:rPr>
          <w:rFonts w:ascii="Times New Roman" w:hAnsi="Times New Roman" w:cs="Times New Roman"/>
          <w:sz w:val="26"/>
          <w:szCs w:val="26"/>
          <w:lang w:val="ro-MO"/>
        </w:rPr>
        <w:t>eței</w:t>
      </w:r>
      <w:r w:rsidR="00171060" w:rsidRPr="00122CAE">
        <w:rPr>
          <w:rFonts w:ascii="Times New Roman" w:hAnsi="Times New Roman" w:cs="Times New Roman"/>
          <w:sz w:val="26"/>
          <w:szCs w:val="26"/>
          <w:lang w:val="ro-MO"/>
        </w:rPr>
        <w:t>, tendință care este</w:t>
      </w:r>
      <w:r w:rsidR="005005A8" w:rsidRPr="00122CAE">
        <w:rPr>
          <w:rFonts w:ascii="Times New Roman" w:hAnsi="Times New Roman" w:cs="Times New Roman"/>
          <w:sz w:val="26"/>
          <w:szCs w:val="26"/>
          <w:lang w:val="ro-MO"/>
        </w:rPr>
        <w:t xml:space="preserve"> de așteptat </w:t>
      </w:r>
      <w:r w:rsidR="00171060" w:rsidRPr="00122CAE">
        <w:rPr>
          <w:rFonts w:ascii="Times New Roman" w:hAnsi="Times New Roman" w:cs="Times New Roman"/>
          <w:sz w:val="26"/>
          <w:szCs w:val="26"/>
          <w:lang w:val="ro-MO"/>
        </w:rPr>
        <w:t>să continue și</w:t>
      </w:r>
      <w:r w:rsidR="005005A8" w:rsidRPr="00122CAE">
        <w:rPr>
          <w:rFonts w:ascii="Times New Roman" w:hAnsi="Times New Roman" w:cs="Times New Roman"/>
          <w:sz w:val="26"/>
          <w:szCs w:val="26"/>
          <w:lang w:val="ro-MO"/>
        </w:rPr>
        <w:t xml:space="preserve"> în viitorul previzibil</w:t>
      </w:r>
      <w:r w:rsidR="00EB2723" w:rsidRPr="00122CAE">
        <w:rPr>
          <w:rFonts w:ascii="Times New Roman" w:hAnsi="Times New Roman" w:cs="Times New Roman"/>
          <w:sz w:val="26"/>
          <w:szCs w:val="26"/>
          <w:lang w:val="ro-MO"/>
        </w:rPr>
        <w:t xml:space="preserve">. </w:t>
      </w:r>
      <w:r w:rsidR="00890E31" w:rsidRPr="00122CAE">
        <w:rPr>
          <w:rFonts w:ascii="Times New Roman" w:hAnsi="Times New Roman" w:cs="Times New Roman"/>
          <w:sz w:val="26"/>
          <w:szCs w:val="26"/>
          <w:lang w:val="ro-MO"/>
        </w:rPr>
        <w:t xml:space="preserve">Alocarea pentru rețelele LTE de spectru suplimentar, utilizarea de arhitectură de rețea </w:t>
      </w:r>
      <w:r w:rsidR="00F57440" w:rsidRPr="00122CAE">
        <w:rPr>
          <w:rFonts w:ascii="Times New Roman" w:hAnsi="Times New Roman" w:cs="Times New Roman"/>
          <w:sz w:val="26"/>
          <w:szCs w:val="26"/>
          <w:lang w:val="ro-MO"/>
        </w:rPr>
        <w:t xml:space="preserve">combinată </w:t>
      </w:r>
      <w:r w:rsidR="00890E31" w:rsidRPr="00122CAE">
        <w:rPr>
          <w:rFonts w:ascii="Times New Roman" w:hAnsi="Times New Roman" w:cs="Times New Roman"/>
          <w:sz w:val="26"/>
          <w:szCs w:val="26"/>
          <w:lang w:val="ro-MO"/>
        </w:rPr>
        <w:t>bazată pe “</w:t>
      </w:r>
      <w:r w:rsidR="00890E31" w:rsidRPr="00122CAE">
        <w:rPr>
          <w:rFonts w:ascii="Times New Roman" w:hAnsi="Times New Roman" w:cs="Times New Roman"/>
          <w:i/>
          <w:sz w:val="26"/>
          <w:szCs w:val="26"/>
          <w:lang w:val="ro-MO"/>
        </w:rPr>
        <w:t xml:space="preserve">macro </w:t>
      </w:r>
      <w:proofErr w:type="spellStart"/>
      <w:r w:rsidR="00890E31" w:rsidRPr="00122CAE">
        <w:rPr>
          <w:rFonts w:ascii="Times New Roman" w:hAnsi="Times New Roman" w:cs="Times New Roman"/>
          <w:i/>
          <w:sz w:val="26"/>
          <w:szCs w:val="26"/>
          <w:lang w:val="ro-MO"/>
        </w:rPr>
        <w:t>cells</w:t>
      </w:r>
      <w:proofErr w:type="spellEnd"/>
      <w:r w:rsidR="00890E31" w:rsidRPr="00122CAE">
        <w:rPr>
          <w:rFonts w:ascii="Times New Roman" w:hAnsi="Times New Roman" w:cs="Times New Roman"/>
          <w:sz w:val="26"/>
          <w:szCs w:val="26"/>
          <w:lang w:val="ro-MO"/>
        </w:rPr>
        <w:t>” și „</w:t>
      </w:r>
      <w:proofErr w:type="spellStart"/>
      <w:r w:rsidR="00890E31" w:rsidRPr="00122CAE">
        <w:rPr>
          <w:rFonts w:ascii="Times New Roman" w:hAnsi="Times New Roman" w:cs="Times New Roman"/>
          <w:i/>
          <w:sz w:val="26"/>
          <w:szCs w:val="26"/>
          <w:lang w:val="ro-MO"/>
        </w:rPr>
        <w:t>small</w:t>
      </w:r>
      <w:proofErr w:type="spellEnd"/>
      <w:r w:rsidR="00890E31" w:rsidRPr="00122CAE">
        <w:rPr>
          <w:rFonts w:ascii="Times New Roman" w:hAnsi="Times New Roman" w:cs="Times New Roman"/>
          <w:i/>
          <w:sz w:val="26"/>
          <w:szCs w:val="26"/>
          <w:lang w:val="ro-MO"/>
        </w:rPr>
        <w:t xml:space="preserve"> </w:t>
      </w:r>
      <w:proofErr w:type="spellStart"/>
      <w:r w:rsidR="00890E31" w:rsidRPr="00122CAE">
        <w:rPr>
          <w:rFonts w:ascii="Times New Roman" w:hAnsi="Times New Roman" w:cs="Times New Roman"/>
          <w:i/>
          <w:sz w:val="26"/>
          <w:szCs w:val="26"/>
          <w:lang w:val="ro-MO"/>
        </w:rPr>
        <w:t>cells</w:t>
      </w:r>
      <w:proofErr w:type="spellEnd"/>
      <w:r w:rsidR="00890E31" w:rsidRPr="00122CAE">
        <w:rPr>
          <w:rFonts w:ascii="Times New Roman" w:hAnsi="Times New Roman" w:cs="Times New Roman"/>
          <w:sz w:val="26"/>
          <w:szCs w:val="26"/>
          <w:lang w:val="ro-MO"/>
        </w:rPr>
        <w:t>”</w:t>
      </w:r>
      <w:r w:rsidR="00F57440" w:rsidRPr="00122CAE">
        <w:rPr>
          <w:rFonts w:ascii="Times New Roman" w:hAnsi="Times New Roman" w:cs="Times New Roman"/>
          <w:sz w:val="26"/>
          <w:szCs w:val="26"/>
          <w:lang w:val="ro-MO"/>
        </w:rPr>
        <w:t>,</w:t>
      </w:r>
      <w:r w:rsidR="00890E31" w:rsidRPr="00122CAE">
        <w:rPr>
          <w:rFonts w:ascii="Times New Roman" w:hAnsi="Times New Roman" w:cs="Times New Roman"/>
          <w:sz w:val="26"/>
          <w:szCs w:val="26"/>
          <w:lang w:val="ro-MO"/>
        </w:rPr>
        <w:t xml:space="preserve"> utilizarea LTE </w:t>
      </w:r>
      <w:proofErr w:type="spellStart"/>
      <w:r w:rsidR="00890E31" w:rsidRPr="00122CAE">
        <w:rPr>
          <w:rFonts w:ascii="Times New Roman" w:hAnsi="Times New Roman" w:cs="Times New Roman"/>
          <w:i/>
          <w:sz w:val="26"/>
          <w:szCs w:val="26"/>
          <w:lang w:val="ro-MO"/>
        </w:rPr>
        <w:t>advanced</w:t>
      </w:r>
      <w:proofErr w:type="spellEnd"/>
      <w:r w:rsidR="00F57440" w:rsidRPr="00122CAE">
        <w:rPr>
          <w:rFonts w:ascii="Times New Roman" w:hAnsi="Times New Roman" w:cs="Times New Roman"/>
          <w:sz w:val="26"/>
          <w:szCs w:val="26"/>
          <w:lang w:val="ro-MO"/>
        </w:rPr>
        <w:t>, utilizarea tehnologiilor MIMO (</w:t>
      </w:r>
      <w:r w:rsidR="00F57440" w:rsidRPr="00122CAE">
        <w:rPr>
          <w:rFonts w:ascii="Times New Roman" w:hAnsi="Times New Roman" w:cs="Times New Roman"/>
          <w:i/>
          <w:sz w:val="26"/>
          <w:szCs w:val="26"/>
          <w:lang w:val="ro-MO"/>
        </w:rPr>
        <w:t xml:space="preserve">multiple-input </w:t>
      </w:r>
      <w:proofErr w:type="spellStart"/>
      <w:r w:rsidR="00F57440" w:rsidRPr="00122CAE">
        <w:rPr>
          <w:rFonts w:ascii="Times New Roman" w:hAnsi="Times New Roman" w:cs="Times New Roman"/>
          <w:i/>
          <w:sz w:val="26"/>
          <w:szCs w:val="26"/>
          <w:lang w:val="ro-MO"/>
        </w:rPr>
        <w:t>and</w:t>
      </w:r>
      <w:proofErr w:type="spellEnd"/>
      <w:r w:rsidR="00F57440" w:rsidRPr="00122CAE">
        <w:rPr>
          <w:rFonts w:ascii="Times New Roman" w:hAnsi="Times New Roman" w:cs="Times New Roman"/>
          <w:i/>
          <w:sz w:val="26"/>
          <w:szCs w:val="26"/>
          <w:lang w:val="ro-MO"/>
        </w:rPr>
        <w:t xml:space="preserve"> multiple-output</w:t>
      </w:r>
      <w:r w:rsidR="00F57440" w:rsidRPr="00122CAE">
        <w:rPr>
          <w:rFonts w:ascii="Times New Roman" w:hAnsi="Times New Roman" w:cs="Times New Roman"/>
          <w:sz w:val="26"/>
          <w:szCs w:val="26"/>
          <w:lang w:val="ro-MO"/>
        </w:rPr>
        <w:t>) în principiu</w:t>
      </w:r>
      <w:r w:rsidRPr="00122CAE">
        <w:rPr>
          <w:rFonts w:ascii="Times New Roman" w:hAnsi="Times New Roman" w:cs="Times New Roman"/>
          <w:sz w:val="26"/>
          <w:szCs w:val="26"/>
          <w:lang w:val="ro-MO"/>
        </w:rPr>
        <w:t>,</w:t>
      </w:r>
      <w:r w:rsidR="00F57440" w:rsidRPr="00122CAE">
        <w:rPr>
          <w:rFonts w:ascii="Times New Roman" w:hAnsi="Times New Roman" w:cs="Times New Roman"/>
          <w:sz w:val="26"/>
          <w:szCs w:val="26"/>
          <w:lang w:val="ro-MO"/>
        </w:rPr>
        <w:t xml:space="preserve"> vor oferi capacități mai mari (viteză mai mare, latență mai mică) la un cost unitar mai mic. Aceste dezvoltări </w:t>
      </w:r>
      <w:r w:rsidR="003963C7" w:rsidRPr="00122CAE">
        <w:rPr>
          <w:rFonts w:ascii="Times New Roman" w:hAnsi="Times New Roman" w:cs="Times New Roman"/>
          <w:sz w:val="26"/>
          <w:szCs w:val="26"/>
          <w:lang w:val="ro-MO"/>
        </w:rPr>
        <w:t>vor necesita o monitorizare pe viitor a interacțiunilor competitive între rețelele fixe și cele mobile</w:t>
      </w:r>
      <w:r w:rsidR="0007526B" w:rsidRPr="00122CAE">
        <w:rPr>
          <w:rFonts w:ascii="Times New Roman" w:hAnsi="Times New Roman" w:cs="Times New Roman"/>
          <w:sz w:val="26"/>
          <w:szCs w:val="26"/>
          <w:lang w:val="ro-MO"/>
        </w:rPr>
        <w:t xml:space="preserve">. </w:t>
      </w:r>
    </w:p>
    <w:p w:rsidR="00273C85" w:rsidRPr="00122CAE" w:rsidRDefault="00E639F0" w:rsidP="00122CAE">
      <w:pPr>
        <w:pStyle w:val="ListParagraph"/>
        <w:numPr>
          <w:ilvl w:val="0"/>
          <w:numId w:val="11"/>
        </w:numPr>
        <w:spacing w:line="240" w:lineRule="auto"/>
        <w:ind w:left="0" w:firstLine="720"/>
        <w:jc w:val="both"/>
        <w:rPr>
          <w:rFonts w:ascii="Times New Roman" w:hAnsi="Times New Roman" w:cs="Times New Roman"/>
          <w:sz w:val="26"/>
          <w:szCs w:val="26"/>
          <w:lang w:val="ro-MO"/>
        </w:rPr>
      </w:pPr>
      <w:r w:rsidRPr="00122CAE">
        <w:rPr>
          <w:rFonts w:ascii="Times New Roman" w:hAnsi="Times New Roman" w:cs="Times New Roman"/>
          <w:b/>
          <w:i/>
          <w:sz w:val="26"/>
          <w:szCs w:val="26"/>
          <w:lang w:val="ro-MO"/>
        </w:rPr>
        <w:lastRenderedPageBreak/>
        <w:t xml:space="preserve">Rețelele </w:t>
      </w:r>
      <w:r w:rsidR="00225971" w:rsidRPr="00122CAE">
        <w:rPr>
          <w:rFonts w:ascii="Times New Roman" w:hAnsi="Times New Roman" w:cs="Times New Roman"/>
          <w:b/>
          <w:i/>
          <w:sz w:val="26"/>
          <w:szCs w:val="26"/>
          <w:lang w:val="ro-MO"/>
        </w:rPr>
        <w:t>de cupru și fibră optică</w:t>
      </w:r>
      <w:r w:rsidR="004B2439" w:rsidRPr="00122CAE">
        <w:rPr>
          <w:rFonts w:ascii="Times New Roman" w:hAnsi="Times New Roman" w:cs="Times New Roman"/>
          <w:b/>
          <w:i/>
          <w:sz w:val="26"/>
          <w:szCs w:val="26"/>
          <w:lang w:val="ro-MO"/>
        </w:rPr>
        <w:t>.</w:t>
      </w:r>
      <w:r w:rsidR="004B2439" w:rsidRPr="00122CAE">
        <w:rPr>
          <w:rFonts w:ascii="Times New Roman" w:hAnsi="Times New Roman" w:cs="Times New Roman"/>
          <w:sz w:val="26"/>
          <w:szCs w:val="26"/>
          <w:lang w:val="ro-MO"/>
        </w:rPr>
        <w:t xml:space="preserve"> </w:t>
      </w:r>
      <w:r w:rsidR="004A156E" w:rsidRPr="00122CAE">
        <w:rPr>
          <w:rFonts w:ascii="Times New Roman" w:hAnsi="Times New Roman" w:cs="Times New Roman"/>
          <w:sz w:val="26"/>
          <w:szCs w:val="26"/>
          <w:lang w:val="ro-MO"/>
        </w:rPr>
        <w:t xml:space="preserve">Rețelele de acces prin fibră optică sunt în proces de dezvoltare pe scară largă, acest proces așteptându-se să continue și în viitor, însă </w:t>
      </w:r>
      <w:r w:rsidR="002C742E" w:rsidRPr="00122CAE">
        <w:rPr>
          <w:rFonts w:ascii="Times New Roman" w:hAnsi="Times New Roman" w:cs="Times New Roman"/>
          <w:sz w:val="26"/>
          <w:szCs w:val="26"/>
          <w:lang w:val="ro-MO"/>
        </w:rPr>
        <w:t>costurile ridica</w:t>
      </w:r>
      <w:r w:rsidR="00E4341C" w:rsidRPr="00122CAE">
        <w:rPr>
          <w:rFonts w:ascii="Times New Roman" w:hAnsi="Times New Roman" w:cs="Times New Roman"/>
          <w:sz w:val="26"/>
          <w:szCs w:val="26"/>
          <w:lang w:val="ro-MO"/>
        </w:rPr>
        <w:t>t</w:t>
      </w:r>
      <w:r w:rsidR="002C742E" w:rsidRPr="00122CAE">
        <w:rPr>
          <w:rFonts w:ascii="Times New Roman" w:hAnsi="Times New Roman" w:cs="Times New Roman"/>
          <w:sz w:val="26"/>
          <w:szCs w:val="26"/>
          <w:lang w:val="ro-MO"/>
        </w:rPr>
        <w:t>e împiedică o dezvoltare rapidă și universală a acestor rețele. Tranziția la NGA</w:t>
      </w:r>
      <w:r w:rsidRPr="00122CAE">
        <w:rPr>
          <w:rFonts w:ascii="Times New Roman" w:hAnsi="Times New Roman" w:cs="Times New Roman"/>
          <w:sz w:val="26"/>
          <w:szCs w:val="26"/>
          <w:lang w:val="ro-MO"/>
        </w:rPr>
        <w:t xml:space="preserve"> (</w:t>
      </w:r>
      <w:proofErr w:type="spellStart"/>
      <w:r w:rsidRPr="00122CAE">
        <w:rPr>
          <w:rFonts w:ascii="Times New Roman" w:hAnsi="Times New Roman" w:cs="Times New Roman"/>
          <w:i/>
          <w:sz w:val="26"/>
          <w:szCs w:val="26"/>
          <w:lang w:val="ro-MO"/>
        </w:rPr>
        <w:t>Next-generation</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access</w:t>
      </w:r>
      <w:proofErr w:type="spellEnd"/>
      <w:r w:rsidRPr="00122CAE">
        <w:rPr>
          <w:rFonts w:ascii="Times New Roman" w:hAnsi="Times New Roman" w:cs="Times New Roman"/>
          <w:sz w:val="26"/>
          <w:szCs w:val="26"/>
          <w:lang w:val="ro-MO"/>
        </w:rPr>
        <w:t>)</w:t>
      </w:r>
      <w:r w:rsidR="002C742E" w:rsidRPr="00122CAE">
        <w:rPr>
          <w:rFonts w:ascii="Times New Roman" w:hAnsi="Times New Roman" w:cs="Times New Roman"/>
          <w:sz w:val="26"/>
          <w:szCs w:val="26"/>
          <w:lang w:val="ro-MO"/>
        </w:rPr>
        <w:t xml:space="preserve"> va rezulta în viteze mai înalte de acces la </w:t>
      </w:r>
      <w:r w:rsidR="00BB04D4" w:rsidRPr="00122CAE">
        <w:rPr>
          <w:rFonts w:ascii="Times New Roman" w:hAnsi="Times New Roman" w:cs="Times New Roman"/>
          <w:sz w:val="26"/>
          <w:szCs w:val="26"/>
          <w:lang w:val="ro-MO"/>
        </w:rPr>
        <w:t>I</w:t>
      </w:r>
      <w:r w:rsidR="002C742E" w:rsidRPr="00122CAE">
        <w:rPr>
          <w:rFonts w:ascii="Times New Roman" w:hAnsi="Times New Roman" w:cs="Times New Roman"/>
          <w:sz w:val="26"/>
          <w:szCs w:val="26"/>
          <w:lang w:val="ro-MO"/>
        </w:rPr>
        <w:t xml:space="preserve">nternet în bandă largă și prețuri potențial mai mici. </w:t>
      </w:r>
      <w:r w:rsidR="00F04D26" w:rsidRPr="00122CAE">
        <w:rPr>
          <w:rFonts w:ascii="Times New Roman" w:hAnsi="Times New Roman" w:cs="Times New Roman"/>
          <w:sz w:val="26"/>
          <w:szCs w:val="26"/>
          <w:lang w:val="ro-MO"/>
        </w:rPr>
        <w:t>Totodată, sunt tot mai des utilizate a</w:t>
      </w:r>
      <w:r w:rsidR="002C742E" w:rsidRPr="00122CAE">
        <w:rPr>
          <w:rFonts w:ascii="Times New Roman" w:hAnsi="Times New Roman" w:cs="Times New Roman"/>
          <w:sz w:val="26"/>
          <w:szCs w:val="26"/>
          <w:lang w:val="ro-MO"/>
        </w:rPr>
        <w:t>numite tehnologii</w:t>
      </w:r>
      <w:r w:rsidR="00F04D26" w:rsidRPr="00122CAE">
        <w:rPr>
          <w:rFonts w:ascii="Times New Roman" w:hAnsi="Times New Roman" w:cs="Times New Roman"/>
          <w:sz w:val="26"/>
          <w:szCs w:val="26"/>
          <w:lang w:val="ro-MO"/>
        </w:rPr>
        <w:t xml:space="preserve"> (</w:t>
      </w:r>
      <w:r w:rsidR="002C742E" w:rsidRPr="00122CAE">
        <w:rPr>
          <w:rFonts w:ascii="Times New Roman" w:hAnsi="Times New Roman" w:cs="Times New Roman"/>
          <w:sz w:val="26"/>
          <w:szCs w:val="26"/>
          <w:lang w:val="ro-MO"/>
        </w:rPr>
        <w:t>cum ar fi “vectoring”</w:t>
      </w:r>
      <w:r w:rsidR="00F04D26" w:rsidRPr="00122CAE">
        <w:rPr>
          <w:rFonts w:ascii="Times New Roman" w:hAnsi="Times New Roman" w:cs="Times New Roman"/>
          <w:sz w:val="26"/>
          <w:szCs w:val="26"/>
          <w:lang w:val="ro-MO"/>
        </w:rPr>
        <w:t>)</w:t>
      </w:r>
      <w:r w:rsidR="002C742E" w:rsidRPr="00122CAE">
        <w:rPr>
          <w:rFonts w:ascii="Times New Roman" w:hAnsi="Times New Roman" w:cs="Times New Roman"/>
          <w:sz w:val="26"/>
          <w:szCs w:val="26"/>
          <w:lang w:val="ro-MO"/>
        </w:rPr>
        <w:t xml:space="preserve"> pentru a mări vitezele furnizate prin </w:t>
      </w:r>
      <w:r w:rsidR="00F04D26" w:rsidRPr="00122CAE">
        <w:rPr>
          <w:rFonts w:ascii="Times New Roman" w:hAnsi="Times New Roman" w:cs="Times New Roman"/>
          <w:sz w:val="26"/>
          <w:szCs w:val="26"/>
          <w:lang w:val="ro-MO"/>
        </w:rPr>
        <w:t>rețele</w:t>
      </w:r>
      <w:r w:rsidR="002C742E" w:rsidRPr="00122CAE">
        <w:rPr>
          <w:rFonts w:ascii="Times New Roman" w:hAnsi="Times New Roman" w:cs="Times New Roman"/>
          <w:sz w:val="26"/>
          <w:szCs w:val="26"/>
          <w:lang w:val="ro-MO"/>
        </w:rPr>
        <w:t xml:space="preserve"> de cupru </w:t>
      </w:r>
      <w:r w:rsidR="00F60E80" w:rsidRPr="00122CAE">
        <w:rPr>
          <w:rFonts w:ascii="Times New Roman" w:hAnsi="Times New Roman" w:cs="Times New Roman"/>
          <w:sz w:val="26"/>
          <w:szCs w:val="26"/>
          <w:lang w:val="ro-MO"/>
        </w:rPr>
        <w:t>la un nivel mai apropiat de cele furnizate prin fibră optică. De asemenea au fost dezvoltate alte produse pentru a stimula accesul la fibra optică</w:t>
      </w:r>
      <w:r w:rsidR="006F364A" w:rsidRPr="00122CAE">
        <w:rPr>
          <w:rFonts w:ascii="Times New Roman" w:hAnsi="Times New Roman" w:cs="Times New Roman"/>
          <w:sz w:val="26"/>
          <w:szCs w:val="26"/>
          <w:lang w:val="ro-MO"/>
        </w:rPr>
        <w:t>, cum ar fi accesul necondiționat local virtual (</w:t>
      </w:r>
      <w:r w:rsidR="006F364A" w:rsidRPr="00122CAE">
        <w:rPr>
          <w:rFonts w:ascii="Times New Roman" w:hAnsi="Times New Roman" w:cs="Times New Roman"/>
          <w:i/>
          <w:sz w:val="26"/>
          <w:szCs w:val="26"/>
          <w:lang w:val="ro-MO"/>
        </w:rPr>
        <w:t xml:space="preserve">VULA – virtual </w:t>
      </w:r>
      <w:proofErr w:type="spellStart"/>
      <w:r w:rsidR="006F364A" w:rsidRPr="00122CAE">
        <w:rPr>
          <w:rFonts w:ascii="Times New Roman" w:hAnsi="Times New Roman" w:cs="Times New Roman"/>
          <w:i/>
          <w:sz w:val="26"/>
          <w:szCs w:val="26"/>
          <w:lang w:val="ro-MO"/>
        </w:rPr>
        <w:t>unbundled</w:t>
      </w:r>
      <w:proofErr w:type="spellEnd"/>
      <w:r w:rsidR="006F364A" w:rsidRPr="00122CAE">
        <w:rPr>
          <w:rFonts w:ascii="Times New Roman" w:hAnsi="Times New Roman" w:cs="Times New Roman"/>
          <w:i/>
          <w:sz w:val="26"/>
          <w:szCs w:val="26"/>
          <w:lang w:val="ro-MO"/>
        </w:rPr>
        <w:t xml:space="preserve"> local </w:t>
      </w:r>
      <w:proofErr w:type="spellStart"/>
      <w:r w:rsidR="006F364A" w:rsidRPr="00122CAE">
        <w:rPr>
          <w:rFonts w:ascii="Times New Roman" w:hAnsi="Times New Roman" w:cs="Times New Roman"/>
          <w:i/>
          <w:sz w:val="26"/>
          <w:szCs w:val="26"/>
          <w:lang w:val="ro-MO"/>
        </w:rPr>
        <w:t>access</w:t>
      </w:r>
      <w:proofErr w:type="spellEnd"/>
      <w:r w:rsidR="006F364A" w:rsidRPr="00122CAE">
        <w:rPr>
          <w:rFonts w:ascii="Times New Roman" w:hAnsi="Times New Roman" w:cs="Times New Roman"/>
          <w:sz w:val="26"/>
          <w:szCs w:val="26"/>
          <w:lang w:val="ro-MO"/>
        </w:rPr>
        <w:t xml:space="preserve">). Deși </w:t>
      </w:r>
      <w:proofErr w:type="spellStart"/>
      <w:r w:rsidR="006F364A" w:rsidRPr="00122CAE">
        <w:rPr>
          <w:rFonts w:ascii="Times New Roman" w:hAnsi="Times New Roman" w:cs="Times New Roman"/>
          <w:sz w:val="26"/>
          <w:szCs w:val="26"/>
          <w:lang w:val="ro-MO"/>
        </w:rPr>
        <w:t>degruparea</w:t>
      </w:r>
      <w:proofErr w:type="spellEnd"/>
      <w:r w:rsidR="006F364A" w:rsidRPr="00122CAE">
        <w:rPr>
          <w:rFonts w:ascii="Times New Roman" w:hAnsi="Times New Roman" w:cs="Times New Roman"/>
          <w:sz w:val="26"/>
          <w:szCs w:val="26"/>
          <w:lang w:val="ro-MO"/>
        </w:rPr>
        <w:t xml:space="preserve"> fizică a fost impusă pentru a oferi furnizorilor un control deplin asupra rețelei, permițându-le solicitanților de acces să inoveze și să-și diferențieze ofertele cu amănuntul, astfel de produse virtuale sunt impuse de autoritățile de reglementare unde </w:t>
      </w:r>
      <w:proofErr w:type="spellStart"/>
      <w:r w:rsidR="006F364A" w:rsidRPr="00122CAE">
        <w:rPr>
          <w:rFonts w:ascii="Times New Roman" w:hAnsi="Times New Roman" w:cs="Times New Roman"/>
          <w:sz w:val="26"/>
          <w:szCs w:val="26"/>
          <w:lang w:val="ro-MO"/>
        </w:rPr>
        <w:t>degruparea</w:t>
      </w:r>
      <w:proofErr w:type="spellEnd"/>
      <w:r w:rsidR="006F364A" w:rsidRPr="00122CAE">
        <w:rPr>
          <w:rFonts w:ascii="Times New Roman" w:hAnsi="Times New Roman" w:cs="Times New Roman"/>
          <w:sz w:val="26"/>
          <w:szCs w:val="26"/>
          <w:lang w:val="ro-MO"/>
        </w:rPr>
        <w:t xml:space="preserve"> fizică a fibrei optice nu este la moment posibilă sau în cazul în care </w:t>
      </w:r>
      <w:r w:rsidR="00EF4425" w:rsidRPr="00122CAE">
        <w:rPr>
          <w:rFonts w:ascii="Times New Roman" w:hAnsi="Times New Roman" w:cs="Times New Roman"/>
          <w:sz w:val="26"/>
          <w:szCs w:val="26"/>
          <w:lang w:val="ro-MO"/>
        </w:rPr>
        <w:t xml:space="preserve">existența </w:t>
      </w:r>
      <w:proofErr w:type="spellStart"/>
      <w:r w:rsidR="00EF4425" w:rsidRPr="00122CAE">
        <w:rPr>
          <w:rFonts w:ascii="Times New Roman" w:hAnsi="Times New Roman" w:cs="Times New Roman"/>
          <w:sz w:val="26"/>
          <w:szCs w:val="26"/>
          <w:lang w:val="ro-MO"/>
        </w:rPr>
        <w:t>degrupării</w:t>
      </w:r>
      <w:proofErr w:type="spellEnd"/>
      <w:r w:rsidR="00EF4425" w:rsidRPr="00122CAE">
        <w:rPr>
          <w:rFonts w:ascii="Times New Roman" w:hAnsi="Times New Roman" w:cs="Times New Roman"/>
          <w:sz w:val="26"/>
          <w:szCs w:val="26"/>
          <w:lang w:val="ro-MO"/>
        </w:rPr>
        <w:t xml:space="preserve"> sub-buclei nu ar permite realizarea beneficiilor obținute din utilizarea tehnologiilor “vectoring”.</w:t>
      </w:r>
      <w:r w:rsidR="002C742E" w:rsidRPr="00122CAE">
        <w:rPr>
          <w:rFonts w:ascii="Times New Roman" w:hAnsi="Times New Roman" w:cs="Times New Roman"/>
          <w:sz w:val="26"/>
          <w:szCs w:val="26"/>
          <w:lang w:val="ro-MO"/>
        </w:rPr>
        <w:t xml:space="preserve"> </w:t>
      </w:r>
    </w:p>
    <w:p w:rsidR="003F03EA" w:rsidRPr="00122CAE" w:rsidRDefault="00227382" w:rsidP="00122CAE">
      <w:pPr>
        <w:pStyle w:val="ListParagraph"/>
        <w:numPr>
          <w:ilvl w:val="0"/>
          <w:numId w:val="11"/>
        </w:numPr>
        <w:spacing w:line="240" w:lineRule="auto"/>
        <w:ind w:left="0" w:firstLine="720"/>
        <w:jc w:val="both"/>
        <w:rPr>
          <w:rFonts w:ascii="Times New Roman" w:hAnsi="Times New Roman" w:cs="Times New Roman"/>
          <w:sz w:val="26"/>
          <w:szCs w:val="26"/>
          <w:lang w:val="ro-MO"/>
        </w:rPr>
      </w:pPr>
      <w:r w:rsidRPr="00122CAE">
        <w:rPr>
          <w:rFonts w:ascii="Times New Roman" w:hAnsi="Times New Roman" w:cs="Times New Roman"/>
          <w:b/>
          <w:i/>
          <w:sz w:val="26"/>
          <w:szCs w:val="26"/>
          <w:lang w:val="ro-MO"/>
        </w:rPr>
        <w:t xml:space="preserve">Rețelele </w:t>
      </w:r>
      <w:r w:rsidR="003F03EA" w:rsidRPr="00122CAE">
        <w:rPr>
          <w:rFonts w:ascii="Times New Roman" w:hAnsi="Times New Roman" w:cs="Times New Roman"/>
          <w:b/>
          <w:i/>
          <w:sz w:val="26"/>
          <w:szCs w:val="26"/>
          <w:lang w:val="ro-MO"/>
        </w:rPr>
        <w:t>de cablu coaxial</w:t>
      </w:r>
      <w:r w:rsidR="00F04D26" w:rsidRPr="00122CAE">
        <w:rPr>
          <w:rFonts w:ascii="Times New Roman" w:hAnsi="Times New Roman" w:cs="Times New Roman"/>
          <w:b/>
          <w:i/>
          <w:sz w:val="26"/>
          <w:szCs w:val="26"/>
          <w:lang w:val="ro-MO"/>
        </w:rPr>
        <w:t>.</w:t>
      </w:r>
      <w:r w:rsidR="00F04D26" w:rsidRPr="00122CAE">
        <w:rPr>
          <w:rFonts w:ascii="Times New Roman" w:hAnsi="Times New Roman" w:cs="Times New Roman"/>
          <w:sz w:val="26"/>
          <w:szCs w:val="26"/>
          <w:lang w:val="ro-MO"/>
        </w:rPr>
        <w:t xml:space="preserve"> </w:t>
      </w:r>
      <w:r w:rsidR="003F03EA" w:rsidRPr="00122CAE">
        <w:rPr>
          <w:rFonts w:ascii="Times New Roman" w:hAnsi="Times New Roman" w:cs="Times New Roman"/>
          <w:sz w:val="26"/>
          <w:szCs w:val="26"/>
          <w:lang w:val="ro-MO"/>
        </w:rPr>
        <w:t xml:space="preserve">Standardul actual pentru cablu coaxial care permite </w:t>
      </w:r>
      <w:r w:rsidR="00B73718" w:rsidRPr="00122CAE">
        <w:rPr>
          <w:rFonts w:ascii="Times New Roman" w:hAnsi="Times New Roman" w:cs="Times New Roman"/>
          <w:sz w:val="26"/>
          <w:szCs w:val="26"/>
          <w:lang w:val="ro-MO"/>
        </w:rPr>
        <w:t xml:space="preserve">viteze până la 500 </w:t>
      </w:r>
      <w:proofErr w:type="spellStart"/>
      <w:r w:rsidR="00B73718" w:rsidRPr="00122CAE">
        <w:rPr>
          <w:rFonts w:ascii="Times New Roman" w:hAnsi="Times New Roman" w:cs="Times New Roman"/>
          <w:sz w:val="26"/>
          <w:szCs w:val="26"/>
          <w:lang w:val="ro-MO"/>
        </w:rPr>
        <w:t>Mb</w:t>
      </w:r>
      <w:proofErr w:type="spellEnd"/>
      <w:r w:rsidR="00B73718" w:rsidRPr="00122CAE">
        <w:rPr>
          <w:rFonts w:ascii="Times New Roman" w:hAnsi="Times New Roman" w:cs="Times New Roman"/>
          <w:sz w:val="26"/>
          <w:szCs w:val="26"/>
          <w:lang w:val="ro-MO"/>
        </w:rPr>
        <w:t xml:space="preserve">/s este DOCSIS 3.0, însă </w:t>
      </w:r>
      <w:r w:rsidR="00866A00" w:rsidRPr="00122CAE">
        <w:rPr>
          <w:rFonts w:ascii="Times New Roman" w:hAnsi="Times New Roman" w:cs="Times New Roman"/>
          <w:sz w:val="26"/>
          <w:szCs w:val="26"/>
          <w:lang w:val="ro-MO"/>
        </w:rPr>
        <w:t>există tendințe previzibile de</w:t>
      </w:r>
      <w:r w:rsidR="00B73718" w:rsidRPr="00122CAE">
        <w:rPr>
          <w:rFonts w:ascii="Times New Roman" w:hAnsi="Times New Roman" w:cs="Times New Roman"/>
          <w:sz w:val="26"/>
          <w:szCs w:val="26"/>
          <w:lang w:val="ro-MO"/>
        </w:rPr>
        <w:t xml:space="preserve"> modernizare </w:t>
      </w:r>
      <w:r w:rsidR="00866A00" w:rsidRPr="00122CAE">
        <w:rPr>
          <w:rFonts w:ascii="Times New Roman" w:hAnsi="Times New Roman" w:cs="Times New Roman"/>
          <w:sz w:val="26"/>
          <w:szCs w:val="26"/>
          <w:lang w:val="ro-MO"/>
        </w:rPr>
        <w:t>a acestuia până la DOCSIS 3.1 care va permite v</w:t>
      </w:r>
      <w:r w:rsidR="004279F1" w:rsidRPr="00122CAE">
        <w:rPr>
          <w:rFonts w:ascii="Times New Roman" w:hAnsi="Times New Roman" w:cs="Times New Roman"/>
          <w:sz w:val="26"/>
          <w:szCs w:val="26"/>
          <w:lang w:val="ro-MO"/>
        </w:rPr>
        <w:t>i</w:t>
      </w:r>
      <w:r w:rsidR="00866A00" w:rsidRPr="00122CAE">
        <w:rPr>
          <w:rFonts w:ascii="Times New Roman" w:hAnsi="Times New Roman" w:cs="Times New Roman"/>
          <w:sz w:val="26"/>
          <w:szCs w:val="26"/>
          <w:lang w:val="ro-MO"/>
        </w:rPr>
        <w:t>teze mai mari</w:t>
      </w:r>
      <w:r w:rsidR="00FA7F26" w:rsidRPr="00122CAE">
        <w:rPr>
          <w:rFonts w:ascii="Times New Roman" w:hAnsi="Times New Roman" w:cs="Times New Roman"/>
          <w:sz w:val="26"/>
          <w:szCs w:val="26"/>
          <w:lang w:val="ro-MO"/>
        </w:rPr>
        <w:t xml:space="preserve">, de până la 10 </w:t>
      </w:r>
      <w:proofErr w:type="spellStart"/>
      <w:r w:rsidR="00FA7F26" w:rsidRPr="00122CAE">
        <w:rPr>
          <w:rFonts w:ascii="Times New Roman" w:hAnsi="Times New Roman" w:cs="Times New Roman"/>
          <w:sz w:val="26"/>
          <w:szCs w:val="26"/>
          <w:lang w:val="ro-MO"/>
        </w:rPr>
        <w:t>Gbps</w:t>
      </w:r>
      <w:proofErr w:type="spellEnd"/>
      <w:r w:rsidR="00FA7F26" w:rsidRPr="00122CAE">
        <w:rPr>
          <w:rFonts w:ascii="Times New Roman" w:hAnsi="Times New Roman" w:cs="Times New Roman"/>
          <w:sz w:val="26"/>
          <w:szCs w:val="26"/>
          <w:lang w:val="ro-MO"/>
        </w:rPr>
        <w:t xml:space="preserve"> pe un arbore de rețea</w:t>
      </w:r>
      <w:r w:rsidR="00866A00" w:rsidRPr="00122CAE">
        <w:rPr>
          <w:rFonts w:ascii="Times New Roman" w:hAnsi="Times New Roman" w:cs="Times New Roman"/>
          <w:sz w:val="26"/>
          <w:szCs w:val="26"/>
          <w:lang w:val="ro-MO"/>
        </w:rPr>
        <w:t>. Suplimentar, unii furnizori aparent au capacitatea de a furniza produse cu ridicata de acces prin rețelele lor de cablu, ceea ar putea duce la îmbunătățirea condițiilor concurențiale și stimularea dezvoltării și implementării rețelelor NGA.</w:t>
      </w:r>
    </w:p>
    <w:p w:rsidR="0015335C" w:rsidRPr="00122CAE" w:rsidRDefault="00227382" w:rsidP="00122CAE">
      <w:pPr>
        <w:pStyle w:val="ListParagraph"/>
        <w:numPr>
          <w:ilvl w:val="0"/>
          <w:numId w:val="11"/>
        </w:numPr>
        <w:spacing w:line="240" w:lineRule="auto"/>
        <w:ind w:left="0" w:firstLine="720"/>
        <w:jc w:val="both"/>
        <w:rPr>
          <w:rFonts w:ascii="Times New Roman" w:hAnsi="Times New Roman" w:cs="Times New Roman"/>
          <w:sz w:val="26"/>
          <w:szCs w:val="26"/>
          <w:lang w:val="ro-MO"/>
        </w:rPr>
      </w:pPr>
      <w:r w:rsidRPr="00122CAE">
        <w:rPr>
          <w:rFonts w:ascii="Times New Roman" w:hAnsi="Times New Roman" w:cs="Times New Roman"/>
          <w:b/>
          <w:i/>
          <w:sz w:val="26"/>
          <w:szCs w:val="26"/>
          <w:lang w:val="ro-MO"/>
        </w:rPr>
        <w:t xml:space="preserve">Serviciile </w:t>
      </w:r>
      <w:r w:rsidR="00866A00" w:rsidRPr="00122CAE">
        <w:rPr>
          <w:rFonts w:ascii="Times New Roman" w:hAnsi="Times New Roman" w:cs="Times New Roman"/>
          <w:b/>
          <w:i/>
          <w:sz w:val="26"/>
          <w:szCs w:val="26"/>
          <w:lang w:val="ro-MO"/>
        </w:rPr>
        <w:t>OTT (Over-the-top)</w:t>
      </w:r>
      <w:r w:rsidR="00F04D26" w:rsidRPr="00122CAE">
        <w:rPr>
          <w:rFonts w:ascii="Times New Roman" w:hAnsi="Times New Roman" w:cs="Times New Roman"/>
          <w:b/>
          <w:i/>
          <w:sz w:val="26"/>
          <w:szCs w:val="26"/>
          <w:lang w:val="ro-MO"/>
        </w:rPr>
        <w:t>.</w:t>
      </w:r>
      <w:r w:rsidR="00F04D26" w:rsidRPr="00122CAE">
        <w:rPr>
          <w:rFonts w:ascii="Times New Roman" w:hAnsi="Times New Roman" w:cs="Times New Roman"/>
          <w:sz w:val="26"/>
          <w:szCs w:val="26"/>
          <w:lang w:val="ro-MO"/>
        </w:rPr>
        <w:t xml:space="preserve"> </w:t>
      </w:r>
      <w:r w:rsidR="00843439" w:rsidRPr="00122CAE">
        <w:rPr>
          <w:rFonts w:ascii="Times New Roman" w:hAnsi="Times New Roman" w:cs="Times New Roman"/>
          <w:sz w:val="26"/>
          <w:szCs w:val="26"/>
          <w:lang w:val="ro-MO"/>
        </w:rPr>
        <w:t>La nivelul cu amănuntul, are loc o creștere atât a dezvoltării serviciilor OTT</w:t>
      </w:r>
      <w:r w:rsidR="00F04D26" w:rsidRPr="00122CAE">
        <w:rPr>
          <w:rFonts w:ascii="Times New Roman" w:hAnsi="Times New Roman" w:cs="Times New Roman"/>
          <w:sz w:val="26"/>
          <w:szCs w:val="26"/>
          <w:lang w:val="ro-MO"/>
        </w:rPr>
        <w:t>,</w:t>
      </w:r>
      <w:r w:rsidR="00843439" w:rsidRPr="00122CAE">
        <w:rPr>
          <w:rFonts w:ascii="Times New Roman" w:hAnsi="Times New Roman" w:cs="Times New Roman"/>
          <w:sz w:val="26"/>
          <w:szCs w:val="26"/>
          <w:lang w:val="ro-MO"/>
        </w:rPr>
        <w:t xml:space="preserve"> cât și a cererii pentru aceste servicii, fapt ce se datorează creșterii disponibilității </w:t>
      </w:r>
      <w:r w:rsidR="00BB04D4" w:rsidRPr="00122CAE">
        <w:rPr>
          <w:rFonts w:ascii="Times New Roman" w:hAnsi="Times New Roman" w:cs="Times New Roman"/>
          <w:sz w:val="26"/>
          <w:szCs w:val="26"/>
          <w:lang w:val="ro-MO"/>
        </w:rPr>
        <w:t>I</w:t>
      </w:r>
      <w:r w:rsidR="00843439" w:rsidRPr="00122CAE">
        <w:rPr>
          <w:rFonts w:ascii="Times New Roman" w:hAnsi="Times New Roman" w:cs="Times New Roman"/>
          <w:sz w:val="26"/>
          <w:szCs w:val="26"/>
          <w:lang w:val="ro-MO"/>
        </w:rPr>
        <w:t>nternetului în bandă largă furnizat atât prin rețelele fixe</w:t>
      </w:r>
      <w:r w:rsidR="00F04D26" w:rsidRPr="00122CAE">
        <w:rPr>
          <w:rFonts w:ascii="Times New Roman" w:hAnsi="Times New Roman" w:cs="Times New Roman"/>
          <w:sz w:val="26"/>
          <w:szCs w:val="26"/>
          <w:lang w:val="ro-MO"/>
        </w:rPr>
        <w:t>,</w:t>
      </w:r>
      <w:r w:rsidR="00843439" w:rsidRPr="00122CAE">
        <w:rPr>
          <w:rFonts w:ascii="Times New Roman" w:hAnsi="Times New Roman" w:cs="Times New Roman"/>
          <w:sz w:val="26"/>
          <w:szCs w:val="26"/>
          <w:lang w:val="ro-MO"/>
        </w:rPr>
        <w:t xml:space="preserve"> cât și mobile. Mai mult, anumite servicii OTT (ca apelurile voce și SMS) ar putea fi percepute de utilizatori ca alternativă la serviciile de comunicații electronice oferite de furnizorii de rețele și/sau servicii de comunicații electronice</w:t>
      </w:r>
      <w:r w:rsidR="001C69BB" w:rsidRPr="00122CAE">
        <w:rPr>
          <w:rFonts w:ascii="Times New Roman" w:hAnsi="Times New Roman" w:cs="Times New Roman"/>
          <w:sz w:val="26"/>
          <w:szCs w:val="26"/>
          <w:lang w:val="ro-MO"/>
        </w:rPr>
        <w:t xml:space="preserve">. Aceste servicii ar putea avea efecte de subminare a modelelor de afaceri a furnizorilor de infrastructuri, deoarece multe din aceste servicii sunt furnizate gratuit pentru utilizatori. Cu toate că serviciile OTT nu sunt încă la un nivel care să fie considerate substituente pentru serviciile furnizate de furnizorii de infrastructuri, anumite dezvoltări tehnologice astfel ca expansiunea LTE și creșterea </w:t>
      </w:r>
      <w:r w:rsidR="001C69BB" w:rsidRPr="00446F65">
        <w:rPr>
          <w:rFonts w:ascii="Times New Roman" w:hAnsi="Times New Roman" w:cs="Times New Roman"/>
          <w:sz w:val="26"/>
          <w:szCs w:val="26"/>
          <w:lang w:val="ro-MO"/>
        </w:rPr>
        <w:t xml:space="preserve">penetrării </w:t>
      </w:r>
      <w:proofErr w:type="spellStart"/>
      <w:r w:rsidR="001C69BB" w:rsidRPr="00446F65">
        <w:rPr>
          <w:rFonts w:ascii="Times New Roman" w:hAnsi="Times New Roman" w:cs="Times New Roman"/>
          <w:sz w:val="26"/>
          <w:szCs w:val="26"/>
          <w:lang w:val="ro-MO"/>
        </w:rPr>
        <w:t>smartphone-lor</w:t>
      </w:r>
      <w:proofErr w:type="spellEnd"/>
      <w:r w:rsidR="001C69BB" w:rsidRPr="00446F65">
        <w:rPr>
          <w:rFonts w:ascii="Times New Roman" w:hAnsi="Times New Roman" w:cs="Times New Roman"/>
          <w:sz w:val="26"/>
          <w:szCs w:val="26"/>
          <w:lang w:val="ro-MO"/>
        </w:rPr>
        <w:t xml:space="preserve"> va duce probabil la </w:t>
      </w:r>
      <w:r w:rsidR="00754037" w:rsidRPr="00446F65">
        <w:rPr>
          <w:rFonts w:ascii="Times New Roman" w:hAnsi="Times New Roman" w:cs="Times New Roman"/>
          <w:sz w:val="26"/>
          <w:szCs w:val="26"/>
          <w:lang w:val="ro-MO"/>
        </w:rPr>
        <w:t>o expansiune continua a acestor servicii. Există furnizori de infrastructuri care și-au dezvoltat propriile servicii OTT, cum este și de exemplu</w:t>
      </w:r>
      <w:r w:rsidR="004279F1" w:rsidRPr="00446F65">
        <w:rPr>
          <w:rFonts w:ascii="Times New Roman" w:hAnsi="Times New Roman" w:cs="Times New Roman"/>
          <w:sz w:val="26"/>
          <w:szCs w:val="26"/>
          <w:lang w:val="ro-MO"/>
        </w:rPr>
        <w:t>l</w:t>
      </w:r>
      <w:r w:rsidR="00754037" w:rsidRPr="00446F65">
        <w:rPr>
          <w:rFonts w:ascii="Times New Roman" w:hAnsi="Times New Roman" w:cs="Times New Roman"/>
          <w:sz w:val="26"/>
          <w:szCs w:val="26"/>
          <w:lang w:val="ro-MO"/>
        </w:rPr>
        <w:t xml:space="preserve"> </w:t>
      </w:r>
      <w:r w:rsidR="00754037" w:rsidRPr="00122CAE">
        <w:rPr>
          <w:rFonts w:ascii="Times New Roman" w:hAnsi="Times New Roman" w:cs="Times New Roman"/>
          <w:i/>
          <w:sz w:val="26"/>
          <w:szCs w:val="26"/>
          <w:lang w:val="ro-MO"/>
        </w:rPr>
        <w:t>Unite Talk</w:t>
      </w:r>
      <w:r w:rsidR="00754037" w:rsidRPr="00122CAE">
        <w:rPr>
          <w:rFonts w:ascii="Times New Roman" w:hAnsi="Times New Roman" w:cs="Times New Roman"/>
          <w:sz w:val="26"/>
          <w:szCs w:val="26"/>
          <w:lang w:val="ro-MO"/>
        </w:rPr>
        <w:t xml:space="preserve"> – serviciu oferit de S.A.”</w:t>
      </w:r>
      <w:proofErr w:type="spellStart"/>
      <w:r w:rsidR="00754037" w:rsidRPr="00122CAE">
        <w:rPr>
          <w:rFonts w:ascii="Times New Roman" w:hAnsi="Times New Roman" w:cs="Times New Roman"/>
          <w:sz w:val="26"/>
          <w:szCs w:val="26"/>
          <w:lang w:val="ro-MO"/>
        </w:rPr>
        <w:t>Moldtelecom</w:t>
      </w:r>
      <w:proofErr w:type="spellEnd"/>
      <w:r w:rsidR="00754037" w:rsidRPr="00122CAE">
        <w:rPr>
          <w:rFonts w:ascii="Times New Roman" w:hAnsi="Times New Roman" w:cs="Times New Roman"/>
          <w:sz w:val="26"/>
          <w:szCs w:val="26"/>
          <w:lang w:val="ro-MO"/>
        </w:rPr>
        <w:t xml:space="preserve">” și </w:t>
      </w:r>
      <w:proofErr w:type="spellStart"/>
      <w:r w:rsidR="00754037" w:rsidRPr="00122CAE">
        <w:rPr>
          <w:rFonts w:ascii="Times New Roman" w:hAnsi="Times New Roman" w:cs="Times New Roman"/>
          <w:i/>
          <w:sz w:val="26"/>
          <w:szCs w:val="26"/>
          <w:lang w:val="ro-MO"/>
        </w:rPr>
        <w:t>Libon</w:t>
      </w:r>
      <w:proofErr w:type="spellEnd"/>
      <w:r w:rsidR="00754037" w:rsidRPr="00122CAE">
        <w:rPr>
          <w:rFonts w:ascii="Times New Roman" w:hAnsi="Times New Roman" w:cs="Times New Roman"/>
          <w:sz w:val="26"/>
          <w:szCs w:val="26"/>
          <w:lang w:val="ro-MO"/>
        </w:rPr>
        <w:t xml:space="preserve"> – serviciu oferit de S.A.„Orange Moldova”. Cu toate acestea serviciile OTT prezintă anumite constrângeri, cum ar fi necesitatea ca utilizatorii să fie conectați </w:t>
      </w:r>
      <w:r w:rsidR="00FA7F26" w:rsidRPr="00122CAE">
        <w:rPr>
          <w:rFonts w:ascii="Times New Roman" w:hAnsi="Times New Roman" w:cs="Times New Roman"/>
          <w:sz w:val="26"/>
          <w:szCs w:val="26"/>
          <w:lang w:val="ro-MO"/>
        </w:rPr>
        <w:t xml:space="preserve">la Internet </w:t>
      </w:r>
      <w:r w:rsidR="00754037" w:rsidRPr="00122CAE">
        <w:rPr>
          <w:rFonts w:ascii="Times New Roman" w:hAnsi="Times New Roman" w:cs="Times New Roman"/>
          <w:sz w:val="26"/>
          <w:szCs w:val="26"/>
          <w:lang w:val="ro-MO"/>
        </w:rPr>
        <w:t xml:space="preserve">pentru a putea fi utilizate serviciile. </w:t>
      </w:r>
      <w:r w:rsidR="006602DD" w:rsidRPr="00122CAE">
        <w:rPr>
          <w:rFonts w:ascii="Times New Roman" w:hAnsi="Times New Roman" w:cs="Times New Roman"/>
          <w:sz w:val="26"/>
          <w:szCs w:val="26"/>
          <w:lang w:val="ro-MO"/>
        </w:rPr>
        <w:t>Astfel,</w:t>
      </w:r>
      <w:r w:rsidR="00754037" w:rsidRPr="00122CAE">
        <w:rPr>
          <w:rFonts w:ascii="Times New Roman" w:hAnsi="Times New Roman" w:cs="Times New Roman"/>
          <w:sz w:val="26"/>
          <w:szCs w:val="26"/>
          <w:lang w:val="ro-MO"/>
        </w:rPr>
        <w:t xml:space="preserve"> este previzibil că importanța acestor servicii va fi în continuă creștere ce va avea impact în asupra pieței, în special la nivelul cu amănuntul. Totuși</w:t>
      </w:r>
      <w:r w:rsidR="006602DD" w:rsidRPr="00122CAE">
        <w:rPr>
          <w:rFonts w:ascii="Times New Roman" w:hAnsi="Times New Roman" w:cs="Times New Roman"/>
          <w:sz w:val="26"/>
          <w:szCs w:val="26"/>
          <w:lang w:val="ro-MO"/>
        </w:rPr>
        <w:t>, este de menționat că</w:t>
      </w:r>
      <w:r w:rsidR="00754037" w:rsidRPr="00122CAE">
        <w:rPr>
          <w:rFonts w:ascii="Times New Roman" w:hAnsi="Times New Roman" w:cs="Times New Roman"/>
          <w:sz w:val="26"/>
          <w:szCs w:val="26"/>
          <w:lang w:val="ro-MO"/>
        </w:rPr>
        <w:t xml:space="preserve"> serviciile OTT vor necesita și în continuare o infrastructură pe baza căreia să fie furnizat</w:t>
      </w:r>
      <w:r w:rsidR="0015335C" w:rsidRPr="00122CAE">
        <w:rPr>
          <w:rFonts w:ascii="Times New Roman" w:hAnsi="Times New Roman" w:cs="Times New Roman"/>
          <w:sz w:val="26"/>
          <w:szCs w:val="26"/>
          <w:lang w:val="ro-MO"/>
        </w:rPr>
        <w:t>e</w:t>
      </w:r>
      <w:r w:rsidR="00754037" w:rsidRPr="00122CAE">
        <w:rPr>
          <w:rFonts w:ascii="Times New Roman" w:hAnsi="Times New Roman" w:cs="Times New Roman"/>
          <w:sz w:val="26"/>
          <w:szCs w:val="26"/>
          <w:lang w:val="ro-MO"/>
        </w:rPr>
        <w:t>.</w:t>
      </w:r>
      <w:r w:rsidR="0015335C" w:rsidRPr="00122CAE">
        <w:rPr>
          <w:rFonts w:ascii="Times New Roman" w:hAnsi="Times New Roman" w:cs="Times New Roman"/>
          <w:sz w:val="26"/>
          <w:szCs w:val="26"/>
          <w:lang w:val="ro-MO"/>
        </w:rPr>
        <w:t xml:space="preserve"> </w:t>
      </w:r>
    </w:p>
    <w:p w:rsidR="0015335C" w:rsidRPr="00122CAE" w:rsidRDefault="0007526B" w:rsidP="00122CAE">
      <w:pPr>
        <w:pStyle w:val="ListParagraph"/>
        <w:numPr>
          <w:ilvl w:val="0"/>
          <w:numId w:val="11"/>
        </w:numPr>
        <w:spacing w:after="0" w:line="240" w:lineRule="auto"/>
        <w:ind w:left="0" w:firstLine="720"/>
        <w:jc w:val="both"/>
        <w:rPr>
          <w:rFonts w:ascii="Times New Roman" w:hAnsi="Times New Roman" w:cs="Times New Roman"/>
          <w:sz w:val="26"/>
          <w:szCs w:val="26"/>
          <w:lang w:val="ro-MO"/>
        </w:rPr>
      </w:pPr>
      <w:r w:rsidRPr="00122CAE">
        <w:rPr>
          <w:rFonts w:ascii="Times New Roman" w:hAnsi="Times New Roman" w:cs="Times New Roman"/>
          <w:b/>
          <w:i/>
          <w:sz w:val="26"/>
          <w:szCs w:val="26"/>
          <w:lang w:val="ro-MO"/>
        </w:rPr>
        <w:t xml:space="preserve">Pachetele </w:t>
      </w:r>
      <w:r w:rsidR="0015335C" w:rsidRPr="00122CAE">
        <w:rPr>
          <w:rFonts w:ascii="Times New Roman" w:hAnsi="Times New Roman" w:cs="Times New Roman"/>
          <w:b/>
          <w:i/>
          <w:sz w:val="26"/>
          <w:szCs w:val="26"/>
          <w:lang w:val="ro-MO"/>
        </w:rPr>
        <w:t>de servicii</w:t>
      </w:r>
      <w:r w:rsidR="006602DD" w:rsidRPr="00122CAE">
        <w:rPr>
          <w:rFonts w:ascii="Times New Roman" w:hAnsi="Times New Roman" w:cs="Times New Roman"/>
          <w:sz w:val="26"/>
          <w:szCs w:val="26"/>
          <w:lang w:val="ro-MO"/>
        </w:rPr>
        <w:t xml:space="preserve">. </w:t>
      </w:r>
      <w:r w:rsidR="0015335C" w:rsidRPr="00122CAE">
        <w:rPr>
          <w:rFonts w:ascii="Times New Roman" w:hAnsi="Times New Roman" w:cs="Times New Roman"/>
          <w:sz w:val="26"/>
          <w:szCs w:val="26"/>
          <w:lang w:val="ro-MO"/>
        </w:rPr>
        <w:t xml:space="preserve">La nivelul cu amănuntul este în continuă creștere </w:t>
      </w:r>
      <w:r w:rsidR="008A7ED6" w:rsidRPr="00122CAE">
        <w:rPr>
          <w:rFonts w:ascii="Times New Roman" w:hAnsi="Times New Roman" w:cs="Times New Roman"/>
          <w:sz w:val="26"/>
          <w:szCs w:val="26"/>
          <w:lang w:val="ro-MO"/>
        </w:rPr>
        <w:t>cererea pentru servicii grupate în pachete furnizate de același furnizor. Aceste pachete pot include</w:t>
      </w:r>
      <w:r w:rsidR="004279F1" w:rsidRPr="00122CAE">
        <w:rPr>
          <w:rFonts w:ascii="Times New Roman" w:hAnsi="Times New Roman" w:cs="Times New Roman"/>
          <w:sz w:val="26"/>
          <w:szCs w:val="26"/>
          <w:lang w:val="ro-MO"/>
        </w:rPr>
        <w:t xml:space="preserve"> atât servicii reglementate, cât și servicii nereglementate și includ </w:t>
      </w:r>
      <w:r w:rsidR="006602DD" w:rsidRPr="00122CAE">
        <w:rPr>
          <w:rFonts w:ascii="Times New Roman" w:hAnsi="Times New Roman" w:cs="Times New Roman"/>
          <w:sz w:val="26"/>
          <w:szCs w:val="26"/>
          <w:lang w:val="ro-MO"/>
        </w:rPr>
        <w:t>două</w:t>
      </w:r>
      <w:r w:rsidR="004279F1" w:rsidRPr="00122CAE">
        <w:rPr>
          <w:rFonts w:ascii="Times New Roman" w:hAnsi="Times New Roman" w:cs="Times New Roman"/>
          <w:sz w:val="26"/>
          <w:szCs w:val="26"/>
          <w:lang w:val="ro-MO"/>
        </w:rPr>
        <w:t xml:space="preserve"> sau mai multe din următoarele servicii: </w:t>
      </w:r>
      <w:r w:rsidR="008A7ED6" w:rsidRPr="00122CAE">
        <w:rPr>
          <w:rFonts w:ascii="Times New Roman" w:hAnsi="Times New Roman" w:cs="Times New Roman"/>
          <w:sz w:val="26"/>
          <w:szCs w:val="26"/>
          <w:lang w:val="ro-MO"/>
        </w:rPr>
        <w:t xml:space="preserve"> </w:t>
      </w:r>
      <w:r w:rsidR="00BB04D4" w:rsidRPr="00122CAE">
        <w:rPr>
          <w:rFonts w:ascii="Times New Roman" w:hAnsi="Times New Roman" w:cs="Times New Roman"/>
          <w:sz w:val="26"/>
          <w:szCs w:val="26"/>
          <w:lang w:val="ro-MO"/>
        </w:rPr>
        <w:t>I</w:t>
      </w:r>
      <w:r w:rsidR="008A7ED6" w:rsidRPr="00122CAE">
        <w:rPr>
          <w:rFonts w:ascii="Times New Roman" w:hAnsi="Times New Roman" w:cs="Times New Roman"/>
          <w:sz w:val="26"/>
          <w:szCs w:val="26"/>
          <w:lang w:val="ro-MO"/>
        </w:rPr>
        <w:t xml:space="preserve">nternet în bandă largă, TV, telefonie fixă și telefonie mobilă.  </w:t>
      </w:r>
    </w:p>
    <w:p w:rsidR="00670350" w:rsidRDefault="008A7ED6" w:rsidP="00122CAE">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Toate acestea vor fi luate în calcul</w:t>
      </w:r>
      <w:r w:rsidR="0007526B" w:rsidRPr="00122CAE">
        <w:rPr>
          <w:rFonts w:ascii="Times New Roman" w:hAnsi="Times New Roman" w:cs="Times New Roman"/>
          <w:sz w:val="26"/>
          <w:szCs w:val="26"/>
          <w:lang w:val="ro-MO"/>
        </w:rPr>
        <w:t>,</w:t>
      </w:r>
      <w:r w:rsidRPr="00122CAE">
        <w:rPr>
          <w:rFonts w:ascii="Times New Roman" w:hAnsi="Times New Roman" w:cs="Times New Roman"/>
          <w:sz w:val="26"/>
          <w:szCs w:val="26"/>
          <w:lang w:val="ro-MO"/>
        </w:rPr>
        <w:t xml:space="preserve"> unde este cazul</w:t>
      </w:r>
      <w:r w:rsidR="0007526B" w:rsidRPr="00122CAE">
        <w:rPr>
          <w:rFonts w:ascii="Times New Roman" w:hAnsi="Times New Roman" w:cs="Times New Roman"/>
          <w:sz w:val="26"/>
          <w:szCs w:val="26"/>
          <w:lang w:val="ro-MO"/>
        </w:rPr>
        <w:t>,</w:t>
      </w:r>
      <w:r w:rsidRPr="00122CAE">
        <w:rPr>
          <w:rFonts w:ascii="Times New Roman" w:hAnsi="Times New Roman" w:cs="Times New Roman"/>
          <w:sz w:val="26"/>
          <w:szCs w:val="26"/>
          <w:lang w:val="ro-MO"/>
        </w:rPr>
        <w:t xml:space="preserve"> la analiza piețelor </w:t>
      </w:r>
      <w:r w:rsidR="00DA3D45" w:rsidRPr="00122CAE">
        <w:rPr>
          <w:rFonts w:ascii="Times New Roman" w:hAnsi="Times New Roman" w:cs="Times New Roman"/>
          <w:sz w:val="26"/>
          <w:szCs w:val="26"/>
          <w:lang w:val="ro-MO"/>
        </w:rPr>
        <w:t>propuse în prezentul document</w:t>
      </w:r>
      <w:r w:rsidRPr="00122CAE">
        <w:rPr>
          <w:rFonts w:ascii="Times New Roman" w:hAnsi="Times New Roman" w:cs="Times New Roman"/>
          <w:sz w:val="26"/>
          <w:szCs w:val="26"/>
          <w:lang w:val="ro-MO"/>
        </w:rPr>
        <w:t>.</w:t>
      </w:r>
      <w:r w:rsidR="00843439" w:rsidRPr="00122CAE">
        <w:rPr>
          <w:rFonts w:ascii="Times New Roman" w:hAnsi="Times New Roman" w:cs="Times New Roman"/>
          <w:sz w:val="26"/>
          <w:szCs w:val="26"/>
          <w:lang w:val="ro-MO"/>
        </w:rPr>
        <w:t xml:space="preserve">  </w:t>
      </w:r>
    </w:p>
    <w:p w:rsidR="000A7FE9" w:rsidRPr="000A7FE9" w:rsidRDefault="000A7FE9" w:rsidP="000A7FE9">
      <w:pPr>
        <w:ind w:firstLine="540"/>
        <w:jc w:val="both"/>
        <w:rPr>
          <w:rFonts w:ascii="Times New Roman" w:hAnsi="Times New Roman" w:cs="Times New Roman"/>
          <w:sz w:val="26"/>
          <w:szCs w:val="26"/>
          <w:lang w:val="ro-MO"/>
        </w:rPr>
      </w:pPr>
      <w:r>
        <w:rPr>
          <w:rFonts w:ascii="Times New Roman" w:hAnsi="Times New Roman" w:cs="Times New Roman"/>
          <w:sz w:val="26"/>
          <w:szCs w:val="26"/>
          <w:lang w:val="ro-MO"/>
        </w:rPr>
        <w:t xml:space="preserve">Astfel, </w:t>
      </w:r>
      <w:r w:rsidRPr="000A7FE9">
        <w:rPr>
          <w:rFonts w:ascii="Times New Roman" w:hAnsi="Times New Roman" w:cs="Times New Roman"/>
          <w:sz w:val="26"/>
          <w:szCs w:val="26"/>
          <w:lang w:val="ro-MO"/>
        </w:rPr>
        <w:t>Recomandarea 2014/710/UE propune autorităților de reglementare o nouă abordare în ceea ce privește definirea și analiza piețelor relevante în care sunt prezente servicii cu ridicata de acces la un punct fix. Aceste piețe au fost divizate convențional în:</w:t>
      </w:r>
    </w:p>
    <w:p w:rsidR="000A7FE9" w:rsidRPr="000A7FE9" w:rsidRDefault="000A7FE9" w:rsidP="000A7FE9">
      <w:pPr>
        <w:pStyle w:val="ListParagraph"/>
        <w:numPr>
          <w:ilvl w:val="0"/>
          <w:numId w:val="35"/>
        </w:numPr>
        <w:spacing w:after="0" w:line="240" w:lineRule="auto"/>
        <w:ind w:left="0" w:firstLine="720"/>
        <w:jc w:val="both"/>
        <w:rPr>
          <w:rFonts w:ascii="Times New Roman" w:hAnsi="Times New Roman" w:cs="Times New Roman"/>
          <w:sz w:val="26"/>
          <w:szCs w:val="26"/>
          <w:lang w:val="ro-MO"/>
        </w:rPr>
      </w:pPr>
      <w:r w:rsidRPr="000A7FE9">
        <w:rPr>
          <w:rFonts w:ascii="Times New Roman" w:hAnsi="Times New Roman" w:cs="Times New Roman"/>
          <w:b/>
          <w:sz w:val="26"/>
          <w:szCs w:val="26"/>
          <w:lang w:val="ro-MO"/>
        </w:rPr>
        <w:lastRenderedPageBreak/>
        <w:t>Mass-market</w:t>
      </w:r>
      <w:r>
        <w:rPr>
          <w:rFonts w:ascii="Times New Roman" w:hAnsi="Times New Roman" w:cs="Times New Roman"/>
          <w:b/>
          <w:sz w:val="26"/>
          <w:szCs w:val="26"/>
          <w:lang w:val="ro-MO"/>
        </w:rPr>
        <w:t xml:space="preserve"> (produse de larg consum)</w:t>
      </w:r>
      <w:r w:rsidRPr="000A7FE9">
        <w:rPr>
          <w:rFonts w:ascii="Times New Roman" w:hAnsi="Times New Roman" w:cs="Times New Roman"/>
          <w:sz w:val="26"/>
          <w:szCs w:val="26"/>
          <w:lang w:val="ro-MO"/>
        </w:rPr>
        <w:t>: piețe relevante cu servicii de acces de larg consum, în care piața 4 din Recomandarea 2007/879/CE a fost redefinită în piața de furnizare cu ridicata de servicii de acces local la puncte fixe, iar piața 5 din Recomandarea 2007/879/CE a fost redefinită în piața de furnizare cu ridicata de servicii de acces central la puncte fixe</w:t>
      </w:r>
      <w:r>
        <w:rPr>
          <w:rFonts w:ascii="Times New Roman" w:hAnsi="Times New Roman" w:cs="Times New Roman"/>
          <w:sz w:val="26"/>
          <w:szCs w:val="26"/>
          <w:lang w:val="ro-MO"/>
        </w:rPr>
        <w:t xml:space="preserve">. Produsele de larg consum sunt destinate utilizatorilor finali persoane fizice și juridice care nu necesită </w:t>
      </w:r>
      <w:r w:rsidR="002C0E6F">
        <w:rPr>
          <w:rFonts w:ascii="Times New Roman" w:hAnsi="Times New Roman" w:cs="Times New Roman"/>
          <w:sz w:val="26"/>
          <w:szCs w:val="26"/>
          <w:lang w:val="ro-MO"/>
        </w:rPr>
        <w:t>produse cu caracteristici specifice pieței de acces de înaltă calitate descrise în continuare</w:t>
      </w:r>
      <w:r w:rsidRPr="000A7FE9">
        <w:rPr>
          <w:rFonts w:ascii="Times New Roman" w:hAnsi="Times New Roman" w:cs="Times New Roman"/>
          <w:sz w:val="26"/>
          <w:szCs w:val="26"/>
          <w:lang w:val="ro-MO"/>
        </w:rPr>
        <w:t>; și</w:t>
      </w:r>
    </w:p>
    <w:p w:rsidR="000A7FE9" w:rsidRPr="000A7FE9" w:rsidRDefault="000A7FE9" w:rsidP="000A7FE9">
      <w:pPr>
        <w:pStyle w:val="ListParagraph"/>
        <w:numPr>
          <w:ilvl w:val="0"/>
          <w:numId w:val="35"/>
        </w:numPr>
        <w:spacing w:after="0" w:line="240" w:lineRule="auto"/>
        <w:ind w:left="0" w:firstLine="720"/>
        <w:jc w:val="both"/>
        <w:rPr>
          <w:rFonts w:ascii="Times New Roman" w:hAnsi="Times New Roman" w:cs="Times New Roman"/>
          <w:sz w:val="26"/>
          <w:szCs w:val="26"/>
          <w:lang w:val="ro-MO"/>
        </w:rPr>
      </w:pPr>
      <w:proofErr w:type="spellStart"/>
      <w:r w:rsidRPr="000A7FE9">
        <w:rPr>
          <w:rFonts w:ascii="Times New Roman" w:hAnsi="Times New Roman" w:cs="Times New Roman"/>
          <w:b/>
          <w:sz w:val="26"/>
          <w:szCs w:val="26"/>
          <w:lang w:val="ro-MO"/>
        </w:rPr>
        <w:t>High-quality</w:t>
      </w:r>
      <w:proofErr w:type="spellEnd"/>
      <w:r w:rsidRPr="000A7FE9">
        <w:rPr>
          <w:rFonts w:ascii="Times New Roman" w:hAnsi="Times New Roman" w:cs="Times New Roman"/>
          <w:b/>
          <w:sz w:val="26"/>
          <w:szCs w:val="26"/>
          <w:lang w:val="ro-MO"/>
        </w:rPr>
        <w:t xml:space="preserve"> </w:t>
      </w:r>
      <w:proofErr w:type="spellStart"/>
      <w:r w:rsidRPr="000A7FE9">
        <w:rPr>
          <w:rFonts w:ascii="Times New Roman" w:hAnsi="Times New Roman" w:cs="Times New Roman"/>
          <w:b/>
          <w:sz w:val="26"/>
          <w:szCs w:val="26"/>
          <w:lang w:val="ro-MO"/>
        </w:rPr>
        <w:t>access</w:t>
      </w:r>
      <w:proofErr w:type="spellEnd"/>
      <w:r>
        <w:rPr>
          <w:rFonts w:ascii="Times New Roman" w:hAnsi="Times New Roman" w:cs="Times New Roman"/>
          <w:b/>
          <w:sz w:val="26"/>
          <w:szCs w:val="26"/>
          <w:lang w:val="ro-MO"/>
        </w:rPr>
        <w:t xml:space="preserve"> (acces de înaltă calitate)</w:t>
      </w:r>
      <w:r w:rsidRPr="000A7FE9">
        <w:rPr>
          <w:rFonts w:ascii="Times New Roman" w:hAnsi="Times New Roman" w:cs="Times New Roman"/>
          <w:sz w:val="26"/>
          <w:szCs w:val="26"/>
          <w:lang w:val="ro-MO"/>
        </w:rPr>
        <w:t>: piață relevantă cu servicii de acces de înaltă calitate, unde piața 6 din Recomandarea 2007/879/CE a fost redefinită în piața de furnizarea cu ridicata a serviciilor de acces de înaltă calitate la puncte fixe.</w:t>
      </w:r>
    </w:p>
    <w:p w:rsidR="000A7FE9" w:rsidRPr="002C0E6F" w:rsidRDefault="000A7FE9" w:rsidP="000A09C8">
      <w:pPr>
        <w:ind w:firstLine="720"/>
        <w:jc w:val="both"/>
        <w:rPr>
          <w:rFonts w:ascii="Times New Roman" w:hAnsi="Times New Roman" w:cs="Times New Roman"/>
          <w:sz w:val="26"/>
          <w:szCs w:val="26"/>
          <w:lang w:val="ro-MO"/>
        </w:rPr>
      </w:pPr>
      <w:r w:rsidRPr="000A7FE9">
        <w:rPr>
          <w:rFonts w:ascii="Times New Roman" w:hAnsi="Times New Roman" w:cs="Times New Roman"/>
          <w:sz w:val="26"/>
          <w:szCs w:val="26"/>
          <w:lang w:val="ro-MO"/>
        </w:rPr>
        <w:t xml:space="preserve">Nota explicativă la Recomandarea 2014/710/UE menționează că divizarea dată a fost oportună urmare a analizei cererii serviciilor de acces la puncte fixe atât pe piața cu ridicata, cât și pe piața cu amănuntul. Analiza efectuată a demonstrat că există o diferență semnificativă între caracteristicile produselor </w:t>
      </w:r>
      <w:r w:rsidR="001B2725">
        <w:rPr>
          <w:rFonts w:ascii="Times New Roman" w:hAnsi="Times New Roman" w:cs="Times New Roman"/>
          <w:sz w:val="26"/>
          <w:szCs w:val="26"/>
          <w:lang w:val="ro-MO"/>
        </w:rPr>
        <w:t xml:space="preserve">de </w:t>
      </w:r>
      <w:r w:rsidR="001B2725" w:rsidRPr="000A7FE9">
        <w:rPr>
          <w:rFonts w:ascii="Times New Roman" w:hAnsi="Times New Roman" w:cs="Times New Roman"/>
          <w:sz w:val="26"/>
          <w:szCs w:val="26"/>
          <w:lang w:val="ro-MO"/>
        </w:rPr>
        <w:t>pe piața furnizării servic</w:t>
      </w:r>
      <w:r w:rsidR="001B2725">
        <w:rPr>
          <w:rFonts w:ascii="Times New Roman" w:hAnsi="Times New Roman" w:cs="Times New Roman"/>
          <w:sz w:val="26"/>
          <w:szCs w:val="26"/>
          <w:lang w:val="ro-MO"/>
        </w:rPr>
        <w:t>iilor de acces la puncte fixe</w:t>
      </w:r>
      <w:r w:rsidR="001B2725" w:rsidRPr="000A7FE9">
        <w:rPr>
          <w:rFonts w:ascii="Times New Roman" w:hAnsi="Times New Roman" w:cs="Times New Roman"/>
          <w:sz w:val="26"/>
          <w:szCs w:val="26"/>
          <w:lang w:val="ro-MO"/>
        </w:rPr>
        <w:t xml:space="preserve"> </w:t>
      </w:r>
      <w:r w:rsidRPr="000A7FE9">
        <w:rPr>
          <w:rFonts w:ascii="Times New Roman" w:hAnsi="Times New Roman" w:cs="Times New Roman"/>
          <w:sz w:val="26"/>
          <w:szCs w:val="26"/>
          <w:lang w:val="ro-MO"/>
        </w:rPr>
        <w:t xml:space="preserve">solicitate de utilizatorii finali persoane fizice și </w:t>
      </w:r>
      <w:r>
        <w:rPr>
          <w:rFonts w:ascii="Times New Roman" w:hAnsi="Times New Roman" w:cs="Times New Roman"/>
          <w:sz w:val="26"/>
          <w:szCs w:val="26"/>
          <w:lang w:val="ro-MO"/>
        </w:rPr>
        <w:t xml:space="preserve">anumite </w:t>
      </w:r>
      <w:r w:rsidRPr="000A7FE9">
        <w:rPr>
          <w:rFonts w:ascii="Times New Roman" w:hAnsi="Times New Roman" w:cs="Times New Roman"/>
          <w:sz w:val="26"/>
          <w:szCs w:val="26"/>
          <w:lang w:val="ro-MO"/>
        </w:rPr>
        <w:t>persoane juridice</w:t>
      </w:r>
      <w:r>
        <w:rPr>
          <w:rFonts w:ascii="Times New Roman" w:hAnsi="Times New Roman" w:cs="Times New Roman"/>
          <w:sz w:val="26"/>
          <w:szCs w:val="26"/>
          <w:lang w:val="ro-MO"/>
        </w:rPr>
        <w:t xml:space="preserve"> </w:t>
      </w:r>
      <w:r w:rsidR="002C0E6F">
        <w:rPr>
          <w:rFonts w:ascii="Times New Roman" w:hAnsi="Times New Roman" w:cs="Times New Roman"/>
          <w:sz w:val="26"/>
          <w:szCs w:val="26"/>
          <w:lang w:val="ro-MO"/>
        </w:rPr>
        <w:t>(</w:t>
      </w:r>
      <w:r w:rsidR="001B2725">
        <w:rPr>
          <w:rFonts w:ascii="Times New Roman" w:hAnsi="Times New Roman" w:cs="Times New Roman"/>
          <w:sz w:val="26"/>
          <w:szCs w:val="26"/>
          <w:lang w:val="ro-MO"/>
        </w:rPr>
        <w:t xml:space="preserve">de obicei </w:t>
      </w:r>
      <w:r w:rsidR="002C0E6F">
        <w:rPr>
          <w:rFonts w:ascii="Times New Roman" w:hAnsi="Times New Roman" w:cs="Times New Roman"/>
          <w:sz w:val="26"/>
          <w:szCs w:val="26"/>
          <w:lang w:val="ro-MO"/>
        </w:rPr>
        <w:t xml:space="preserve">companii mici și mijlocii) </w:t>
      </w:r>
      <w:r>
        <w:rPr>
          <w:rFonts w:ascii="Times New Roman" w:hAnsi="Times New Roman" w:cs="Times New Roman"/>
          <w:sz w:val="26"/>
          <w:szCs w:val="26"/>
          <w:lang w:val="ro-MO"/>
        </w:rPr>
        <w:t>pe de o parte și persoane juridice</w:t>
      </w:r>
      <w:r w:rsidR="002C0E6F">
        <w:rPr>
          <w:rFonts w:ascii="Times New Roman" w:hAnsi="Times New Roman" w:cs="Times New Roman"/>
          <w:sz w:val="26"/>
          <w:szCs w:val="26"/>
          <w:lang w:val="ro-MO"/>
        </w:rPr>
        <w:t xml:space="preserve"> (de obicei companii mari cu mai multe filiale/subdiviziuni dispersate teritorial)</w:t>
      </w:r>
      <w:r>
        <w:rPr>
          <w:rFonts w:ascii="Times New Roman" w:hAnsi="Times New Roman" w:cs="Times New Roman"/>
          <w:sz w:val="26"/>
          <w:szCs w:val="26"/>
          <w:lang w:val="ro-MO"/>
        </w:rPr>
        <w:t xml:space="preserve"> cu necesități </w:t>
      </w:r>
      <w:r w:rsidR="002C0E6F">
        <w:rPr>
          <w:rFonts w:ascii="Times New Roman" w:hAnsi="Times New Roman" w:cs="Times New Roman"/>
          <w:sz w:val="26"/>
          <w:szCs w:val="26"/>
          <w:lang w:val="ro-MO"/>
        </w:rPr>
        <w:t>specifice</w:t>
      </w:r>
      <w:r>
        <w:rPr>
          <w:rFonts w:ascii="Times New Roman" w:hAnsi="Times New Roman" w:cs="Times New Roman"/>
          <w:sz w:val="26"/>
          <w:szCs w:val="26"/>
          <w:lang w:val="ro-MO"/>
        </w:rPr>
        <w:t xml:space="preserve"> (produse de înaltă calitate cu caracteristici de înaltă calitate cel mai des necesare pentru </w:t>
      </w:r>
      <w:r w:rsidRPr="000A7FE9">
        <w:rPr>
          <w:rFonts w:ascii="Times New Roman" w:hAnsi="Times New Roman" w:cs="Times New Roman"/>
          <w:sz w:val="26"/>
          <w:szCs w:val="26"/>
          <w:lang w:val="ro-MO"/>
        </w:rPr>
        <w:t>conectarea subdiviziunilor/filialelor companiilor mari</w:t>
      </w:r>
      <w:r>
        <w:rPr>
          <w:rFonts w:ascii="Times New Roman" w:hAnsi="Times New Roman" w:cs="Times New Roman"/>
          <w:sz w:val="26"/>
          <w:szCs w:val="26"/>
          <w:lang w:val="ro-MO"/>
        </w:rPr>
        <w:t>)</w:t>
      </w:r>
      <w:r w:rsidRPr="000A7FE9">
        <w:rPr>
          <w:rFonts w:ascii="Times New Roman" w:hAnsi="Times New Roman" w:cs="Times New Roman"/>
          <w:sz w:val="26"/>
          <w:szCs w:val="26"/>
          <w:lang w:val="ro-MO"/>
        </w:rPr>
        <w:t xml:space="preserve"> </w:t>
      </w:r>
      <w:r w:rsidR="001B2725">
        <w:rPr>
          <w:rFonts w:ascii="Times New Roman" w:hAnsi="Times New Roman" w:cs="Times New Roman"/>
          <w:sz w:val="26"/>
          <w:szCs w:val="26"/>
          <w:lang w:val="ro-MO"/>
        </w:rPr>
        <w:t>pe de altă parte</w:t>
      </w:r>
      <w:r w:rsidR="000A09C8">
        <w:rPr>
          <w:rFonts w:ascii="Times New Roman" w:hAnsi="Times New Roman" w:cs="Times New Roman"/>
          <w:sz w:val="26"/>
          <w:szCs w:val="26"/>
          <w:lang w:val="ro-MO"/>
        </w:rPr>
        <w:t xml:space="preserve">. </w:t>
      </w:r>
      <w:r w:rsidRPr="000A7FE9">
        <w:rPr>
          <w:rFonts w:ascii="Times New Roman" w:hAnsi="Times New Roman" w:cs="Times New Roman"/>
          <w:sz w:val="26"/>
          <w:szCs w:val="26"/>
          <w:lang w:val="ro-MO"/>
        </w:rPr>
        <w:t xml:space="preserve"> </w:t>
      </w:r>
      <w:r w:rsidR="000A09C8">
        <w:rPr>
          <w:rFonts w:ascii="Times New Roman" w:hAnsi="Times New Roman" w:cs="Times New Roman"/>
          <w:sz w:val="26"/>
          <w:szCs w:val="26"/>
          <w:lang w:val="ro-MO"/>
        </w:rPr>
        <w:t xml:space="preserve">Cu privire la natura </w:t>
      </w:r>
      <w:r w:rsidR="000A09C8" w:rsidRPr="000A7FE9">
        <w:rPr>
          <w:rFonts w:ascii="Times New Roman" w:hAnsi="Times New Roman" w:cs="Times New Roman"/>
          <w:sz w:val="26"/>
          <w:szCs w:val="26"/>
          <w:lang w:val="ro-MO"/>
        </w:rPr>
        <w:t xml:space="preserve">pieței furnizării cu ridicata a accesului de înaltă calitate la puncte fixe </w:t>
      </w:r>
      <w:r w:rsidR="002C0E6F">
        <w:rPr>
          <w:rFonts w:ascii="Times New Roman" w:hAnsi="Times New Roman" w:cs="Times New Roman"/>
          <w:sz w:val="26"/>
          <w:szCs w:val="26"/>
          <w:lang w:val="ro-MO"/>
        </w:rPr>
        <w:t>N</w:t>
      </w:r>
      <w:r w:rsidRPr="000A7FE9">
        <w:rPr>
          <w:rFonts w:ascii="Times New Roman" w:hAnsi="Times New Roman" w:cs="Times New Roman"/>
          <w:sz w:val="26"/>
          <w:szCs w:val="26"/>
          <w:lang w:val="ro-MO"/>
        </w:rPr>
        <w:t>ot</w:t>
      </w:r>
      <w:r w:rsidR="002C0E6F">
        <w:rPr>
          <w:rFonts w:ascii="Times New Roman" w:hAnsi="Times New Roman" w:cs="Times New Roman"/>
          <w:sz w:val="26"/>
          <w:szCs w:val="26"/>
          <w:lang w:val="ro-MO"/>
        </w:rPr>
        <w:t>a</w:t>
      </w:r>
      <w:r w:rsidRPr="000A7FE9">
        <w:rPr>
          <w:rFonts w:ascii="Times New Roman" w:hAnsi="Times New Roman" w:cs="Times New Roman"/>
          <w:sz w:val="26"/>
          <w:szCs w:val="26"/>
          <w:lang w:val="ro-MO"/>
        </w:rPr>
        <w:t xml:space="preserve"> explicativ</w:t>
      </w:r>
      <w:r w:rsidR="002C0E6F">
        <w:rPr>
          <w:rFonts w:ascii="Times New Roman" w:hAnsi="Times New Roman" w:cs="Times New Roman"/>
          <w:sz w:val="26"/>
          <w:szCs w:val="26"/>
          <w:lang w:val="ro-MO"/>
        </w:rPr>
        <w:t>ă</w:t>
      </w:r>
      <w:r w:rsidRPr="000A7FE9">
        <w:rPr>
          <w:rFonts w:ascii="Times New Roman" w:hAnsi="Times New Roman" w:cs="Times New Roman"/>
          <w:sz w:val="26"/>
          <w:szCs w:val="26"/>
          <w:lang w:val="ro-MO"/>
        </w:rPr>
        <w:t xml:space="preserve"> la Recomandarea 2014/710/UE </w:t>
      </w:r>
      <w:r w:rsidR="000A09C8">
        <w:rPr>
          <w:rFonts w:ascii="Times New Roman" w:hAnsi="Times New Roman" w:cs="Times New Roman"/>
          <w:sz w:val="26"/>
          <w:szCs w:val="26"/>
          <w:lang w:val="ro-MO"/>
        </w:rPr>
        <w:t>constată</w:t>
      </w:r>
      <w:r w:rsidRPr="002C0E6F">
        <w:rPr>
          <w:rFonts w:ascii="Times New Roman" w:hAnsi="Times New Roman" w:cs="Times New Roman"/>
          <w:sz w:val="26"/>
          <w:szCs w:val="26"/>
          <w:lang w:val="ro-MO"/>
        </w:rPr>
        <w:t xml:space="preserve"> următoarele:</w:t>
      </w:r>
    </w:p>
    <w:p w:rsidR="000A7FE9" w:rsidRPr="000A7FE9" w:rsidRDefault="000A7FE9" w:rsidP="000A7FE9">
      <w:pPr>
        <w:ind w:firstLine="540"/>
        <w:jc w:val="both"/>
        <w:rPr>
          <w:rFonts w:ascii="Times New Roman" w:hAnsi="Times New Roman" w:cs="Times New Roman"/>
          <w:sz w:val="26"/>
          <w:szCs w:val="26"/>
          <w:lang w:val="ro-MO"/>
        </w:rPr>
      </w:pPr>
      <w:r w:rsidRPr="002C0E6F">
        <w:rPr>
          <w:rFonts w:ascii="Times New Roman" w:hAnsi="Times New Roman" w:cs="Times New Roman"/>
          <w:sz w:val="26"/>
          <w:szCs w:val="26"/>
          <w:lang w:val="ro-MO"/>
        </w:rPr>
        <w:t>„...</w:t>
      </w:r>
      <w:r w:rsidRPr="002C0E6F">
        <w:rPr>
          <w:rFonts w:ascii="Times New Roman" w:hAnsi="Times New Roman" w:cs="Times New Roman"/>
          <w:i/>
          <w:sz w:val="26"/>
          <w:szCs w:val="26"/>
          <w:lang w:val="ro-MO"/>
        </w:rPr>
        <w:t>o piață de furnizare cu ridicata a accesului de înaltă calitate include o gamă mai largă de produse de acces, necesare pentru a satisface cererea furnizorilor-solicitanți</w:t>
      </w:r>
      <w:r w:rsidRPr="000A7FE9">
        <w:rPr>
          <w:rFonts w:ascii="Times New Roman" w:hAnsi="Times New Roman" w:cs="Times New Roman"/>
          <w:i/>
          <w:sz w:val="26"/>
          <w:szCs w:val="26"/>
          <w:lang w:val="ro-MO"/>
        </w:rPr>
        <w:t xml:space="preserve"> pe piața cu ridicata (și, ca rezultat, cererea pe piața cu amănuntul a persoanelor juridice) și care prezintă caracteristici ..... cum ar fi: (i) disponibilitate garantată și calitatea înaltă a serviciilor în toate circumstanțele, inclusiv acorduri privind nivelul minim de calitate (SLA - Service </w:t>
      </w:r>
      <w:proofErr w:type="spellStart"/>
      <w:r w:rsidRPr="000A7FE9">
        <w:rPr>
          <w:rFonts w:ascii="Times New Roman" w:hAnsi="Times New Roman" w:cs="Times New Roman"/>
          <w:i/>
          <w:sz w:val="26"/>
          <w:szCs w:val="26"/>
          <w:lang w:val="ro-MO"/>
        </w:rPr>
        <w:t>Level</w:t>
      </w:r>
      <w:proofErr w:type="spellEnd"/>
      <w:r w:rsidRPr="000A7FE9">
        <w:rPr>
          <w:rFonts w:ascii="Times New Roman" w:hAnsi="Times New Roman" w:cs="Times New Roman"/>
          <w:i/>
          <w:sz w:val="26"/>
          <w:szCs w:val="26"/>
          <w:lang w:val="ro-MO"/>
        </w:rPr>
        <w:t xml:space="preserve"> Agreement), suport clienți în regim 24/7, timp scurt de remediere a defecțiunilor tehnice și redundanță, caracteristici adresate, de obicei, nevoilor utilizatorilor finali persoane juridice mari; (ii) gestionare calitativă a rețelei, inclusiv a </w:t>
      </w:r>
      <w:r w:rsidR="00011949">
        <w:rPr>
          <w:rFonts w:ascii="Times New Roman" w:hAnsi="Times New Roman" w:cs="Times New Roman"/>
          <w:i/>
          <w:sz w:val="26"/>
          <w:szCs w:val="26"/>
          <w:lang w:val="ro-MO"/>
        </w:rPr>
        <w:t>legăturilor de transport al traficului</w:t>
      </w:r>
      <w:r w:rsidR="00F66A97">
        <w:rPr>
          <w:rFonts w:ascii="Times New Roman" w:hAnsi="Times New Roman" w:cs="Times New Roman"/>
          <w:i/>
          <w:sz w:val="26"/>
          <w:szCs w:val="26"/>
          <w:lang w:val="ro-MO"/>
        </w:rPr>
        <w:t xml:space="preserve"> (backhaul)</w:t>
      </w:r>
      <w:r w:rsidRPr="000A7FE9">
        <w:rPr>
          <w:rFonts w:ascii="Times New Roman" w:hAnsi="Times New Roman" w:cs="Times New Roman"/>
          <w:i/>
          <w:sz w:val="26"/>
          <w:szCs w:val="26"/>
          <w:lang w:val="ro-MO"/>
        </w:rPr>
        <w:t xml:space="preserve">, care rezultă în viteze de </w:t>
      </w:r>
      <w:proofErr w:type="spellStart"/>
      <w:r w:rsidRPr="000A7FE9">
        <w:rPr>
          <w:rFonts w:ascii="Times New Roman" w:hAnsi="Times New Roman" w:cs="Times New Roman"/>
          <w:i/>
          <w:sz w:val="26"/>
          <w:szCs w:val="26"/>
          <w:lang w:val="ro-MO"/>
        </w:rPr>
        <w:t>upload</w:t>
      </w:r>
      <w:proofErr w:type="spellEnd"/>
      <w:r w:rsidRPr="000A7FE9">
        <w:rPr>
          <w:rFonts w:ascii="Times New Roman" w:hAnsi="Times New Roman" w:cs="Times New Roman"/>
          <w:i/>
          <w:sz w:val="26"/>
          <w:szCs w:val="26"/>
          <w:lang w:val="ro-MO"/>
        </w:rPr>
        <w:t xml:space="preserve"> adecvate pentru utilizarea în scopuri comerciale și rate scăzute de partajare a conexiunii; (</w:t>
      </w:r>
      <w:proofErr w:type="spellStart"/>
      <w:r w:rsidRPr="000A7FE9">
        <w:rPr>
          <w:rFonts w:ascii="Times New Roman" w:hAnsi="Times New Roman" w:cs="Times New Roman"/>
          <w:i/>
          <w:sz w:val="26"/>
          <w:szCs w:val="26"/>
          <w:lang w:val="ro-MO"/>
        </w:rPr>
        <w:t>iii</w:t>
      </w:r>
      <w:proofErr w:type="spellEnd"/>
      <w:r w:rsidRPr="000A7FE9">
        <w:rPr>
          <w:rFonts w:ascii="Times New Roman" w:hAnsi="Times New Roman" w:cs="Times New Roman"/>
          <w:i/>
          <w:sz w:val="26"/>
          <w:szCs w:val="26"/>
          <w:lang w:val="ro-MO"/>
        </w:rPr>
        <w:t xml:space="preserve">) posibilitatea de a accesa rețeaua în puncte geografice definite, mai degrabă, în funcție de densitatea și distribuția utilizatorilor persoane juridice, decât, a utilizatorilor produselor de acces de </w:t>
      </w:r>
      <w:r w:rsidR="00011949">
        <w:rPr>
          <w:rFonts w:ascii="Times New Roman" w:hAnsi="Times New Roman" w:cs="Times New Roman"/>
          <w:i/>
          <w:sz w:val="26"/>
          <w:szCs w:val="26"/>
          <w:lang w:val="ro-MO"/>
        </w:rPr>
        <w:t>larg consum</w:t>
      </w:r>
      <w:r w:rsidRPr="000A7FE9">
        <w:rPr>
          <w:rFonts w:ascii="Times New Roman" w:hAnsi="Times New Roman" w:cs="Times New Roman"/>
          <w:i/>
          <w:sz w:val="26"/>
          <w:szCs w:val="26"/>
          <w:lang w:val="ro-MO"/>
        </w:rPr>
        <w:t>)…”.</w:t>
      </w:r>
    </w:p>
    <w:p w:rsidR="00724BCA" w:rsidRPr="00122CAE" w:rsidRDefault="00724BCA" w:rsidP="00122CAE">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Totodată, chiar dacă piețe</w:t>
      </w:r>
      <w:r w:rsidR="00BB04D4" w:rsidRPr="00122CAE">
        <w:rPr>
          <w:rFonts w:ascii="Times New Roman" w:hAnsi="Times New Roman" w:cs="Times New Roman"/>
          <w:sz w:val="26"/>
          <w:szCs w:val="26"/>
          <w:lang w:val="ro-MO"/>
        </w:rPr>
        <w:t xml:space="preserve">le </w:t>
      </w:r>
      <w:r w:rsidR="000A09C8">
        <w:rPr>
          <w:rFonts w:ascii="Times New Roman" w:hAnsi="Times New Roman" w:cs="Times New Roman"/>
          <w:sz w:val="26"/>
          <w:szCs w:val="26"/>
          <w:lang w:val="ro-MO"/>
        </w:rPr>
        <w:t xml:space="preserve">WLA și WCA </w:t>
      </w:r>
      <w:r w:rsidR="00BB04D4" w:rsidRPr="00122CAE">
        <w:rPr>
          <w:rFonts w:ascii="Times New Roman" w:hAnsi="Times New Roman" w:cs="Times New Roman"/>
          <w:sz w:val="26"/>
          <w:szCs w:val="26"/>
          <w:lang w:val="ro-MO"/>
        </w:rPr>
        <w:t>menționate</w:t>
      </w:r>
      <w:r w:rsidRPr="00122CAE">
        <w:rPr>
          <w:rFonts w:ascii="Times New Roman" w:hAnsi="Times New Roman" w:cs="Times New Roman"/>
          <w:sz w:val="26"/>
          <w:szCs w:val="26"/>
          <w:lang w:val="ro-MO"/>
        </w:rPr>
        <w:t xml:space="preserve"> </w:t>
      </w:r>
      <w:r w:rsidR="00C478B8" w:rsidRPr="00122CAE">
        <w:rPr>
          <w:rFonts w:ascii="Times New Roman" w:hAnsi="Times New Roman" w:cs="Times New Roman"/>
          <w:sz w:val="26"/>
          <w:szCs w:val="26"/>
          <w:lang w:val="ro-MO"/>
        </w:rPr>
        <w:t>rămân</w:t>
      </w:r>
      <w:r w:rsidRPr="00122CAE">
        <w:rPr>
          <w:rFonts w:ascii="Times New Roman" w:hAnsi="Times New Roman" w:cs="Times New Roman"/>
          <w:sz w:val="26"/>
          <w:szCs w:val="26"/>
          <w:lang w:val="ro-MO"/>
        </w:rPr>
        <w:t xml:space="preserve"> distincte</w:t>
      </w:r>
      <w:r w:rsidR="00C478B8" w:rsidRPr="00122CAE">
        <w:rPr>
          <w:rFonts w:ascii="Times New Roman" w:hAnsi="Times New Roman" w:cs="Times New Roman"/>
          <w:sz w:val="26"/>
          <w:szCs w:val="26"/>
          <w:lang w:val="ro-MO"/>
        </w:rPr>
        <w:t xml:space="preserve">, </w:t>
      </w:r>
      <w:r w:rsidR="006602DD" w:rsidRPr="00122CAE">
        <w:rPr>
          <w:rFonts w:ascii="Times New Roman" w:hAnsi="Times New Roman" w:cs="Times New Roman"/>
          <w:sz w:val="26"/>
          <w:szCs w:val="26"/>
          <w:lang w:val="ro-MO"/>
        </w:rPr>
        <w:t xml:space="preserve">Comisia Europeană </w:t>
      </w:r>
      <w:r w:rsidR="00C478B8" w:rsidRPr="00122CAE">
        <w:rPr>
          <w:rFonts w:ascii="Times New Roman" w:hAnsi="Times New Roman" w:cs="Times New Roman"/>
          <w:sz w:val="26"/>
          <w:szCs w:val="26"/>
          <w:lang w:val="ro-MO"/>
        </w:rPr>
        <w:t>recomandă analiz</w:t>
      </w:r>
      <w:r w:rsidR="006602DD" w:rsidRPr="00122CAE">
        <w:rPr>
          <w:rFonts w:ascii="Times New Roman" w:hAnsi="Times New Roman" w:cs="Times New Roman"/>
          <w:sz w:val="26"/>
          <w:szCs w:val="26"/>
          <w:lang w:val="ro-MO"/>
        </w:rPr>
        <w:t>a</w:t>
      </w:r>
      <w:r w:rsidR="00C478B8" w:rsidRPr="00122CAE">
        <w:rPr>
          <w:rFonts w:ascii="Times New Roman" w:hAnsi="Times New Roman" w:cs="Times New Roman"/>
          <w:sz w:val="26"/>
          <w:szCs w:val="26"/>
          <w:lang w:val="ro-MO"/>
        </w:rPr>
        <w:t xml:space="preserve"> acestor</w:t>
      </w:r>
      <w:r w:rsidR="006602DD" w:rsidRPr="00122CAE">
        <w:rPr>
          <w:rFonts w:ascii="Times New Roman" w:hAnsi="Times New Roman" w:cs="Times New Roman"/>
          <w:sz w:val="26"/>
          <w:szCs w:val="26"/>
          <w:lang w:val="ro-MO"/>
        </w:rPr>
        <w:t xml:space="preserve"> piețe</w:t>
      </w:r>
      <w:r w:rsidR="004A2762" w:rsidRPr="00122CAE">
        <w:rPr>
          <w:rFonts w:ascii="Times New Roman" w:hAnsi="Times New Roman" w:cs="Times New Roman"/>
          <w:sz w:val="26"/>
          <w:szCs w:val="26"/>
          <w:lang w:val="ro-MO"/>
        </w:rPr>
        <w:t xml:space="preserve"> împreună</w:t>
      </w:r>
      <w:r w:rsidR="00C478B8" w:rsidRPr="00122CAE">
        <w:rPr>
          <w:rFonts w:ascii="Times New Roman" w:hAnsi="Times New Roman" w:cs="Times New Roman"/>
          <w:sz w:val="26"/>
          <w:szCs w:val="26"/>
          <w:lang w:val="ro-MO"/>
        </w:rPr>
        <w:t xml:space="preserve">. </w:t>
      </w:r>
      <w:r w:rsidRPr="00122CAE">
        <w:rPr>
          <w:rFonts w:ascii="Times New Roman" w:hAnsi="Times New Roman" w:cs="Times New Roman"/>
          <w:sz w:val="26"/>
          <w:szCs w:val="26"/>
          <w:lang w:val="ro-MO"/>
        </w:rPr>
        <w:t xml:space="preserve"> </w:t>
      </w:r>
    </w:p>
    <w:p w:rsidR="00DB73C3" w:rsidRPr="00122CAE" w:rsidRDefault="007C7958" w:rsidP="00122CAE">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Aceste</w:t>
      </w:r>
      <w:r w:rsidR="00F72C89" w:rsidRPr="00122CAE">
        <w:rPr>
          <w:rFonts w:ascii="Times New Roman" w:hAnsi="Times New Roman" w:cs="Times New Roman"/>
          <w:sz w:val="26"/>
          <w:szCs w:val="26"/>
          <w:lang w:val="ro-MO"/>
        </w:rPr>
        <w:t xml:space="preserve"> două piețe</w:t>
      </w:r>
      <w:r w:rsidRPr="00122CAE">
        <w:rPr>
          <w:rFonts w:ascii="Times New Roman" w:hAnsi="Times New Roman" w:cs="Times New Roman"/>
          <w:sz w:val="26"/>
          <w:szCs w:val="26"/>
          <w:lang w:val="ro-MO"/>
        </w:rPr>
        <w:t xml:space="preserve"> </w:t>
      </w:r>
      <w:r w:rsidR="00355948" w:rsidRPr="00122CAE">
        <w:rPr>
          <w:rFonts w:ascii="Times New Roman" w:hAnsi="Times New Roman" w:cs="Times New Roman"/>
          <w:sz w:val="26"/>
          <w:szCs w:val="26"/>
          <w:lang w:val="ro-MO"/>
        </w:rPr>
        <w:t xml:space="preserve">(WLA și WCA) </w:t>
      </w:r>
      <w:r w:rsidRPr="00122CAE">
        <w:rPr>
          <w:rFonts w:ascii="Times New Roman" w:hAnsi="Times New Roman" w:cs="Times New Roman"/>
          <w:sz w:val="26"/>
          <w:szCs w:val="26"/>
          <w:lang w:val="ro-MO"/>
        </w:rPr>
        <w:t>reprezintă piețe cu ridicata integrate pe verticală care sunt utilizate pentru furnizarea</w:t>
      </w:r>
      <w:r w:rsidR="00DB73C3" w:rsidRPr="00122CAE">
        <w:rPr>
          <w:rFonts w:ascii="Times New Roman" w:hAnsi="Times New Roman" w:cs="Times New Roman"/>
          <w:sz w:val="26"/>
          <w:szCs w:val="26"/>
          <w:lang w:val="ro-MO"/>
        </w:rPr>
        <w:t>:</w:t>
      </w:r>
    </w:p>
    <w:p w:rsidR="00DB73C3" w:rsidRPr="00122CAE" w:rsidRDefault="00DB73C3" w:rsidP="00122CAE">
      <w:pPr>
        <w:pStyle w:val="ListParagraph"/>
        <w:numPr>
          <w:ilvl w:val="0"/>
          <w:numId w:val="10"/>
        </w:numPr>
        <w:spacing w:after="0" w:line="240" w:lineRule="auto"/>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 xml:space="preserve">serviciilor cu amănuntul de </w:t>
      </w:r>
      <w:r w:rsidR="00595326" w:rsidRPr="00122CAE">
        <w:rPr>
          <w:rFonts w:ascii="Times New Roman" w:hAnsi="Times New Roman" w:cs="Times New Roman"/>
          <w:sz w:val="26"/>
          <w:szCs w:val="26"/>
          <w:lang w:val="ro-MO"/>
        </w:rPr>
        <w:t>I</w:t>
      </w:r>
      <w:r w:rsidRPr="00122CAE">
        <w:rPr>
          <w:rFonts w:ascii="Times New Roman" w:hAnsi="Times New Roman" w:cs="Times New Roman"/>
          <w:sz w:val="26"/>
          <w:szCs w:val="26"/>
          <w:lang w:val="ro-MO"/>
        </w:rPr>
        <w:t>nternet în bandă largă și/sau alte servicii (care includ dar nu se limitează la servicii de telefonie, televiziune, linii închiriate) destinate utilizatorilor finali;</w:t>
      </w:r>
    </w:p>
    <w:p w:rsidR="00DB73C3" w:rsidRPr="00122CAE" w:rsidRDefault="00DB73C3" w:rsidP="00122CAE">
      <w:pPr>
        <w:pStyle w:val="ListParagraph"/>
        <w:numPr>
          <w:ilvl w:val="0"/>
          <w:numId w:val="10"/>
        </w:numPr>
        <w:spacing w:after="0" w:line="240" w:lineRule="auto"/>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serviciilor cu ridicata pentru alți furnizori de servicii (serviciile WLA pot fi de asemenea utilizate de furnizorii de servicii pentru furnizarea serviciilor în aval WCA).</w:t>
      </w:r>
    </w:p>
    <w:p w:rsidR="003C75BF" w:rsidRPr="00122CAE" w:rsidRDefault="003C75BF" w:rsidP="00122CAE">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Ținând cont de cele menționate ANRCETI își propune efectuarea analizei Piețelor 4 și 5 din perspectiva Recomandării 2014/710/UE</w:t>
      </w:r>
      <w:r w:rsidR="00A87EB4" w:rsidRPr="00122CAE">
        <w:rPr>
          <w:rFonts w:ascii="Times New Roman" w:hAnsi="Times New Roman" w:cs="Times New Roman"/>
          <w:sz w:val="26"/>
          <w:szCs w:val="26"/>
          <w:lang w:val="ro-MO"/>
        </w:rPr>
        <w:t>, adică a piețe</w:t>
      </w:r>
      <w:r w:rsidR="00A60647" w:rsidRPr="00122CAE">
        <w:rPr>
          <w:rFonts w:ascii="Times New Roman" w:hAnsi="Times New Roman" w:cs="Times New Roman"/>
          <w:sz w:val="26"/>
          <w:szCs w:val="26"/>
          <w:lang w:val="ro-MO"/>
        </w:rPr>
        <w:t>lor</w:t>
      </w:r>
      <w:r w:rsidR="00A87EB4" w:rsidRPr="00122CAE">
        <w:rPr>
          <w:rFonts w:ascii="Times New Roman" w:hAnsi="Times New Roman" w:cs="Times New Roman"/>
          <w:sz w:val="26"/>
          <w:szCs w:val="26"/>
          <w:lang w:val="ro-MO"/>
        </w:rPr>
        <w:t xml:space="preserve"> WLA și WCA</w:t>
      </w:r>
      <w:r w:rsidRPr="00122CAE">
        <w:rPr>
          <w:rFonts w:ascii="Times New Roman" w:hAnsi="Times New Roman" w:cs="Times New Roman"/>
          <w:sz w:val="26"/>
          <w:szCs w:val="26"/>
          <w:lang w:val="ro-MO"/>
        </w:rPr>
        <w:t>.</w:t>
      </w:r>
    </w:p>
    <w:p w:rsidR="000D6893" w:rsidRPr="00122CAE" w:rsidRDefault="000D6893" w:rsidP="00122CAE">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lastRenderedPageBreak/>
        <w:t xml:space="preserve">ANRCETI va face publică analiza şi va prezenta Consiliului Concurenţei, în termen de 3 zile lucrătoare din data adoptării, deciziile ce conţin identificarea pieţelor relevante, desemnarea furnizorilor cu putere semnificativă pe pieţele relevante şi impunerea obligaţiilor speciale în sarcina furnizorilor cu putere semnificativă pe pieţele relevante. </w:t>
      </w:r>
    </w:p>
    <w:p w:rsidR="000933DA" w:rsidRPr="00446F65" w:rsidRDefault="000933DA" w:rsidP="00122CAE">
      <w:pPr>
        <w:autoSpaceDE w:val="0"/>
        <w:autoSpaceDN w:val="0"/>
        <w:adjustRightInd w:val="0"/>
        <w:spacing w:after="0" w:line="240" w:lineRule="auto"/>
        <w:ind w:firstLine="567"/>
        <w:jc w:val="both"/>
        <w:rPr>
          <w:rFonts w:ascii="Times New Roman" w:hAnsi="Times New Roman" w:cs="Times New Roman"/>
          <w:sz w:val="26"/>
          <w:szCs w:val="26"/>
          <w:lang w:val="ro-MO"/>
        </w:rPr>
      </w:pPr>
    </w:p>
    <w:p w:rsidR="00590822" w:rsidRPr="00122CAE" w:rsidRDefault="004B2D7C" w:rsidP="004B2D7C">
      <w:pPr>
        <w:pStyle w:val="Subtitle1"/>
        <w:tabs>
          <w:tab w:val="left" w:pos="1080"/>
        </w:tabs>
        <w:jc w:val="both"/>
        <w:rPr>
          <w:b/>
          <w:sz w:val="26"/>
          <w:szCs w:val="26"/>
          <w:lang w:val="ro-MO"/>
        </w:rPr>
      </w:pPr>
      <w:r>
        <w:rPr>
          <w:b/>
          <w:sz w:val="26"/>
          <w:szCs w:val="26"/>
          <w:lang w:val="ro-MO"/>
        </w:rPr>
        <w:tab/>
      </w:r>
      <w:r w:rsidR="00590822" w:rsidRPr="00122CAE">
        <w:rPr>
          <w:b/>
          <w:sz w:val="26"/>
          <w:szCs w:val="26"/>
          <w:lang w:val="ro-MO"/>
        </w:rPr>
        <w:t xml:space="preserve">Procesul de consultare </w:t>
      </w:r>
    </w:p>
    <w:p w:rsidR="00DB73C3" w:rsidRPr="009A6487" w:rsidRDefault="003C75BF" w:rsidP="00122CAE">
      <w:pPr>
        <w:spacing w:after="0" w:line="240" w:lineRule="auto"/>
        <w:ind w:firstLine="720"/>
        <w:jc w:val="both"/>
        <w:rPr>
          <w:rFonts w:ascii="Times New Roman" w:hAnsi="Times New Roman" w:cs="Times New Roman"/>
          <w:sz w:val="26"/>
          <w:szCs w:val="26"/>
          <w:lang w:val="ro-MO"/>
        </w:rPr>
      </w:pPr>
      <w:r w:rsidRPr="00122CAE">
        <w:rPr>
          <w:rFonts w:ascii="Times New Roman" w:hAnsi="Times New Roman" w:cs="Times New Roman"/>
          <w:sz w:val="26"/>
          <w:szCs w:val="26"/>
          <w:lang w:val="ro-MO"/>
        </w:rPr>
        <w:t xml:space="preserve">Proiectul </w:t>
      </w:r>
      <w:r w:rsidR="00B16A5A">
        <w:rPr>
          <w:rFonts w:ascii="Times New Roman" w:hAnsi="Times New Roman" w:cs="Times New Roman"/>
          <w:sz w:val="26"/>
          <w:szCs w:val="26"/>
          <w:lang w:val="ro-MO"/>
        </w:rPr>
        <w:t xml:space="preserve">de </w:t>
      </w:r>
      <w:r w:rsidRPr="00122CAE">
        <w:rPr>
          <w:rFonts w:ascii="Times New Roman" w:hAnsi="Times New Roman" w:cs="Times New Roman"/>
          <w:sz w:val="26"/>
          <w:szCs w:val="26"/>
          <w:lang w:val="ro-MO"/>
        </w:rPr>
        <w:t>analiz</w:t>
      </w:r>
      <w:r w:rsidR="00B16A5A">
        <w:rPr>
          <w:rFonts w:ascii="Times New Roman" w:hAnsi="Times New Roman" w:cs="Times New Roman"/>
          <w:sz w:val="26"/>
          <w:szCs w:val="26"/>
          <w:lang w:val="ro-MO"/>
        </w:rPr>
        <w:t>ă a</w:t>
      </w:r>
      <w:r w:rsidRPr="00122CAE">
        <w:rPr>
          <w:rFonts w:ascii="Times New Roman" w:hAnsi="Times New Roman" w:cs="Times New Roman"/>
          <w:sz w:val="26"/>
          <w:szCs w:val="26"/>
          <w:lang w:val="ro-MO"/>
        </w:rPr>
        <w:t xml:space="preserve"> </w:t>
      </w:r>
      <w:r w:rsidR="00B16A5A" w:rsidRPr="00122CAE">
        <w:rPr>
          <w:rFonts w:ascii="Times New Roman" w:hAnsi="Times New Roman" w:cs="Times New Roman"/>
          <w:sz w:val="26"/>
          <w:szCs w:val="26"/>
          <w:lang w:val="ro-MO"/>
        </w:rPr>
        <w:t>p</w:t>
      </w:r>
      <w:r w:rsidRPr="00122CAE">
        <w:rPr>
          <w:rFonts w:ascii="Times New Roman" w:hAnsi="Times New Roman" w:cs="Times New Roman"/>
          <w:sz w:val="26"/>
          <w:szCs w:val="26"/>
          <w:lang w:val="ro-MO"/>
        </w:rPr>
        <w:t>ieţei de furnizare cu ridicata de servicii de acces local la puncte fixe</w:t>
      </w:r>
      <w:r w:rsidR="00CC216B">
        <w:rPr>
          <w:rFonts w:ascii="Times New Roman" w:hAnsi="Times New Roman" w:cs="Times New Roman"/>
          <w:sz w:val="26"/>
          <w:szCs w:val="26"/>
          <w:lang w:val="ro-MO"/>
        </w:rPr>
        <w:t xml:space="preserve"> </w:t>
      </w:r>
      <w:r w:rsidRPr="00122CAE">
        <w:rPr>
          <w:rFonts w:ascii="Times New Roman" w:hAnsi="Times New Roman" w:cs="Times New Roman"/>
          <w:sz w:val="26"/>
          <w:szCs w:val="26"/>
          <w:lang w:val="ro-MO"/>
        </w:rPr>
        <w:t xml:space="preserve">și </w:t>
      </w:r>
      <w:r w:rsidR="00CC216B">
        <w:rPr>
          <w:rFonts w:ascii="Times New Roman" w:hAnsi="Times New Roman" w:cs="Times New Roman"/>
          <w:sz w:val="26"/>
          <w:szCs w:val="26"/>
          <w:lang w:val="ro-MO"/>
        </w:rPr>
        <w:t>a p</w:t>
      </w:r>
      <w:r w:rsidR="0007526B" w:rsidRPr="00122CAE">
        <w:rPr>
          <w:rFonts w:ascii="Times New Roman" w:hAnsi="Times New Roman" w:cs="Times New Roman"/>
          <w:sz w:val="26"/>
          <w:szCs w:val="26"/>
          <w:lang w:val="ro-MO"/>
        </w:rPr>
        <w:t xml:space="preserve">ieței </w:t>
      </w:r>
      <w:r w:rsidRPr="00122CAE">
        <w:rPr>
          <w:rFonts w:ascii="Times New Roman" w:hAnsi="Times New Roman" w:cs="Times New Roman"/>
          <w:sz w:val="26"/>
          <w:szCs w:val="26"/>
          <w:lang w:val="ro-MO"/>
        </w:rPr>
        <w:t xml:space="preserve">de furnizare cu ridicata de servicii de acces central la puncte fixe pentru produse de larg consum </w:t>
      </w:r>
      <w:r w:rsidR="00CC216B">
        <w:rPr>
          <w:rFonts w:ascii="Times New Roman" w:hAnsi="Times New Roman" w:cs="Times New Roman"/>
          <w:sz w:val="26"/>
          <w:szCs w:val="26"/>
          <w:lang w:val="ro-MO"/>
        </w:rPr>
        <w:t xml:space="preserve">a fost supus consultării publice în perioada </w:t>
      </w:r>
      <w:r w:rsidR="00B16A5A">
        <w:rPr>
          <w:rFonts w:ascii="Times New Roman" w:hAnsi="Times New Roman" w:cs="Times New Roman"/>
          <w:sz w:val="26"/>
          <w:szCs w:val="26"/>
          <w:lang w:val="ro-MO"/>
        </w:rPr>
        <w:t>13.09.2017-04.10.2017</w:t>
      </w:r>
      <w:r w:rsidRPr="009A6487">
        <w:rPr>
          <w:rFonts w:ascii="Times New Roman" w:hAnsi="Times New Roman" w:cs="Times New Roman"/>
          <w:sz w:val="26"/>
          <w:szCs w:val="26"/>
          <w:lang w:val="ro-MO"/>
        </w:rPr>
        <w:t xml:space="preserve">. </w:t>
      </w:r>
      <w:r w:rsidRPr="009A6487">
        <w:rPr>
          <w:rFonts w:ascii="Times New Roman" w:hAnsi="Times New Roman" w:cs="Times New Roman"/>
          <w:sz w:val="26"/>
          <w:szCs w:val="26"/>
          <w:lang w:val="ro-MO"/>
        </w:rPr>
        <w:tab/>
      </w:r>
    </w:p>
    <w:p w:rsidR="003C75BF" w:rsidRPr="00CC216B" w:rsidRDefault="00CC216B" w:rsidP="00122CAE">
      <w:pPr>
        <w:spacing w:line="240" w:lineRule="auto"/>
        <w:ind w:firstLine="720"/>
        <w:jc w:val="both"/>
        <w:rPr>
          <w:rFonts w:ascii="Times New Roman" w:hAnsi="Times New Roman" w:cs="Times New Roman"/>
          <w:sz w:val="26"/>
          <w:szCs w:val="26"/>
          <w:lang w:val="ro-RO"/>
        </w:rPr>
      </w:pPr>
      <w:r w:rsidRPr="00CC216B">
        <w:rPr>
          <w:rFonts w:ascii="Times New Roman" w:hAnsi="Times New Roman" w:cs="Times New Roman"/>
          <w:sz w:val="26"/>
          <w:szCs w:val="26"/>
          <w:lang w:val="ro-RO"/>
        </w:rPr>
        <w:t>Propunerile și comentariile au putut fi adresate în formă scrisă la adresa de contact a ANRCETI:</w:t>
      </w:r>
    </w:p>
    <w:p w:rsidR="00E13F46" w:rsidRPr="00122CAE" w:rsidRDefault="00E13F46" w:rsidP="00122CAE">
      <w:pPr>
        <w:spacing w:after="0" w:line="240" w:lineRule="auto"/>
        <w:jc w:val="both"/>
        <w:rPr>
          <w:rFonts w:ascii="Times New Roman" w:hAnsi="Times New Roman" w:cs="Times New Roman"/>
          <w:color w:val="000000"/>
          <w:sz w:val="26"/>
          <w:szCs w:val="26"/>
          <w:lang w:val="ro-MO"/>
        </w:rPr>
      </w:pPr>
      <w:r w:rsidRPr="00122CAE">
        <w:rPr>
          <w:rFonts w:ascii="Times New Roman" w:hAnsi="Times New Roman" w:cs="Times New Roman"/>
          <w:color w:val="000000"/>
          <w:sz w:val="26"/>
          <w:szCs w:val="26"/>
          <w:lang w:val="ro-MO"/>
        </w:rPr>
        <w:t>Bd. Ştefan cel Mare, 134, MD-2012,</w:t>
      </w:r>
    </w:p>
    <w:p w:rsidR="00E13F46" w:rsidRPr="00122CAE" w:rsidRDefault="00E13F46" w:rsidP="00122CAE">
      <w:pPr>
        <w:spacing w:after="0" w:line="240" w:lineRule="auto"/>
        <w:jc w:val="both"/>
        <w:rPr>
          <w:rFonts w:ascii="Times New Roman" w:hAnsi="Times New Roman" w:cs="Times New Roman"/>
          <w:color w:val="000000"/>
          <w:sz w:val="26"/>
          <w:szCs w:val="26"/>
          <w:lang w:val="ro-MO"/>
        </w:rPr>
      </w:pPr>
      <w:r w:rsidRPr="00122CAE">
        <w:rPr>
          <w:rFonts w:ascii="Times New Roman" w:hAnsi="Times New Roman" w:cs="Times New Roman"/>
          <w:color w:val="000000"/>
          <w:sz w:val="26"/>
          <w:szCs w:val="26"/>
          <w:lang w:val="ro-MO"/>
        </w:rPr>
        <w:t>CHIŞINĂU, REPUBLICA MOLDOVA</w:t>
      </w:r>
      <w:r w:rsidRPr="00122CAE" w:rsidDel="00AE58B2">
        <w:rPr>
          <w:rFonts w:ascii="Times New Roman" w:hAnsi="Times New Roman" w:cs="Times New Roman"/>
          <w:color w:val="000000"/>
          <w:sz w:val="26"/>
          <w:szCs w:val="26"/>
          <w:highlight w:val="yellow"/>
          <w:lang w:val="ro-MO"/>
        </w:rPr>
        <w:t xml:space="preserve"> </w:t>
      </w:r>
    </w:p>
    <w:p w:rsidR="00E13F46" w:rsidRPr="00122CAE" w:rsidRDefault="00E13F46" w:rsidP="00122CAE">
      <w:pPr>
        <w:spacing w:after="0" w:line="240" w:lineRule="auto"/>
        <w:jc w:val="both"/>
        <w:rPr>
          <w:rFonts w:ascii="Times New Roman" w:hAnsi="Times New Roman" w:cs="Times New Roman"/>
          <w:color w:val="000000"/>
          <w:sz w:val="26"/>
          <w:szCs w:val="26"/>
          <w:lang w:val="ro-MO"/>
        </w:rPr>
      </w:pPr>
      <w:r w:rsidRPr="00122CAE">
        <w:rPr>
          <w:rFonts w:ascii="Times New Roman" w:hAnsi="Times New Roman" w:cs="Times New Roman"/>
          <w:color w:val="000000"/>
          <w:sz w:val="26"/>
          <w:szCs w:val="26"/>
          <w:lang w:val="ro-MO"/>
        </w:rPr>
        <w:t xml:space="preserve">Fax: (0 22) </w:t>
      </w:r>
      <w:proofErr w:type="spellStart"/>
      <w:r w:rsidRPr="00122CAE">
        <w:rPr>
          <w:rFonts w:ascii="Times New Roman" w:hAnsi="Times New Roman" w:cs="Times New Roman"/>
          <w:color w:val="000000"/>
          <w:sz w:val="26"/>
          <w:szCs w:val="26"/>
          <w:lang w:val="ro-MO"/>
        </w:rPr>
        <w:t>22</w:t>
      </w:r>
      <w:proofErr w:type="spellEnd"/>
      <w:r w:rsidRPr="00122CAE">
        <w:rPr>
          <w:rFonts w:ascii="Times New Roman" w:hAnsi="Times New Roman" w:cs="Times New Roman"/>
          <w:color w:val="000000"/>
          <w:sz w:val="26"/>
          <w:szCs w:val="26"/>
          <w:lang w:val="ro-MO"/>
        </w:rPr>
        <w:t xml:space="preserve"> 28 85</w:t>
      </w:r>
    </w:p>
    <w:p w:rsidR="00E13F46" w:rsidRPr="00122CAE" w:rsidRDefault="00E13F46" w:rsidP="00122CAE">
      <w:pPr>
        <w:spacing w:after="0" w:line="240" w:lineRule="auto"/>
        <w:jc w:val="both"/>
        <w:rPr>
          <w:rFonts w:ascii="Times New Roman" w:hAnsi="Times New Roman" w:cs="Times New Roman"/>
          <w:color w:val="000000"/>
          <w:sz w:val="26"/>
          <w:szCs w:val="26"/>
          <w:lang w:val="ro-MO"/>
        </w:rPr>
      </w:pPr>
      <w:r w:rsidRPr="00122CAE">
        <w:rPr>
          <w:rFonts w:ascii="Times New Roman" w:hAnsi="Times New Roman" w:cs="Times New Roman"/>
          <w:color w:val="000000"/>
          <w:sz w:val="26"/>
          <w:szCs w:val="26"/>
          <w:lang w:val="ro-MO"/>
        </w:rPr>
        <w:t xml:space="preserve">şi/sau la: </w:t>
      </w:r>
    </w:p>
    <w:p w:rsidR="000933DA" w:rsidRPr="00446F65" w:rsidRDefault="00E13F46" w:rsidP="00317915">
      <w:pPr>
        <w:spacing w:line="240" w:lineRule="auto"/>
        <w:jc w:val="both"/>
        <w:rPr>
          <w:rStyle w:val="Hyperlink"/>
          <w:rFonts w:ascii="Times New Roman" w:hAnsi="Times New Roman" w:cs="Times New Roman"/>
          <w:color w:val="000000"/>
          <w:sz w:val="26"/>
          <w:szCs w:val="26"/>
          <w:lang w:val="ro-MO"/>
        </w:rPr>
      </w:pPr>
      <w:r w:rsidRPr="00122CAE">
        <w:rPr>
          <w:rFonts w:ascii="Times New Roman" w:hAnsi="Times New Roman" w:cs="Times New Roman"/>
          <w:color w:val="000000"/>
          <w:sz w:val="26"/>
          <w:szCs w:val="26"/>
          <w:lang w:val="ro-MO"/>
        </w:rPr>
        <w:t xml:space="preserve">e-mail: </w:t>
      </w:r>
      <w:hyperlink r:id="rId10" w:history="1">
        <w:r w:rsidRPr="00122CAE">
          <w:rPr>
            <w:rStyle w:val="Hyperlink"/>
            <w:rFonts w:ascii="Times New Roman" w:hAnsi="Times New Roman" w:cs="Times New Roman"/>
            <w:color w:val="000000"/>
            <w:sz w:val="26"/>
            <w:szCs w:val="26"/>
            <w:lang w:val="ro-MO"/>
          </w:rPr>
          <w:t>office@anrceti.md</w:t>
        </w:r>
      </w:hyperlink>
    </w:p>
    <w:p w:rsidR="000933DA" w:rsidRPr="00CC216B" w:rsidRDefault="00CC216B" w:rsidP="00A97D98">
      <w:pPr>
        <w:spacing w:line="240" w:lineRule="auto"/>
        <w:ind w:firstLine="720"/>
        <w:jc w:val="both"/>
        <w:rPr>
          <w:rStyle w:val="Hyperlink"/>
          <w:rFonts w:ascii="Times New Roman" w:hAnsi="Times New Roman" w:cs="Times New Roman"/>
          <w:color w:val="000000"/>
          <w:sz w:val="26"/>
          <w:szCs w:val="26"/>
          <w:lang w:val="ro-RO"/>
        </w:rPr>
      </w:pPr>
      <w:r w:rsidRPr="00CC216B">
        <w:rPr>
          <w:rFonts w:ascii="Times New Roman" w:hAnsi="Times New Roman" w:cs="Times New Roman"/>
          <w:sz w:val="26"/>
          <w:szCs w:val="26"/>
          <w:lang w:val="ro-RO"/>
        </w:rPr>
        <w:t>În cadrul consult</w:t>
      </w:r>
      <w:r>
        <w:rPr>
          <w:rFonts w:ascii="Times New Roman" w:hAnsi="Times New Roman" w:cs="Times New Roman"/>
          <w:sz w:val="26"/>
          <w:szCs w:val="26"/>
          <w:lang w:val="ro-RO"/>
        </w:rPr>
        <w:t>ă</w:t>
      </w:r>
      <w:r w:rsidRPr="00CC216B">
        <w:rPr>
          <w:rFonts w:ascii="Times New Roman" w:hAnsi="Times New Roman" w:cs="Times New Roman"/>
          <w:sz w:val="26"/>
          <w:szCs w:val="26"/>
          <w:lang w:val="ro-RO"/>
        </w:rPr>
        <w:t>r</w:t>
      </w:r>
      <w:r>
        <w:rPr>
          <w:rFonts w:ascii="Times New Roman" w:hAnsi="Times New Roman" w:cs="Times New Roman"/>
          <w:sz w:val="26"/>
          <w:szCs w:val="26"/>
          <w:lang w:val="ro-RO"/>
        </w:rPr>
        <w:t>ii</w:t>
      </w:r>
      <w:r w:rsidRPr="00CC216B">
        <w:rPr>
          <w:rFonts w:ascii="Times New Roman" w:hAnsi="Times New Roman" w:cs="Times New Roman"/>
          <w:sz w:val="26"/>
          <w:szCs w:val="26"/>
          <w:lang w:val="ro-RO"/>
        </w:rPr>
        <w:t xml:space="preserve"> public</w:t>
      </w:r>
      <w:r>
        <w:rPr>
          <w:rFonts w:ascii="Times New Roman" w:hAnsi="Times New Roman" w:cs="Times New Roman"/>
          <w:sz w:val="26"/>
          <w:szCs w:val="26"/>
          <w:lang w:val="ro-RO"/>
        </w:rPr>
        <w:t>e</w:t>
      </w:r>
      <w:r w:rsidRPr="00CC216B">
        <w:rPr>
          <w:rFonts w:ascii="Times New Roman" w:hAnsi="Times New Roman" w:cs="Times New Roman"/>
          <w:sz w:val="26"/>
          <w:szCs w:val="26"/>
          <w:lang w:val="ro-RO"/>
        </w:rPr>
        <w:t xml:space="preserve"> au parvenit </w:t>
      </w:r>
      <w:r>
        <w:rPr>
          <w:rFonts w:ascii="Times New Roman" w:hAnsi="Times New Roman" w:cs="Times New Roman"/>
          <w:sz w:val="26"/>
          <w:szCs w:val="26"/>
          <w:lang w:val="ro-RO"/>
        </w:rPr>
        <w:t>propuneri</w:t>
      </w:r>
      <w:r w:rsidRPr="00CC216B">
        <w:rPr>
          <w:rFonts w:ascii="Times New Roman" w:hAnsi="Times New Roman" w:cs="Times New Roman"/>
          <w:sz w:val="26"/>
          <w:szCs w:val="26"/>
          <w:lang w:val="ro-RO"/>
        </w:rPr>
        <w:t xml:space="preserve"> din partea S.A</w:t>
      </w:r>
      <w:r>
        <w:rPr>
          <w:rFonts w:ascii="Times New Roman" w:hAnsi="Times New Roman" w:cs="Times New Roman"/>
          <w:sz w:val="26"/>
          <w:szCs w:val="26"/>
          <w:lang w:val="ro-RO"/>
        </w:rPr>
        <w:t>.</w:t>
      </w:r>
      <w:r w:rsidRPr="00CC216B">
        <w:rPr>
          <w:rFonts w:ascii="Times New Roman" w:hAnsi="Times New Roman" w:cs="Times New Roman"/>
          <w:sz w:val="26"/>
          <w:szCs w:val="26"/>
          <w:lang w:val="ro-RO"/>
        </w:rPr>
        <w:t>„Moldtelecom”. Deciziile luate pe marginea comentariilor şi propunerilor sunt reflectate în Sinteza recomandărilor care vizează Analiza dată.</w:t>
      </w:r>
      <w:r w:rsidR="000933DA" w:rsidRPr="00CC216B">
        <w:rPr>
          <w:rStyle w:val="Hyperlink"/>
          <w:rFonts w:ascii="Times New Roman" w:hAnsi="Times New Roman" w:cs="Times New Roman"/>
          <w:color w:val="000000"/>
          <w:sz w:val="26"/>
          <w:szCs w:val="26"/>
          <w:lang w:val="ro-RO"/>
        </w:rPr>
        <w:br w:type="page"/>
      </w:r>
    </w:p>
    <w:p w:rsidR="00C67459" w:rsidRPr="00446F65" w:rsidRDefault="00CB624D" w:rsidP="00317915">
      <w:pPr>
        <w:pStyle w:val="Heading1"/>
        <w:numPr>
          <w:ilvl w:val="0"/>
          <w:numId w:val="9"/>
        </w:numPr>
        <w:spacing w:line="240" w:lineRule="auto"/>
        <w:jc w:val="both"/>
        <w:rPr>
          <w:rFonts w:cs="Times New Roman"/>
          <w:color w:val="auto"/>
          <w:sz w:val="26"/>
          <w:szCs w:val="26"/>
          <w:lang w:val="ro-MO"/>
        </w:rPr>
      </w:pPr>
      <w:bookmarkStart w:id="2" w:name="_Toc492907362"/>
      <w:r w:rsidRPr="00446F65">
        <w:rPr>
          <w:rFonts w:cs="Times New Roman"/>
          <w:color w:val="auto"/>
          <w:sz w:val="26"/>
          <w:szCs w:val="26"/>
          <w:lang w:val="ro-MO"/>
        </w:rPr>
        <w:lastRenderedPageBreak/>
        <w:t>Analiza piețe</w:t>
      </w:r>
      <w:r w:rsidR="00BB04D4" w:rsidRPr="00446F65">
        <w:rPr>
          <w:rFonts w:cs="Times New Roman"/>
          <w:color w:val="auto"/>
          <w:sz w:val="26"/>
          <w:szCs w:val="26"/>
          <w:lang w:val="ro-MO"/>
        </w:rPr>
        <w:t>i</w:t>
      </w:r>
      <w:r w:rsidRPr="00446F65">
        <w:rPr>
          <w:rFonts w:cs="Times New Roman"/>
          <w:color w:val="auto"/>
          <w:sz w:val="26"/>
          <w:szCs w:val="26"/>
          <w:lang w:val="ro-MO"/>
        </w:rPr>
        <w:t xml:space="preserve"> cu amănuntul</w:t>
      </w:r>
      <w:bookmarkEnd w:id="2"/>
    </w:p>
    <w:p w:rsidR="00A87EB4" w:rsidRPr="00446F65" w:rsidRDefault="00A87EB4" w:rsidP="00317915">
      <w:pPr>
        <w:spacing w:after="0" w:line="240" w:lineRule="auto"/>
        <w:ind w:firstLine="567"/>
        <w:jc w:val="both"/>
        <w:rPr>
          <w:rFonts w:ascii="Times New Roman" w:hAnsi="Times New Roman" w:cs="Times New Roman"/>
          <w:sz w:val="26"/>
          <w:szCs w:val="26"/>
          <w:lang w:val="ro-MO"/>
        </w:rPr>
      </w:pPr>
    </w:p>
    <w:p w:rsidR="006869FD" w:rsidRPr="00446F65" w:rsidRDefault="006869FD"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Cererea pentru produse </w:t>
      </w:r>
      <w:r w:rsidR="00BB04D4" w:rsidRPr="00446F65">
        <w:rPr>
          <w:rFonts w:ascii="Times New Roman" w:hAnsi="Times New Roman" w:cs="Times New Roman"/>
          <w:sz w:val="26"/>
          <w:szCs w:val="26"/>
          <w:lang w:val="ro-MO"/>
        </w:rPr>
        <w:t xml:space="preserve">de pe piețele </w:t>
      </w:r>
      <w:r w:rsidRPr="00446F65">
        <w:rPr>
          <w:rFonts w:ascii="Times New Roman" w:hAnsi="Times New Roman" w:cs="Times New Roman"/>
          <w:sz w:val="26"/>
          <w:szCs w:val="26"/>
          <w:lang w:val="ro-MO"/>
        </w:rPr>
        <w:t xml:space="preserve">WLA și WCA derivă în cele din urmă de cererea utilizatorilor finali pentru servicii cu amănuntul din aval care pot fi furnizate utilizând serviciile cu ridicata menționate, astfel că analiza tendințelor și evoluțiile de pe piața cu amănuntul sunt foarte importante pentru analiza ulterioară a piețelor cu ridicata WLA și WCA. </w:t>
      </w:r>
    </w:p>
    <w:p w:rsidR="00A60647" w:rsidRPr="00446F65" w:rsidRDefault="00A6064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conformitate cu recitalul (7) din Recomandarea 2014/710/UE punctul de plecare pentru identificarea piețelor cu ridicata</w:t>
      </w:r>
      <w:r w:rsidR="006739B8"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care pot face obiectul reglementării ex ante</w:t>
      </w:r>
      <w:r w:rsidR="006739B8"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este analiza piețelor cu amănuntul corespunzătoare. </w:t>
      </w:r>
      <w:r w:rsidR="00EB574D" w:rsidRPr="00446F65">
        <w:rPr>
          <w:rFonts w:ascii="Times New Roman" w:hAnsi="Times New Roman" w:cs="Times New Roman"/>
          <w:sz w:val="26"/>
          <w:szCs w:val="26"/>
          <w:lang w:val="ro-MO"/>
        </w:rPr>
        <w:t>A</w:t>
      </w:r>
      <w:r w:rsidRPr="00446F65">
        <w:rPr>
          <w:rFonts w:ascii="Times New Roman" w:hAnsi="Times New Roman" w:cs="Times New Roman"/>
          <w:sz w:val="26"/>
          <w:szCs w:val="26"/>
          <w:lang w:val="ro-MO"/>
        </w:rPr>
        <w:t>naliz</w:t>
      </w:r>
      <w:r w:rsidR="00EB574D" w:rsidRPr="00446F65">
        <w:rPr>
          <w:rFonts w:ascii="Times New Roman" w:hAnsi="Times New Roman" w:cs="Times New Roman"/>
          <w:sz w:val="26"/>
          <w:szCs w:val="26"/>
          <w:lang w:val="ro-MO"/>
        </w:rPr>
        <w:t>a</w:t>
      </w:r>
      <w:r w:rsidRPr="00446F65">
        <w:rPr>
          <w:rFonts w:ascii="Times New Roman" w:hAnsi="Times New Roman" w:cs="Times New Roman"/>
          <w:sz w:val="26"/>
          <w:szCs w:val="26"/>
          <w:lang w:val="ro-MO"/>
        </w:rPr>
        <w:t xml:space="preserve"> piețelor cu amănuntul se efectuează luând în considerare substituibilitatea din punctul de vedere al cererii și, dacă este cazul, al ofertei, dintr-o perspectivă orientată spre viitor pentru un orizont de timp dat</w:t>
      </w:r>
      <w:r w:rsidR="004A2762" w:rsidRPr="00446F65">
        <w:rPr>
          <w:rFonts w:ascii="Times New Roman" w:hAnsi="Times New Roman" w:cs="Times New Roman"/>
          <w:sz w:val="26"/>
          <w:szCs w:val="26"/>
          <w:lang w:val="ro-MO"/>
        </w:rPr>
        <w:t>, utilizând Testul Monopolistului Ipotetic (TMI)</w:t>
      </w:r>
      <w:r w:rsidR="00FA69A5" w:rsidRPr="00446F65">
        <w:rPr>
          <w:rFonts w:ascii="Times New Roman" w:hAnsi="Times New Roman" w:cs="Times New Roman"/>
          <w:sz w:val="26"/>
          <w:szCs w:val="26"/>
          <w:lang w:val="ro-MO"/>
        </w:rPr>
        <w:t>.</w:t>
      </w:r>
    </w:p>
    <w:p w:rsidR="00800DC4" w:rsidRPr="00446F65" w:rsidRDefault="006869FD" w:rsidP="00317915">
      <w:pPr>
        <w:spacing w:after="0" w:line="240" w:lineRule="auto"/>
        <w:rPr>
          <w:rFonts w:ascii="Times New Roman" w:hAnsi="Times New Roman" w:cs="Times New Roman"/>
          <w:sz w:val="26"/>
          <w:szCs w:val="26"/>
          <w:lang w:val="ro-MO"/>
        </w:rPr>
      </w:pPr>
      <w:r w:rsidRPr="00446F65">
        <w:rPr>
          <w:rFonts w:ascii="Times New Roman" w:hAnsi="Times New Roman" w:cs="Times New Roman"/>
          <w:sz w:val="26"/>
          <w:szCs w:val="26"/>
          <w:lang w:val="ro-MO"/>
        </w:rPr>
        <w:tab/>
      </w:r>
      <w:r w:rsidR="00800DC4" w:rsidRPr="00446F65">
        <w:rPr>
          <w:rFonts w:ascii="Times New Roman" w:hAnsi="Times New Roman" w:cs="Times New Roman"/>
          <w:b/>
          <w:sz w:val="26"/>
          <w:szCs w:val="26"/>
          <w:lang w:val="ro-MO"/>
        </w:rPr>
        <w:t xml:space="preserve">Testul Monopolistului Ipotetic </w:t>
      </w:r>
    </w:p>
    <w:p w:rsidR="00644DF9" w:rsidRPr="00446F65" w:rsidRDefault="00800DC4"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Testul Monopolistului Ipotetic </w:t>
      </w:r>
      <w:r w:rsidR="00EB5BB2" w:rsidRPr="00446F65">
        <w:rPr>
          <w:rFonts w:ascii="Times New Roman" w:hAnsi="Times New Roman" w:cs="Times New Roman"/>
          <w:sz w:val="26"/>
          <w:szCs w:val="26"/>
          <w:lang w:val="ro-MO"/>
        </w:rPr>
        <w:t xml:space="preserve">(TMI) </w:t>
      </w:r>
      <w:r w:rsidRPr="00446F65">
        <w:rPr>
          <w:rFonts w:ascii="Times New Roman" w:hAnsi="Times New Roman" w:cs="Times New Roman"/>
          <w:sz w:val="26"/>
          <w:szCs w:val="26"/>
          <w:lang w:val="ro-MO"/>
        </w:rPr>
        <w:t xml:space="preserve">începe prin identificarea unui produs focal, adică produsul cel mai îngust definit care în mod evident se află pe piaţa analizată. Această piaţă poate include şi alte produse candidat în dependenţă de substituibilitatea dintre produsul candidat şi produsul focal. Sunt analizate 3 forme ale substituibilităţii produselor: </w:t>
      </w:r>
    </w:p>
    <w:p w:rsidR="00800DC4" w:rsidRPr="00446F65" w:rsidRDefault="00800DC4" w:rsidP="00317915">
      <w:pPr>
        <w:pStyle w:val="BodyText"/>
        <w:ind w:firstLine="567"/>
        <w:jc w:val="both"/>
        <w:rPr>
          <w:sz w:val="26"/>
          <w:szCs w:val="26"/>
          <w:lang w:val="ro-MO"/>
        </w:rPr>
      </w:pPr>
      <w:r w:rsidRPr="00446F65">
        <w:rPr>
          <w:sz w:val="26"/>
          <w:szCs w:val="26"/>
          <w:lang w:val="ro-MO"/>
        </w:rPr>
        <w:t xml:space="preserve">i. </w:t>
      </w:r>
      <w:r w:rsidR="006739B8" w:rsidRPr="00446F65">
        <w:rPr>
          <w:sz w:val="26"/>
          <w:szCs w:val="26"/>
          <w:lang w:val="ro-MO"/>
        </w:rPr>
        <w:t>s</w:t>
      </w:r>
      <w:r w:rsidRPr="00446F65">
        <w:rPr>
          <w:sz w:val="26"/>
          <w:szCs w:val="26"/>
          <w:lang w:val="ro-MO"/>
        </w:rPr>
        <w:t>ubstituibilitatea ofertei;</w:t>
      </w:r>
    </w:p>
    <w:p w:rsidR="00800DC4" w:rsidRPr="00446F65" w:rsidRDefault="00800DC4" w:rsidP="00317915">
      <w:pPr>
        <w:pStyle w:val="BodyText"/>
        <w:ind w:firstLine="567"/>
        <w:jc w:val="both"/>
        <w:rPr>
          <w:sz w:val="26"/>
          <w:szCs w:val="26"/>
          <w:lang w:val="ro-MO"/>
        </w:rPr>
      </w:pPr>
      <w:r w:rsidRPr="00446F65">
        <w:rPr>
          <w:sz w:val="26"/>
          <w:szCs w:val="26"/>
          <w:lang w:val="ro-MO"/>
        </w:rPr>
        <w:t xml:space="preserve">ii. </w:t>
      </w:r>
      <w:r w:rsidR="006739B8" w:rsidRPr="00446F65">
        <w:rPr>
          <w:sz w:val="26"/>
          <w:szCs w:val="26"/>
          <w:lang w:val="ro-MO"/>
        </w:rPr>
        <w:t>s</w:t>
      </w:r>
      <w:r w:rsidRPr="00446F65">
        <w:rPr>
          <w:sz w:val="26"/>
          <w:szCs w:val="26"/>
          <w:lang w:val="ro-MO"/>
        </w:rPr>
        <w:t>ubstituibilitatea cererii cu ridicata;</w:t>
      </w:r>
    </w:p>
    <w:p w:rsidR="00800DC4" w:rsidRPr="00446F65" w:rsidRDefault="00800DC4" w:rsidP="00317915">
      <w:pPr>
        <w:pStyle w:val="BodyText"/>
        <w:ind w:firstLine="567"/>
        <w:jc w:val="both"/>
        <w:rPr>
          <w:sz w:val="26"/>
          <w:szCs w:val="26"/>
          <w:lang w:val="ro-MO"/>
        </w:rPr>
      </w:pPr>
      <w:proofErr w:type="spellStart"/>
      <w:r w:rsidRPr="00446F65">
        <w:rPr>
          <w:sz w:val="26"/>
          <w:szCs w:val="26"/>
          <w:lang w:val="ro-MO"/>
        </w:rPr>
        <w:t>iii</w:t>
      </w:r>
      <w:proofErr w:type="spellEnd"/>
      <w:r w:rsidRPr="00446F65">
        <w:rPr>
          <w:sz w:val="26"/>
          <w:szCs w:val="26"/>
          <w:lang w:val="ro-MO"/>
        </w:rPr>
        <w:t xml:space="preserve">. </w:t>
      </w:r>
      <w:r w:rsidR="006739B8" w:rsidRPr="00446F65">
        <w:rPr>
          <w:sz w:val="26"/>
          <w:szCs w:val="26"/>
          <w:lang w:val="ro-MO"/>
        </w:rPr>
        <w:t>s</w:t>
      </w:r>
      <w:r w:rsidRPr="00446F65">
        <w:rPr>
          <w:sz w:val="26"/>
          <w:szCs w:val="26"/>
          <w:lang w:val="ro-MO"/>
        </w:rPr>
        <w:t xml:space="preserve">ubstituibilitatea cererii cu amănuntul. </w:t>
      </w:r>
    </w:p>
    <w:p w:rsidR="00800DC4" w:rsidRPr="00446F65" w:rsidRDefault="00800DC4"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La efectuarea TMI este analizat un monopolist ipotetic şi se verifică dacă o majorare mică dar semnificativă (creştere de 5-10%), non-tranzitorie (cel puţin cu durata de 1 an) a preţului produsului focal (SSNIP) ar putea fi profitabilă. </w:t>
      </w:r>
    </w:p>
    <w:p w:rsidR="00800DC4" w:rsidRPr="00446F65" w:rsidRDefault="00800DC4"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Aceasta presupune că fiecare substituent candidat este testat prin TMI dacă produce suficientă presiune competitivă asupra produsului focal. În cazul când SSNIP este profitabil, aceasta va fi o dovadă că produsul candidat nu este capabil să substituie produsul focal şi nu poate fi inclus în limitele pieţei produsului. </w:t>
      </w:r>
    </w:p>
    <w:p w:rsidR="00644DF9" w:rsidRPr="00446F65" w:rsidRDefault="00800DC4"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Dacă creşterea preţului produsului focal nu este profitabilă, definiţia serviciului trebuie extinsă pentru a include serviciile care pot substitui produsul focal.</w:t>
      </w:r>
    </w:p>
    <w:p w:rsidR="00FB30A1" w:rsidRPr="00446F65" w:rsidRDefault="0032253E" w:rsidP="00317915">
      <w:pPr>
        <w:spacing w:after="0" w:line="240" w:lineRule="auto"/>
        <w:ind w:firstLine="720"/>
        <w:jc w:val="both"/>
        <w:rPr>
          <w:rFonts w:ascii="Times New Roman" w:hAnsi="Times New Roman" w:cs="Times New Roman"/>
          <w:sz w:val="26"/>
          <w:szCs w:val="26"/>
          <w:lang w:val="ro-MO"/>
        </w:rPr>
      </w:pPr>
      <w:bookmarkStart w:id="3" w:name="_Toc480384165"/>
      <w:bookmarkEnd w:id="3"/>
      <w:r w:rsidRPr="00446F65">
        <w:rPr>
          <w:rFonts w:ascii="Times New Roman" w:hAnsi="Times New Roman" w:cs="Times New Roman"/>
          <w:sz w:val="26"/>
          <w:szCs w:val="26"/>
          <w:lang w:val="ro-MO"/>
        </w:rPr>
        <w:t>Astfel, ANRCETI în continuare va efectua analiza piețelor cu amănuntul, luând în considerare substituibilitatea din punctul de vedere al cererii și, dacă este cazul, al ofertei.</w:t>
      </w:r>
      <w:r w:rsidR="00A541EE" w:rsidRPr="00446F65">
        <w:rPr>
          <w:rFonts w:ascii="Times New Roman" w:hAnsi="Times New Roman" w:cs="Times New Roman"/>
          <w:sz w:val="26"/>
          <w:szCs w:val="26"/>
          <w:lang w:val="ro-MO"/>
        </w:rPr>
        <w:t xml:space="preserve"> </w:t>
      </w:r>
    </w:p>
    <w:p w:rsidR="007D1A2B" w:rsidRPr="00446F65" w:rsidRDefault="00392BB5" w:rsidP="00317915">
      <w:pPr>
        <w:pStyle w:val="Heading2"/>
        <w:spacing w:line="240" w:lineRule="auto"/>
        <w:ind w:firstLine="720"/>
        <w:rPr>
          <w:rFonts w:eastAsiaTheme="minorHAnsi" w:cs="Times New Roman"/>
          <w:bCs w:val="0"/>
          <w:color w:val="auto"/>
          <w:sz w:val="26"/>
          <w:lang w:val="ro-MO"/>
        </w:rPr>
      </w:pPr>
      <w:bookmarkStart w:id="4" w:name="_Toc492907363"/>
      <w:r w:rsidRPr="00446F65">
        <w:rPr>
          <w:rFonts w:eastAsiaTheme="minorHAnsi" w:cs="Times New Roman"/>
          <w:bCs w:val="0"/>
          <w:color w:val="auto"/>
          <w:sz w:val="26"/>
          <w:lang w:val="ro-MO"/>
        </w:rPr>
        <w:t xml:space="preserve">2.1. </w:t>
      </w:r>
      <w:r w:rsidR="007D1A2B" w:rsidRPr="00446F65">
        <w:rPr>
          <w:rFonts w:eastAsiaTheme="minorHAnsi" w:cs="Times New Roman"/>
          <w:bCs w:val="0"/>
          <w:color w:val="auto"/>
          <w:sz w:val="26"/>
          <w:lang w:val="ro-MO"/>
        </w:rPr>
        <w:t>Relația dintre piețele WLA, WCA și piețele cu amănuntul</w:t>
      </w:r>
      <w:bookmarkEnd w:id="4"/>
    </w:p>
    <w:p w:rsidR="00536F88" w:rsidRPr="00446F65" w:rsidRDefault="00536F88"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WLA este accesul pasiv sau activ</w:t>
      </w:r>
      <w:r w:rsidR="00BB04D4" w:rsidRPr="00446F65">
        <w:rPr>
          <w:rStyle w:val="FootnoteReference"/>
          <w:rFonts w:ascii="Times New Roman" w:hAnsi="Times New Roman" w:cs="Times New Roman"/>
          <w:sz w:val="26"/>
          <w:szCs w:val="26"/>
          <w:lang w:val="ro-MO"/>
        </w:rPr>
        <w:footnoteReference w:id="4"/>
      </w:r>
      <w:r w:rsidRPr="00446F65">
        <w:rPr>
          <w:rFonts w:ascii="Times New Roman" w:hAnsi="Times New Roman" w:cs="Times New Roman"/>
          <w:sz w:val="26"/>
          <w:szCs w:val="26"/>
          <w:lang w:val="ro-MO"/>
        </w:rPr>
        <w:t xml:space="preserve"> la „ultima milă” (de cupru sau fibră optică), de obicei între centrala locală și utilizatorul final. WLA este achiziționat în amonte și cuprinde, conform Notei explicative la Recomandarea 2014/710/UE </w:t>
      </w:r>
      <w:r w:rsidRPr="00446F65">
        <w:rPr>
          <w:rFonts w:ascii="Times New Roman" w:hAnsi="Times New Roman" w:cs="Times New Roman"/>
          <w:i/>
          <w:sz w:val="26"/>
          <w:szCs w:val="26"/>
          <w:lang w:val="ro-MO"/>
        </w:rPr>
        <w:t>“produsele de acces care permit furnizorilor solicitanți un control mai mare și mai flexibil asupra liniilor de acces”</w:t>
      </w:r>
      <w:r w:rsidRPr="00446F65">
        <w:rPr>
          <w:rFonts w:ascii="Times New Roman" w:hAnsi="Times New Roman" w:cs="Times New Roman"/>
          <w:sz w:val="26"/>
          <w:szCs w:val="26"/>
          <w:lang w:val="ro-MO"/>
        </w:rPr>
        <w:t>. Serviciile furnizate pe piața WLA includ servicii fizice și, în anumite circumstanțe, pot include servicii VULA.</w:t>
      </w:r>
    </w:p>
    <w:p w:rsidR="00536F88" w:rsidRPr="00446F65" w:rsidRDefault="00536F88" w:rsidP="00317915">
      <w:pPr>
        <w:spacing w:before="240"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Achiziționând servicii WLA, furnizorii de servicii pot furniza o gamă de servicii în aval (cu ridicata sau cu amănuntul). La nivelul </w:t>
      </w:r>
      <w:r w:rsidR="003B7422" w:rsidRPr="00446F65">
        <w:rPr>
          <w:rFonts w:ascii="Times New Roman" w:hAnsi="Times New Roman" w:cs="Times New Roman"/>
          <w:sz w:val="26"/>
          <w:szCs w:val="26"/>
          <w:lang w:val="ro-MO"/>
        </w:rPr>
        <w:t xml:space="preserve">pieței </w:t>
      </w:r>
      <w:r w:rsidRPr="00446F65">
        <w:rPr>
          <w:rFonts w:ascii="Times New Roman" w:hAnsi="Times New Roman" w:cs="Times New Roman"/>
          <w:sz w:val="26"/>
          <w:szCs w:val="26"/>
          <w:lang w:val="ro-MO"/>
        </w:rPr>
        <w:t xml:space="preserve">cu amănuntul acestea pot include, dar nu se limitează la </w:t>
      </w:r>
      <w:r w:rsidR="003B7422"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 xml:space="preserve">nternet în bandă largă, linii închiriate </w:t>
      </w:r>
      <w:r w:rsidR="000933DA"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serviciile WLA sunt utilizate pentru furnizarea serviciilor de linii închiriate </w:t>
      </w:r>
      <w:r w:rsidRPr="00122CAE">
        <w:rPr>
          <w:rFonts w:ascii="Times New Roman" w:hAnsi="Times New Roman" w:cs="Times New Roman"/>
          <w:i/>
          <w:sz w:val="26"/>
          <w:szCs w:val="26"/>
          <w:lang w:val="ro-MO"/>
        </w:rPr>
        <w:t>Ethernet</w:t>
      </w:r>
      <w:r w:rsidRPr="00446F65">
        <w:rPr>
          <w:rFonts w:ascii="Times New Roman" w:hAnsi="Times New Roman" w:cs="Times New Roman"/>
          <w:sz w:val="26"/>
          <w:szCs w:val="26"/>
          <w:lang w:val="ro-MO"/>
        </w:rPr>
        <w:t xml:space="preserve"> prima milă (</w:t>
      </w:r>
      <w:proofErr w:type="spellStart"/>
      <w:r w:rsidRPr="00122CAE">
        <w:rPr>
          <w:rFonts w:ascii="Times New Roman" w:hAnsi="Times New Roman" w:cs="Times New Roman"/>
          <w:i/>
          <w:sz w:val="26"/>
          <w:szCs w:val="26"/>
          <w:lang w:val="ro-MO"/>
        </w:rPr>
        <w:t>Ethernet</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First</w:t>
      </w:r>
      <w:proofErr w:type="spellEnd"/>
      <w:r w:rsidRPr="00122CAE">
        <w:rPr>
          <w:rFonts w:ascii="Times New Roman" w:hAnsi="Times New Roman" w:cs="Times New Roman"/>
          <w:i/>
          <w:sz w:val="26"/>
          <w:szCs w:val="26"/>
          <w:lang w:val="ro-MO"/>
        </w:rPr>
        <w:t xml:space="preserve"> Mile</w:t>
      </w:r>
      <w:r w:rsidRPr="00446F65">
        <w:rPr>
          <w:rFonts w:ascii="Times New Roman" w:hAnsi="Times New Roman" w:cs="Times New Roman"/>
          <w:sz w:val="26"/>
          <w:szCs w:val="26"/>
          <w:lang w:val="ro-MO"/>
        </w:rPr>
        <w:t>)</w:t>
      </w:r>
      <w:r w:rsidR="000933DA"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w:t>
      </w:r>
      <w:r w:rsidR="0029502B" w:rsidRPr="00446F65">
        <w:rPr>
          <w:rFonts w:ascii="Times New Roman" w:hAnsi="Times New Roman" w:cs="Times New Roman"/>
          <w:sz w:val="26"/>
          <w:szCs w:val="26"/>
          <w:lang w:val="ro-MO"/>
        </w:rPr>
        <w:t>servicii TV</w:t>
      </w:r>
      <w:r w:rsidRPr="00446F65">
        <w:rPr>
          <w:rFonts w:ascii="Times New Roman" w:hAnsi="Times New Roman" w:cs="Times New Roman"/>
          <w:sz w:val="26"/>
          <w:szCs w:val="26"/>
          <w:lang w:val="ro-MO"/>
        </w:rPr>
        <w:t xml:space="preserve"> și servicii de telefonie (PSTN sau </w:t>
      </w:r>
      <w:proofErr w:type="spellStart"/>
      <w:r w:rsidRPr="00446F65">
        <w:rPr>
          <w:rFonts w:ascii="Times New Roman" w:hAnsi="Times New Roman" w:cs="Times New Roman"/>
          <w:sz w:val="26"/>
          <w:szCs w:val="26"/>
          <w:lang w:val="ro-MO"/>
        </w:rPr>
        <w:t>VoIP</w:t>
      </w:r>
      <w:proofErr w:type="spellEnd"/>
      <w:r w:rsidRPr="00446F65">
        <w:rPr>
          <w:rFonts w:ascii="Times New Roman" w:hAnsi="Times New Roman" w:cs="Times New Roman"/>
          <w:sz w:val="26"/>
          <w:szCs w:val="26"/>
          <w:lang w:val="ro-MO"/>
        </w:rPr>
        <w:t>/</w:t>
      </w:r>
      <w:proofErr w:type="spellStart"/>
      <w:r w:rsidRPr="00446F65">
        <w:rPr>
          <w:rFonts w:ascii="Times New Roman" w:hAnsi="Times New Roman" w:cs="Times New Roman"/>
          <w:sz w:val="26"/>
          <w:szCs w:val="26"/>
          <w:lang w:val="ro-MO"/>
        </w:rPr>
        <w:t>VoB</w:t>
      </w:r>
      <w:proofErr w:type="spellEnd"/>
      <w:r w:rsidRPr="00446F65">
        <w:rPr>
          <w:rFonts w:ascii="Times New Roman" w:hAnsi="Times New Roman" w:cs="Times New Roman"/>
          <w:sz w:val="26"/>
          <w:szCs w:val="26"/>
          <w:lang w:val="ro-MO"/>
        </w:rPr>
        <w:t xml:space="preserve"> gestionat). La nivelul cu ridicata WLA poate permite furnizorilor </w:t>
      </w:r>
      <w:r w:rsidRPr="00446F65">
        <w:rPr>
          <w:rFonts w:ascii="Times New Roman" w:hAnsi="Times New Roman" w:cs="Times New Roman"/>
          <w:sz w:val="26"/>
          <w:szCs w:val="26"/>
          <w:lang w:val="ro-MO"/>
        </w:rPr>
        <w:lastRenderedPageBreak/>
        <w:t xml:space="preserve">de servicii să furnizeze servicii WCA (în aval față de piața WLA) altor furnizori de servicii, care la rândul său utilizează aceste </w:t>
      </w:r>
      <w:r w:rsidR="003B7422" w:rsidRPr="00446F65">
        <w:rPr>
          <w:rFonts w:ascii="Times New Roman" w:hAnsi="Times New Roman" w:cs="Times New Roman"/>
          <w:sz w:val="26"/>
          <w:szCs w:val="26"/>
          <w:lang w:val="ro-MO"/>
        </w:rPr>
        <w:t>resurse</w:t>
      </w:r>
      <w:r w:rsidRPr="00446F65">
        <w:rPr>
          <w:rFonts w:ascii="Times New Roman" w:hAnsi="Times New Roman" w:cs="Times New Roman"/>
          <w:sz w:val="26"/>
          <w:szCs w:val="26"/>
          <w:lang w:val="ro-MO"/>
        </w:rPr>
        <w:t xml:space="preserve"> pentru a furniza servicii cu amănuntul utilizatorilor finali. </w:t>
      </w:r>
    </w:p>
    <w:p w:rsidR="00536F88" w:rsidRPr="00446F65" w:rsidRDefault="00536F88" w:rsidP="00317915">
      <w:pPr>
        <w:spacing w:before="240"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WCA </w:t>
      </w:r>
      <w:r w:rsidR="000F7D8D" w:rsidRPr="00446F65">
        <w:rPr>
          <w:rFonts w:ascii="Times New Roman" w:hAnsi="Times New Roman" w:cs="Times New Roman"/>
          <w:sz w:val="26"/>
          <w:szCs w:val="26"/>
          <w:lang w:val="ro-MO"/>
        </w:rPr>
        <w:t>reprezintă resurse</w:t>
      </w:r>
      <w:r w:rsidRPr="00446F65">
        <w:rPr>
          <w:rFonts w:ascii="Times New Roman" w:hAnsi="Times New Roman" w:cs="Times New Roman"/>
          <w:sz w:val="26"/>
          <w:szCs w:val="26"/>
          <w:lang w:val="ro-MO"/>
        </w:rPr>
        <w:t xml:space="preserve"> cu ridicata non-fizic</w:t>
      </w:r>
      <w:r w:rsidR="000F7D8D" w:rsidRPr="00446F65">
        <w:rPr>
          <w:rFonts w:ascii="Times New Roman" w:hAnsi="Times New Roman" w:cs="Times New Roman"/>
          <w:sz w:val="26"/>
          <w:szCs w:val="26"/>
          <w:lang w:val="ro-MO"/>
        </w:rPr>
        <w:t>e</w:t>
      </w:r>
      <w:r w:rsidRPr="00446F65">
        <w:rPr>
          <w:rFonts w:ascii="Times New Roman" w:hAnsi="Times New Roman" w:cs="Times New Roman"/>
          <w:sz w:val="26"/>
          <w:szCs w:val="26"/>
          <w:lang w:val="ro-MO"/>
        </w:rPr>
        <w:t xml:space="preserve"> utilizat</w:t>
      </w:r>
      <w:r w:rsidR="000F7D8D" w:rsidRPr="00446F65">
        <w:rPr>
          <w:rFonts w:ascii="Times New Roman" w:hAnsi="Times New Roman" w:cs="Times New Roman"/>
          <w:sz w:val="26"/>
          <w:szCs w:val="26"/>
          <w:lang w:val="ro-MO"/>
        </w:rPr>
        <w:t>e</w:t>
      </w:r>
      <w:r w:rsidRPr="00446F65">
        <w:rPr>
          <w:rFonts w:ascii="Times New Roman" w:hAnsi="Times New Roman" w:cs="Times New Roman"/>
          <w:sz w:val="26"/>
          <w:szCs w:val="26"/>
          <w:lang w:val="ro-MO"/>
        </w:rPr>
        <w:t xml:space="preserve"> pentru furnizarea serviciilor cu amănuntul utilizatorilor finali ca </w:t>
      </w:r>
      <w:r w:rsidR="004C5C91"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 xml:space="preserve">nternet în bandă largă, </w:t>
      </w:r>
      <w:r w:rsidR="0029502B" w:rsidRPr="00446F65">
        <w:rPr>
          <w:rFonts w:ascii="Times New Roman" w:hAnsi="Times New Roman" w:cs="Times New Roman"/>
          <w:sz w:val="26"/>
          <w:szCs w:val="26"/>
          <w:lang w:val="ro-MO"/>
        </w:rPr>
        <w:t xml:space="preserve">servicii </w:t>
      </w:r>
      <w:r w:rsidRPr="00446F65">
        <w:rPr>
          <w:rFonts w:ascii="Times New Roman" w:hAnsi="Times New Roman" w:cs="Times New Roman"/>
          <w:sz w:val="26"/>
          <w:szCs w:val="26"/>
          <w:lang w:val="ro-MO"/>
        </w:rPr>
        <w:t xml:space="preserve">TV, servicii de telefonie. WCA cuprinde </w:t>
      </w:r>
      <w:r w:rsidR="003E706C" w:rsidRPr="00446F65">
        <w:rPr>
          <w:rFonts w:ascii="Times New Roman" w:hAnsi="Times New Roman" w:cs="Times New Roman"/>
          <w:sz w:val="26"/>
          <w:szCs w:val="26"/>
          <w:lang w:val="ro-MO"/>
        </w:rPr>
        <w:t xml:space="preserve">conform Notei explicative la Recomandarea 2014/710/UE </w:t>
      </w:r>
      <w:r w:rsidRPr="00446F65">
        <w:rPr>
          <w:rFonts w:ascii="Times New Roman" w:hAnsi="Times New Roman" w:cs="Times New Roman"/>
          <w:i/>
          <w:sz w:val="26"/>
          <w:szCs w:val="26"/>
          <w:lang w:val="ro-MO"/>
        </w:rPr>
        <w:t xml:space="preserve">„produsele de acces care permit furnizorilor solicitanți un control direct mai redus și </w:t>
      </w:r>
      <w:r w:rsidR="008F5D95" w:rsidRPr="00446F65">
        <w:rPr>
          <w:rFonts w:ascii="Times New Roman" w:hAnsi="Times New Roman" w:cs="Times New Roman"/>
          <w:i/>
          <w:sz w:val="26"/>
          <w:szCs w:val="26"/>
          <w:lang w:val="ro-MO"/>
        </w:rPr>
        <w:t xml:space="preserve">mai </w:t>
      </w:r>
      <w:r w:rsidRPr="00446F65">
        <w:rPr>
          <w:rFonts w:ascii="Times New Roman" w:hAnsi="Times New Roman" w:cs="Times New Roman"/>
          <w:i/>
          <w:sz w:val="26"/>
          <w:szCs w:val="26"/>
          <w:lang w:val="ro-MO"/>
        </w:rPr>
        <w:t>standardizat asupra liniei de acces”</w:t>
      </w:r>
      <w:r w:rsidRPr="00446F65">
        <w:rPr>
          <w:rFonts w:ascii="Times New Roman" w:hAnsi="Times New Roman" w:cs="Times New Roman"/>
          <w:sz w:val="26"/>
          <w:szCs w:val="26"/>
          <w:lang w:val="ro-MO"/>
        </w:rPr>
        <w:t xml:space="preserve">. Serviciile furnizate pe piața WCA sunt denumite de obicei servicii </w:t>
      </w:r>
      <w:r w:rsidR="000F7D8D" w:rsidRPr="00446F65">
        <w:rPr>
          <w:rFonts w:ascii="Times New Roman" w:hAnsi="Times New Roman" w:cs="Times New Roman"/>
          <w:sz w:val="26"/>
          <w:szCs w:val="26"/>
          <w:lang w:val="ro-MO"/>
        </w:rPr>
        <w:t>b</w:t>
      </w:r>
      <w:r w:rsidR="00C74C9C" w:rsidRPr="00446F65">
        <w:rPr>
          <w:rFonts w:ascii="Times New Roman" w:hAnsi="Times New Roman" w:cs="Times New Roman"/>
          <w:sz w:val="26"/>
          <w:szCs w:val="26"/>
          <w:lang w:val="ro-MO"/>
        </w:rPr>
        <w:t>itstream</w:t>
      </w:r>
      <w:r w:rsidRPr="00446F65">
        <w:rPr>
          <w:rFonts w:ascii="Times New Roman" w:hAnsi="Times New Roman" w:cs="Times New Roman"/>
          <w:sz w:val="26"/>
          <w:szCs w:val="26"/>
          <w:lang w:val="ro-MO"/>
        </w:rPr>
        <w:t>. Serviciile WCA de obicei includ acces la capacități furnizate prin intermediul rețelelor de cupru</w:t>
      </w:r>
      <w:r w:rsidR="00984CCC" w:rsidRPr="00446F65">
        <w:rPr>
          <w:rFonts w:ascii="Times New Roman" w:hAnsi="Times New Roman" w:cs="Times New Roman"/>
          <w:sz w:val="26"/>
          <w:szCs w:val="26"/>
          <w:lang w:val="ro-MO"/>
        </w:rPr>
        <w:t xml:space="preserve">, rețelelor de </w:t>
      </w:r>
      <w:r w:rsidRPr="00446F65">
        <w:rPr>
          <w:rFonts w:ascii="Times New Roman" w:hAnsi="Times New Roman" w:cs="Times New Roman"/>
          <w:sz w:val="26"/>
          <w:szCs w:val="26"/>
          <w:lang w:val="ro-MO"/>
        </w:rPr>
        <w:t xml:space="preserve">fibră optică sau </w:t>
      </w:r>
      <w:r w:rsidR="00984CCC" w:rsidRPr="00446F65">
        <w:rPr>
          <w:rFonts w:ascii="Times New Roman" w:hAnsi="Times New Roman" w:cs="Times New Roman"/>
          <w:sz w:val="26"/>
          <w:szCs w:val="26"/>
          <w:lang w:val="ro-MO"/>
        </w:rPr>
        <w:t xml:space="preserve">rețelelor </w:t>
      </w:r>
      <w:r w:rsidRPr="00446F65">
        <w:rPr>
          <w:rFonts w:ascii="Times New Roman" w:hAnsi="Times New Roman" w:cs="Times New Roman"/>
          <w:sz w:val="26"/>
          <w:szCs w:val="26"/>
          <w:lang w:val="ro-MO"/>
        </w:rPr>
        <w:t>hibrid</w:t>
      </w:r>
      <w:r w:rsidR="00984CCC" w:rsidRPr="00446F65">
        <w:rPr>
          <w:rFonts w:ascii="Times New Roman" w:hAnsi="Times New Roman" w:cs="Times New Roman"/>
          <w:sz w:val="26"/>
          <w:szCs w:val="26"/>
          <w:lang w:val="ro-MO"/>
        </w:rPr>
        <w:t>e</w:t>
      </w:r>
      <w:r w:rsidRPr="00446F65">
        <w:rPr>
          <w:rFonts w:ascii="Times New Roman" w:hAnsi="Times New Roman" w:cs="Times New Roman"/>
          <w:sz w:val="26"/>
          <w:szCs w:val="26"/>
          <w:lang w:val="ro-MO"/>
        </w:rPr>
        <w:t xml:space="preserve"> </w:t>
      </w:r>
      <w:r w:rsidR="00984CCC"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cupru/fibră optică), utilizarea echipamentelor </w:t>
      </w:r>
      <w:r w:rsidR="000F7D8D" w:rsidRPr="00446F65">
        <w:rPr>
          <w:rFonts w:ascii="Times New Roman" w:hAnsi="Times New Roman" w:cs="Times New Roman"/>
          <w:sz w:val="26"/>
          <w:szCs w:val="26"/>
          <w:lang w:val="ro-MO"/>
        </w:rPr>
        <w:t>în bandă largă</w:t>
      </w:r>
      <w:r w:rsidRPr="00446F65">
        <w:rPr>
          <w:rFonts w:ascii="Times New Roman" w:hAnsi="Times New Roman" w:cs="Times New Roman"/>
          <w:sz w:val="26"/>
          <w:szCs w:val="26"/>
          <w:lang w:val="ro-MO"/>
        </w:rPr>
        <w:t xml:space="preserve"> și anumi</w:t>
      </w:r>
      <w:r w:rsidR="008F5D95" w:rsidRPr="00446F65">
        <w:rPr>
          <w:rFonts w:ascii="Times New Roman" w:hAnsi="Times New Roman" w:cs="Times New Roman"/>
          <w:sz w:val="26"/>
          <w:szCs w:val="26"/>
          <w:lang w:val="ro-MO"/>
        </w:rPr>
        <w:t>tor</w:t>
      </w:r>
      <w:r w:rsidRPr="00446F65">
        <w:rPr>
          <w:rFonts w:ascii="Times New Roman" w:hAnsi="Times New Roman" w:cs="Times New Roman"/>
          <w:sz w:val="26"/>
          <w:szCs w:val="26"/>
          <w:lang w:val="ro-MO"/>
        </w:rPr>
        <w:t xml:space="preserve"> elemente de backhaul și </w:t>
      </w:r>
      <w:r w:rsidRPr="00122CAE">
        <w:rPr>
          <w:rFonts w:ascii="Times New Roman" w:hAnsi="Times New Roman" w:cs="Times New Roman"/>
          <w:i/>
          <w:sz w:val="26"/>
          <w:szCs w:val="26"/>
          <w:lang w:val="ro-MO"/>
        </w:rPr>
        <w:t>handover.</w:t>
      </w:r>
      <w:r w:rsidRPr="00446F65">
        <w:rPr>
          <w:rFonts w:ascii="Times New Roman" w:hAnsi="Times New Roman" w:cs="Times New Roman"/>
          <w:sz w:val="26"/>
          <w:szCs w:val="26"/>
          <w:lang w:val="ro-MO"/>
        </w:rPr>
        <w:t xml:space="preserve"> Solicitantul de acces își instalează/implementează propriile sisteme de marketing, publicitate, vânzări, </w:t>
      </w:r>
      <w:r w:rsidRPr="00122CAE">
        <w:rPr>
          <w:rFonts w:ascii="Times New Roman" w:hAnsi="Times New Roman" w:cs="Times New Roman"/>
          <w:i/>
          <w:sz w:val="26"/>
          <w:szCs w:val="26"/>
          <w:lang w:val="ro-MO"/>
        </w:rPr>
        <w:t>billing,</w:t>
      </w:r>
      <w:r w:rsidRPr="00446F65">
        <w:rPr>
          <w:rFonts w:ascii="Times New Roman" w:hAnsi="Times New Roman" w:cs="Times New Roman"/>
          <w:sz w:val="26"/>
          <w:szCs w:val="26"/>
          <w:lang w:val="ro-MO"/>
        </w:rPr>
        <w:t xml:space="preserve"> pe când furnizorul serviciilor WCA repară și menține serviciul cu ridicata de la locația utilizatorului final până la punctul de </w:t>
      </w:r>
      <w:r w:rsidR="000F7D8D" w:rsidRPr="00446F65">
        <w:rPr>
          <w:rFonts w:ascii="Times New Roman" w:hAnsi="Times New Roman" w:cs="Times New Roman"/>
          <w:sz w:val="26"/>
          <w:szCs w:val="26"/>
          <w:lang w:val="ro-MO"/>
        </w:rPr>
        <w:t>predare</w:t>
      </w:r>
      <w:r w:rsidRPr="00446F65">
        <w:rPr>
          <w:rFonts w:ascii="Times New Roman" w:hAnsi="Times New Roman" w:cs="Times New Roman"/>
          <w:sz w:val="26"/>
          <w:szCs w:val="26"/>
          <w:lang w:val="ro-MO"/>
        </w:rPr>
        <w:t xml:space="preserve"> (</w:t>
      </w:r>
      <w:proofErr w:type="spellStart"/>
      <w:r w:rsidRPr="00122CAE">
        <w:rPr>
          <w:rFonts w:ascii="Times New Roman" w:hAnsi="Times New Roman" w:cs="Times New Roman"/>
          <w:i/>
          <w:sz w:val="26"/>
          <w:szCs w:val="26"/>
          <w:lang w:val="ro-MO"/>
        </w:rPr>
        <w:t>handover</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point</w:t>
      </w:r>
      <w:proofErr w:type="spellEnd"/>
      <w:r w:rsidRPr="00446F65">
        <w:rPr>
          <w:rFonts w:ascii="Times New Roman" w:hAnsi="Times New Roman" w:cs="Times New Roman"/>
          <w:sz w:val="26"/>
          <w:szCs w:val="26"/>
          <w:lang w:val="ro-MO"/>
        </w:rPr>
        <w:t>) la nivel regional sau național al punctului de prezență (</w:t>
      </w:r>
      <w:proofErr w:type="spellStart"/>
      <w:r w:rsidRPr="00122CAE">
        <w:rPr>
          <w:rFonts w:ascii="Times New Roman" w:hAnsi="Times New Roman" w:cs="Times New Roman"/>
          <w:i/>
          <w:sz w:val="26"/>
          <w:szCs w:val="26"/>
          <w:lang w:val="ro-MO"/>
        </w:rPr>
        <w:t>PoP</w:t>
      </w:r>
      <w:proofErr w:type="spellEnd"/>
      <w:r w:rsidRPr="00122CAE">
        <w:rPr>
          <w:rFonts w:ascii="Times New Roman" w:hAnsi="Times New Roman" w:cs="Times New Roman"/>
          <w:i/>
          <w:sz w:val="26"/>
          <w:szCs w:val="26"/>
          <w:lang w:val="ro-MO"/>
        </w:rPr>
        <w:t xml:space="preserve"> - </w:t>
      </w:r>
      <w:proofErr w:type="spellStart"/>
      <w:r w:rsidRPr="00122CAE">
        <w:rPr>
          <w:rFonts w:ascii="Times New Roman" w:hAnsi="Times New Roman" w:cs="Times New Roman"/>
          <w:i/>
          <w:sz w:val="26"/>
          <w:szCs w:val="26"/>
          <w:lang w:val="ro-MO"/>
        </w:rPr>
        <w:t>point</w:t>
      </w:r>
      <w:proofErr w:type="spellEnd"/>
      <w:r w:rsidRPr="00122CAE">
        <w:rPr>
          <w:rFonts w:ascii="Times New Roman" w:hAnsi="Times New Roman" w:cs="Times New Roman"/>
          <w:i/>
          <w:sz w:val="26"/>
          <w:szCs w:val="26"/>
          <w:lang w:val="ro-MO"/>
        </w:rPr>
        <w:t xml:space="preserve"> of </w:t>
      </w:r>
      <w:proofErr w:type="spellStart"/>
      <w:r w:rsidRPr="00122CAE">
        <w:rPr>
          <w:rFonts w:ascii="Times New Roman" w:hAnsi="Times New Roman" w:cs="Times New Roman"/>
          <w:i/>
          <w:sz w:val="26"/>
          <w:szCs w:val="26"/>
          <w:lang w:val="ro-MO"/>
        </w:rPr>
        <w:t>presence</w:t>
      </w:r>
      <w:proofErr w:type="spellEnd"/>
      <w:r w:rsidRPr="00446F65">
        <w:rPr>
          <w:rFonts w:ascii="Times New Roman" w:hAnsi="Times New Roman" w:cs="Times New Roman"/>
          <w:sz w:val="26"/>
          <w:szCs w:val="26"/>
          <w:lang w:val="ro-MO"/>
        </w:rPr>
        <w:t>).</w:t>
      </w:r>
    </w:p>
    <w:p w:rsidR="008F5D95" w:rsidRPr="00446F65" w:rsidRDefault="008F5D95" w:rsidP="00317915">
      <w:pPr>
        <w:spacing w:before="240"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figura 1 este prezentat un exemplu tipic de furnizare a serviciilor WLA și WCA</w:t>
      </w:r>
      <w:r w:rsidR="003F3181" w:rsidRPr="00446F65">
        <w:rPr>
          <w:rFonts w:ascii="Times New Roman" w:hAnsi="Times New Roman" w:cs="Times New Roman"/>
          <w:sz w:val="26"/>
          <w:szCs w:val="26"/>
          <w:lang w:val="ro-MO"/>
        </w:rPr>
        <w:t>:</w:t>
      </w:r>
    </w:p>
    <w:p w:rsidR="007C5D2E" w:rsidRPr="00446F65" w:rsidRDefault="007C5D2E" w:rsidP="00317915">
      <w:pPr>
        <w:spacing w:before="240" w:after="0" w:line="240" w:lineRule="auto"/>
        <w:ind w:firstLine="720"/>
        <w:jc w:val="both"/>
        <w:rPr>
          <w:rFonts w:ascii="Times New Roman" w:hAnsi="Times New Roman" w:cs="Times New Roman"/>
          <w:sz w:val="26"/>
          <w:szCs w:val="26"/>
          <w:lang w:val="ro-MO"/>
        </w:rPr>
      </w:pPr>
    </w:p>
    <w:p w:rsidR="00536F88" w:rsidRPr="00446F65" w:rsidRDefault="00C56B8E" w:rsidP="0052722E">
      <w:pPr>
        <w:spacing w:line="240" w:lineRule="auto"/>
        <w:jc w:val="center"/>
        <w:rPr>
          <w:rFonts w:ascii="Times New Roman" w:hAnsi="Times New Roman" w:cs="Times New Roman"/>
          <w:sz w:val="26"/>
          <w:szCs w:val="26"/>
          <w:lang w:val="ro-MO"/>
        </w:rPr>
      </w:pPr>
      <w:r w:rsidRPr="00446F65">
        <w:rPr>
          <w:rFonts w:ascii="Times New Roman" w:hAnsi="Times New Roman" w:cs="Times New Roman"/>
          <w:noProof/>
          <w:sz w:val="26"/>
          <w:szCs w:val="26"/>
        </w:rPr>
        <w:drawing>
          <wp:inline distT="0" distB="0" distL="0" distR="0" wp14:anchorId="41501DED" wp14:editId="3998E3A4">
            <wp:extent cx="6473825" cy="1872615"/>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3825" cy="1872615"/>
                    </a:xfrm>
                    <a:prstGeom prst="rect">
                      <a:avLst/>
                    </a:prstGeom>
                    <a:noFill/>
                    <a:ln>
                      <a:noFill/>
                    </a:ln>
                  </pic:spPr>
                </pic:pic>
              </a:graphicData>
            </a:graphic>
          </wp:inline>
        </w:drawing>
      </w:r>
    </w:p>
    <w:p w:rsidR="00E0693C" w:rsidRPr="00446F65" w:rsidRDefault="00E0693C" w:rsidP="00317915">
      <w:pPr>
        <w:spacing w:after="0" w:line="240" w:lineRule="auto"/>
        <w:ind w:firstLine="567"/>
        <w:jc w:val="both"/>
        <w:rPr>
          <w:rFonts w:ascii="Times New Roman" w:hAnsi="Times New Roman" w:cs="Times New Roman"/>
          <w:b/>
          <w:sz w:val="26"/>
          <w:szCs w:val="26"/>
          <w:lang w:val="ro-MO"/>
        </w:rPr>
      </w:pPr>
      <w:r w:rsidRPr="00446F65">
        <w:rPr>
          <w:rFonts w:ascii="Times New Roman" w:hAnsi="Times New Roman" w:cs="Times New Roman"/>
          <w:b/>
          <w:sz w:val="26"/>
          <w:szCs w:val="26"/>
          <w:lang w:val="ro-MO"/>
        </w:rPr>
        <w:t>Figura 1</w:t>
      </w:r>
      <w:r w:rsidR="003F3181" w:rsidRPr="00446F65">
        <w:rPr>
          <w:rFonts w:ascii="Times New Roman" w:hAnsi="Times New Roman" w:cs="Times New Roman"/>
          <w:b/>
          <w:sz w:val="26"/>
          <w:szCs w:val="26"/>
          <w:lang w:val="ro-MO"/>
        </w:rPr>
        <w:t>.</w:t>
      </w:r>
      <w:r w:rsidRPr="00446F65">
        <w:rPr>
          <w:rFonts w:ascii="Times New Roman" w:hAnsi="Times New Roman" w:cs="Times New Roman"/>
          <w:b/>
          <w:sz w:val="26"/>
          <w:szCs w:val="26"/>
          <w:lang w:val="ro-MO"/>
        </w:rPr>
        <w:t xml:space="preserve"> Furnizarea serviciilor WLA și WCA</w:t>
      </w:r>
    </w:p>
    <w:p w:rsidR="0052722E" w:rsidRDefault="0052722E" w:rsidP="00317915">
      <w:pPr>
        <w:spacing w:after="0" w:line="240" w:lineRule="auto"/>
        <w:ind w:firstLine="720"/>
        <w:jc w:val="both"/>
        <w:rPr>
          <w:rFonts w:ascii="Times New Roman" w:hAnsi="Times New Roman" w:cs="Times New Roman"/>
          <w:sz w:val="26"/>
          <w:szCs w:val="26"/>
          <w:lang w:val="ro-MO"/>
        </w:rPr>
      </w:pPr>
    </w:p>
    <w:p w:rsidR="00E0693C" w:rsidRPr="00446F65" w:rsidRDefault="00E0693C"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figura 2 este prezentată legătura dintre piața cu amănuntul și piețele WLA și WCA, unde piața WLA este </w:t>
      </w:r>
      <w:r w:rsidR="00B0752E" w:rsidRPr="00446F65">
        <w:rPr>
          <w:rFonts w:ascii="Times New Roman" w:hAnsi="Times New Roman" w:cs="Times New Roman"/>
          <w:sz w:val="26"/>
          <w:szCs w:val="26"/>
          <w:lang w:val="ro-MO"/>
        </w:rPr>
        <w:t xml:space="preserve">situată </w:t>
      </w:r>
      <w:r w:rsidRPr="00446F65">
        <w:rPr>
          <w:rFonts w:ascii="Times New Roman" w:hAnsi="Times New Roman" w:cs="Times New Roman"/>
          <w:sz w:val="26"/>
          <w:szCs w:val="26"/>
          <w:lang w:val="ro-MO"/>
        </w:rPr>
        <w:t>ce</w:t>
      </w:r>
      <w:r w:rsidR="00B0752E" w:rsidRPr="00446F65">
        <w:rPr>
          <w:rFonts w:ascii="Times New Roman" w:hAnsi="Times New Roman" w:cs="Times New Roman"/>
          <w:sz w:val="26"/>
          <w:szCs w:val="26"/>
          <w:lang w:val="ro-MO"/>
        </w:rPr>
        <w:t>l</w:t>
      </w:r>
      <w:r w:rsidRPr="00446F65">
        <w:rPr>
          <w:rFonts w:ascii="Times New Roman" w:hAnsi="Times New Roman" w:cs="Times New Roman"/>
          <w:sz w:val="26"/>
          <w:szCs w:val="26"/>
          <w:lang w:val="ro-MO"/>
        </w:rPr>
        <w:t xml:space="preserve"> mai în amonte. Piața WLA este situată în amonte față de piața WCA deoarece solicitantul de acces,  pentru a beneficia de serviciile WLA, este nevoit să construiască rețeaua mai aproape de utilizatorul final și astfel să obțină un control mai mare asupra liniei</w:t>
      </w:r>
      <w:r w:rsidR="00E34B49" w:rsidRPr="00446F65">
        <w:rPr>
          <w:rFonts w:ascii="Times New Roman" w:hAnsi="Times New Roman" w:cs="Times New Roman"/>
          <w:sz w:val="26"/>
          <w:szCs w:val="26"/>
          <w:lang w:val="ro-MO"/>
        </w:rPr>
        <w:t xml:space="preserve"> abonatului</w:t>
      </w:r>
      <w:r w:rsidR="00DC3CCA" w:rsidRPr="00446F65">
        <w:rPr>
          <w:rFonts w:ascii="Times New Roman" w:hAnsi="Times New Roman" w:cs="Times New Roman"/>
          <w:sz w:val="26"/>
          <w:szCs w:val="26"/>
          <w:lang w:val="ro-MO"/>
        </w:rPr>
        <w:t xml:space="preserve">. Utilizând serviciile WLA, solicitantul de acces poate furniza propriile servicii cu amănuntul sau servicii cu ridicata WCA către alți furnizori. </w:t>
      </w:r>
      <w:r w:rsidRPr="00446F65">
        <w:rPr>
          <w:rFonts w:ascii="Times New Roman" w:hAnsi="Times New Roman" w:cs="Times New Roman"/>
          <w:sz w:val="26"/>
          <w:szCs w:val="26"/>
          <w:lang w:val="ro-MO"/>
        </w:rPr>
        <w:t xml:space="preserve"> </w:t>
      </w:r>
    </w:p>
    <w:p w:rsidR="00377067" w:rsidRPr="00446F65" w:rsidRDefault="003F3181" w:rsidP="00317915">
      <w:pPr>
        <w:spacing w:after="0" w:line="240" w:lineRule="auto"/>
        <w:jc w:val="center"/>
        <w:rPr>
          <w:rFonts w:ascii="Times New Roman" w:hAnsi="Times New Roman" w:cs="Times New Roman"/>
          <w:sz w:val="26"/>
          <w:szCs w:val="26"/>
          <w:lang w:val="ro-MO"/>
        </w:rPr>
      </w:pPr>
      <w:r w:rsidRPr="00446F65">
        <w:rPr>
          <w:rFonts w:ascii="Times New Roman" w:hAnsi="Times New Roman" w:cs="Times New Roman"/>
          <w:noProof/>
          <w:sz w:val="26"/>
          <w:szCs w:val="26"/>
        </w:rPr>
        <w:lastRenderedPageBreak/>
        <w:drawing>
          <wp:inline distT="0" distB="0" distL="0" distR="0" wp14:anchorId="3961DC8D" wp14:editId="7A56DC1E">
            <wp:extent cx="5985204" cy="306972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9690" cy="3072027"/>
                    </a:xfrm>
                    <a:prstGeom prst="rect">
                      <a:avLst/>
                    </a:prstGeom>
                    <a:noFill/>
                    <a:ln>
                      <a:noFill/>
                    </a:ln>
                  </pic:spPr>
                </pic:pic>
              </a:graphicData>
            </a:graphic>
          </wp:inline>
        </w:drawing>
      </w:r>
    </w:p>
    <w:p w:rsidR="003F3181" w:rsidRPr="00446F65" w:rsidRDefault="003F3181" w:rsidP="00317915">
      <w:pPr>
        <w:spacing w:after="0" w:line="240" w:lineRule="auto"/>
        <w:ind w:firstLine="720"/>
        <w:rPr>
          <w:rFonts w:ascii="Times New Roman" w:hAnsi="Times New Roman" w:cs="Times New Roman"/>
          <w:b/>
          <w:sz w:val="26"/>
          <w:szCs w:val="26"/>
          <w:lang w:val="ro-MO"/>
        </w:rPr>
      </w:pPr>
      <w:r w:rsidRPr="00446F65">
        <w:rPr>
          <w:rFonts w:ascii="Times New Roman" w:hAnsi="Times New Roman" w:cs="Times New Roman"/>
          <w:b/>
          <w:sz w:val="26"/>
          <w:szCs w:val="26"/>
          <w:lang w:val="ro-MO"/>
        </w:rPr>
        <w:t>Figura 2. Relația dintre serviciile WLA, WCA și serviciile cu amănuntul</w:t>
      </w:r>
    </w:p>
    <w:p w:rsidR="0052722E" w:rsidRDefault="0052722E" w:rsidP="00317915">
      <w:pPr>
        <w:spacing w:after="0" w:line="240" w:lineRule="auto"/>
        <w:ind w:firstLine="720"/>
        <w:jc w:val="both"/>
        <w:rPr>
          <w:rFonts w:ascii="Times New Roman" w:hAnsi="Times New Roman" w:cs="Times New Roman"/>
          <w:sz w:val="26"/>
          <w:szCs w:val="26"/>
          <w:lang w:val="ro-MO"/>
        </w:rPr>
      </w:pPr>
    </w:p>
    <w:p w:rsidR="00D60873" w:rsidRPr="00446F65" w:rsidRDefault="00D60873"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Pentru furnizarea </w:t>
      </w:r>
      <w:r w:rsidR="006869FD" w:rsidRPr="00446F65">
        <w:rPr>
          <w:rFonts w:ascii="Times New Roman" w:hAnsi="Times New Roman" w:cs="Times New Roman"/>
          <w:sz w:val="26"/>
          <w:szCs w:val="26"/>
          <w:lang w:val="ro-MO"/>
        </w:rPr>
        <w:t xml:space="preserve">serviciilor </w:t>
      </w:r>
      <w:r w:rsidRPr="00446F65">
        <w:rPr>
          <w:rFonts w:ascii="Times New Roman" w:hAnsi="Times New Roman" w:cs="Times New Roman"/>
          <w:sz w:val="26"/>
          <w:szCs w:val="26"/>
          <w:lang w:val="ro-MO"/>
        </w:rPr>
        <w:t xml:space="preserve">în bandă largă la puncte fixe utilizatorilor finali este necesar un canal de transmisie potrivit, capabil să transmită date bidirecțional la rate potrivite serviciului solicitat. Prin urmare, orice furnizor care intenționează să furnizeze servicii în bandă largă utilizatorilor finali, are posibilitatea de a alege fie să-și construiască rețeaua proprie, fie să obțină acces la o rețea deja existentă pentru a ajunge la locația utilizatorului final deservit. </w:t>
      </w:r>
    </w:p>
    <w:p w:rsidR="00200523" w:rsidRPr="00446F65" w:rsidRDefault="00D60873"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Prin urmare p</w:t>
      </w:r>
      <w:r w:rsidR="00377067" w:rsidRPr="00446F65">
        <w:rPr>
          <w:rFonts w:ascii="Times New Roman" w:hAnsi="Times New Roman" w:cs="Times New Roman"/>
          <w:sz w:val="26"/>
          <w:szCs w:val="26"/>
          <w:lang w:val="ro-MO"/>
        </w:rPr>
        <w:t xml:space="preserve">iețele WLA și WCA sunt analizate ca </w:t>
      </w:r>
      <w:r w:rsidR="00B82B28" w:rsidRPr="00446F65">
        <w:rPr>
          <w:rFonts w:ascii="Times New Roman" w:hAnsi="Times New Roman" w:cs="Times New Roman"/>
          <w:sz w:val="26"/>
          <w:szCs w:val="26"/>
          <w:lang w:val="ro-MO"/>
        </w:rPr>
        <w:t>resurse</w:t>
      </w:r>
      <w:r w:rsidR="00377067" w:rsidRPr="00446F65">
        <w:rPr>
          <w:rFonts w:ascii="Times New Roman" w:hAnsi="Times New Roman" w:cs="Times New Roman"/>
          <w:sz w:val="26"/>
          <w:szCs w:val="26"/>
          <w:lang w:val="ro-MO"/>
        </w:rPr>
        <w:t xml:space="preserve"> cu ridicata furnizate în amonte necesare pentru furnizarea serviciilor de </w:t>
      </w:r>
      <w:r w:rsidR="0085615B" w:rsidRPr="00446F65">
        <w:rPr>
          <w:rFonts w:ascii="Times New Roman" w:hAnsi="Times New Roman" w:cs="Times New Roman"/>
          <w:sz w:val="26"/>
          <w:szCs w:val="26"/>
          <w:lang w:val="ro-MO"/>
        </w:rPr>
        <w:t>I</w:t>
      </w:r>
      <w:r w:rsidR="00377067" w:rsidRPr="00446F65">
        <w:rPr>
          <w:rFonts w:ascii="Times New Roman" w:hAnsi="Times New Roman" w:cs="Times New Roman"/>
          <w:sz w:val="26"/>
          <w:szCs w:val="26"/>
          <w:lang w:val="ro-MO"/>
        </w:rPr>
        <w:t xml:space="preserve">nternet în bandă largă </w:t>
      </w:r>
      <w:r w:rsidR="00D066EE" w:rsidRPr="00446F65">
        <w:rPr>
          <w:rFonts w:ascii="Times New Roman" w:hAnsi="Times New Roman" w:cs="Times New Roman"/>
          <w:sz w:val="26"/>
          <w:szCs w:val="26"/>
          <w:lang w:val="ro-MO"/>
        </w:rPr>
        <w:t>și a altor servicii cu amănuntul. Nivelul de concurență pe aceste piețe cu amănuntul depinde de furnizarea acestor servicii de către furnizorii de servicii utilizând atât infrastructura proprie, cât și achiziționând servicii cu ridicata furnizate de alți furnizori pe piețele WLA și WCA.</w:t>
      </w:r>
      <w:r w:rsidR="00FA6CBC" w:rsidRPr="00446F65">
        <w:rPr>
          <w:rFonts w:ascii="Times New Roman" w:hAnsi="Times New Roman" w:cs="Times New Roman"/>
          <w:sz w:val="26"/>
          <w:szCs w:val="26"/>
          <w:lang w:val="ro-MO"/>
        </w:rPr>
        <w:t xml:space="preserve"> </w:t>
      </w:r>
    </w:p>
    <w:p w:rsidR="00D066EE" w:rsidRPr="00446F65" w:rsidRDefault="00FA6CBC"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Ținând cont de aceasta furnizorii de servicii în bandă largă pot fi grupați în 4 categorii:</w:t>
      </w:r>
    </w:p>
    <w:p w:rsidR="00FA6CBC" w:rsidRPr="00446F65" w:rsidRDefault="00FA6CBC" w:rsidP="00317915">
      <w:pPr>
        <w:pStyle w:val="ListParagraph"/>
        <w:numPr>
          <w:ilvl w:val="1"/>
          <w:numId w:val="12"/>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furnizorii independenți: aceștia furnizează servicii în bandă largă utilizând preponderent rețeaua proprie și infrastructura asociată și, prin urmare, nu se bazează pe servicii cu ridicata furnizate de alți furnizori;</w:t>
      </w:r>
    </w:p>
    <w:p w:rsidR="0044113C" w:rsidRPr="00446F65" w:rsidRDefault="00FA6CBC" w:rsidP="00317915">
      <w:pPr>
        <w:pStyle w:val="ListParagraph"/>
        <w:numPr>
          <w:ilvl w:val="1"/>
          <w:numId w:val="12"/>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cumpărătorii de servicii WLA: acești furnizori achiziționează servicii cu ridicata de pe piața WLA și le utilizează pentru furnizarea serviciilor cu ridicata situate în aval </w:t>
      </w:r>
      <w:r w:rsidR="00EE005E" w:rsidRPr="00446F65">
        <w:rPr>
          <w:rFonts w:ascii="Times New Roman" w:hAnsi="Times New Roman" w:cs="Times New Roman"/>
          <w:sz w:val="26"/>
          <w:szCs w:val="26"/>
          <w:lang w:val="ro-MO"/>
        </w:rPr>
        <w:t xml:space="preserve">și servicii cu amănuntul. </w:t>
      </w:r>
      <w:r w:rsidR="0044113C" w:rsidRPr="00446F65">
        <w:rPr>
          <w:rFonts w:ascii="Times New Roman" w:hAnsi="Times New Roman" w:cs="Times New Roman"/>
          <w:sz w:val="26"/>
          <w:szCs w:val="26"/>
          <w:lang w:val="ro-MO"/>
        </w:rPr>
        <w:t>Acești furnizori au de obicei infrastructură fizică proprie și utilizează serviciile achiziționate pe piața WLA pentru a furniza servicii cu ridicata sau cu amănuntul în aval.</w:t>
      </w:r>
    </w:p>
    <w:p w:rsidR="0044113C" w:rsidRPr="00446F65" w:rsidRDefault="0044113C" w:rsidP="00317915">
      <w:pPr>
        <w:pStyle w:val="ListParagraph"/>
        <w:numPr>
          <w:ilvl w:val="1"/>
          <w:numId w:val="12"/>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cumpărătorii de servicii WCA: acești furnizori achiziționează servicii cu ridicata de pe piața WCA și le utilizează pentru furnizarea serviciilor cu amănuntul. Acești furnizori au de obicei infrastructură proprie limitată și depind de serviciile furnizate de furnizorii independenți și de cumpărătorii de servicii WLA pentru a furniza servicii cu  amănuntul utilizatorilor finali;</w:t>
      </w:r>
    </w:p>
    <w:p w:rsidR="00595326" w:rsidRPr="00446F65" w:rsidRDefault="0044113C" w:rsidP="00317915">
      <w:pPr>
        <w:pStyle w:val="ListParagraph"/>
        <w:numPr>
          <w:ilvl w:val="1"/>
          <w:numId w:val="12"/>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furnizorii care revând serviciile în bandă larg</w:t>
      </w:r>
      <w:r w:rsidR="00976D62" w:rsidRPr="00446F65">
        <w:rPr>
          <w:rFonts w:ascii="Times New Roman" w:hAnsi="Times New Roman" w:cs="Times New Roman"/>
          <w:sz w:val="26"/>
          <w:szCs w:val="26"/>
          <w:lang w:val="ro-MO"/>
        </w:rPr>
        <w:t xml:space="preserve">ă: furnizarea serviciilor cu amănuntul de către acești furnizori nu implică utilizarea infrastructurii fizice proprii sau a serviciilor achiziționate direct de pe piețele WLA și WCA. Acești furnizori achiziționează servicii de la furnizori terți (de obicei furnizori independenți) și revând aceste servicii pe piețele cu amănuntul sub </w:t>
      </w:r>
      <w:r w:rsidR="0029502B" w:rsidRPr="00446F65">
        <w:rPr>
          <w:rFonts w:ascii="Times New Roman" w:hAnsi="Times New Roman" w:cs="Times New Roman"/>
          <w:sz w:val="26"/>
          <w:szCs w:val="26"/>
          <w:lang w:val="ro-MO"/>
        </w:rPr>
        <w:t>marca comercială</w:t>
      </w:r>
      <w:r w:rsidR="00976D62" w:rsidRPr="00446F65">
        <w:rPr>
          <w:rFonts w:ascii="Times New Roman" w:hAnsi="Times New Roman" w:cs="Times New Roman"/>
          <w:sz w:val="26"/>
          <w:szCs w:val="26"/>
          <w:lang w:val="ro-MO"/>
        </w:rPr>
        <w:t xml:space="preserve"> propri</w:t>
      </w:r>
      <w:r w:rsidR="0029502B" w:rsidRPr="00446F65">
        <w:rPr>
          <w:rFonts w:ascii="Times New Roman" w:hAnsi="Times New Roman" w:cs="Times New Roman"/>
          <w:sz w:val="26"/>
          <w:szCs w:val="26"/>
          <w:lang w:val="ro-MO"/>
        </w:rPr>
        <w:t>e</w:t>
      </w:r>
      <w:r w:rsidR="00976D62" w:rsidRPr="00446F65">
        <w:rPr>
          <w:rFonts w:ascii="Times New Roman" w:hAnsi="Times New Roman" w:cs="Times New Roman"/>
          <w:sz w:val="26"/>
          <w:szCs w:val="26"/>
          <w:lang w:val="ro-MO"/>
        </w:rPr>
        <w:t xml:space="preserve">.     </w:t>
      </w:r>
    </w:p>
    <w:p w:rsidR="00F43DB1" w:rsidRPr="00446F65" w:rsidRDefault="00392BB5" w:rsidP="00317915">
      <w:pPr>
        <w:pStyle w:val="Heading2"/>
        <w:spacing w:line="240" w:lineRule="auto"/>
        <w:ind w:firstLine="720"/>
        <w:rPr>
          <w:rFonts w:eastAsiaTheme="minorHAnsi" w:cs="Times New Roman"/>
          <w:bCs w:val="0"/>
          <w:color w:val="auto"/>
          <w:sz w:val="26"/>
          <w:lang w:val="ro-MO"/>
        </w:rPr>
      </w:pPr>
      <w:bookmarkStart w:id="5" w:name="_Toc492907364"/>
      <w:r w:rsidRPr="00446F65">
        <w:rPr>
          <w:rFonts w:eastAsiaTheme="minorHAnsi" w:cs="Times New Roman"/>
          <w:bCs w:val="0"/>
          <w:color w:val="auto"/>
          <w:sz w:val="26"/>
          <w:lang w:val="ro-MO"/>
        </w:rPr>
        <w:lastRenderedPageBreak/>
        <w:t xml:space="preserve">2.2. </w:t>
      </w:r>
      <w:r w:rsidR="00E73407" w:rsidRPr="00446F65">
        <w:rPr>
          <w:rFonts w:eastAsiaTheme="minorHAnsi" w:cs="Times New Roman"/>
          <w:bCs w:val="0"/>
          <w:color w:val="auto"/>
          <w:sz w:val="26"/>
          <w:lang w:val="ro-MO"/>
        </w:rPr>
        <w:t xml:space="preserve">Caracteristicile </w:t>
      </w:r>
      <w:r w:rsidR="00FE40A4" w:rsidRPr="00446F65">
        <w:rPr>
          <w:rFonts w:eastAsiaTheme="minorHAnsi" w:cs="Times New Roman"/>
          <w:bCs w:val="0"/>
          <w:color w:val="auto"/>
          <w:sz w:val="26"/>
          <w:lang w:val="ro-MO"/>
        </w:rPr>
        <w:t xml:space="preserve">și evoluția </w:t>
      </w:r>
      <w:r w:rsidR="00E73407" w:rsidRPr="00446F65">
        <w:rPr>
          <w:rFonts w:eastAsiaTheme="minorHAnsi" w:cs="Times New Roman"/>
          <w:bCs w:val="0"/>
          <w:color w:val="auto"/>
          <w:sz w:val="26"/>
          <w:lang w:val="ro-MO"/>
        </w:rPr>
        <w:t xml:space="preserve">pieței </w:t>
      </w:r>
      <w:r w:rsidR="0029502B" w:rsidRPr="00446F65">
        <w:rPr>
          <w:rFonts w:eastAsiaTheme="minorHAnsi" w:cs="Times New Roman"/>
          <w:bCs w:val="0"/>
          <w:color w:val="auto"/>
          <w:sz w:val="26"/>
          <w:lang w:val="ro-MO"/>
        </w:rPr>
        <w:t xml:space="preserve">cu amănuntul a </w:t>
      </w:r>
      <w:r w:rsidR="00E73407" w:rsidRPr="00446F65">
        <w:rPr>
          <w:rFonts w:eastAsiaTheme="minorHAnsi" w:cs="Times New Roman"/>
          <w:bCs w:val="0"/>
          <w:color w:val="auto"/>
          <w:sz w:val="26"/>
          <w:lang w:val="ro-MO"/>
        </w:rPr>
        <w:t xml:space="preserve">serviciilor </w:t>
      </w:r>
      <w:r w:rsidR="0029502B" w:rsidRPr="00446F65">
        <w:rPr>
          <w:rFonts w:eastAsiaTheme="minorHAnsi" w:cs="Times New Roman"/>
          <w:bCs w:val="0"/>
          <w:color w:val="auto"/>
          <w:sz w:val="26"/>
          <w:lang w:val="ro-MO"/>
        </w:rPr>
        <w:t>în bandă largă</w:t>
      </w:r>
      <w:r w:rsidR="00101A37" w:rsidRPr="00446F65">
        <w:rPr>
          <w:rFonts w:eastAsiaTheme="minorHAnsi" w:cs="Times New Roman"/>
          <w:bCs w:val="0"/>
          <w:color w:val="auto"/>
          <w:sz w:val="26"/>
          <w:lang w:val="ro-MO"/>
        </w:rPr>
        <w:t xml:space="preserve"> la puncte fixe</w:t>
      </w:r>
      <w:bookmarkEnd w:id="5"/>
      <w:r w:rsidR="00101A37" w:rsidRPr="00446F65">
        <w:rPr>
          <w:rFonts w:eastAsiaTheme="minorHAnsi" w:cs="Times New Roman"/>
          <w:bCs w:val="0"/>
          <w:color w:val="auto"/>
          <w:sz w:val="26"/>
          <w:lang w:val="ro-MO"/>
        </w:rPr>
        <w:t xml:space="preserve"> </w:t>
      </w:r>
    </w:p>
    <w:p w:rsidR="007472FF" w:rsidRPr="00446F65" w:rsidRDefault="007472FF" w:rsidP="00317915">
      <w:pPr>
        <w:spacing w:after="0" w:line="240" w:lineRule="auto"/>
        <w:rPr>
          <w:rFonts w:ascii="Times New Roman" w:hAnsi="Times New Roman" w:cs="Times New Roman"/>
          <w:sz w:val="26"/>
          <w:szCs w:val="26"/>
          <w:lang w:val="ro-MO"/>
        </w:rPr>
      </w:pPr>
    </w:p>
    <w:p w:rsidR="00595326" w:rsidRPr="00446F65" w:rsidRDefault="00214679" w:rsidP="0052722E">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Cererea pentru servicii</w:t>
      </w:r>
      <w:r w:rsidR="002C3BE5" w:rsidRPr="00446F65">
        <w:rPr>
          <w:rFonts w:ascii="Times New Roman" w:hAnsi="Times New Roman" w:cs="Times New Roman"/>
          <w:sz w:val="26"/>
          <w:szCs w:val="26"/>
          <w:lang w:val="ro-MO"/>
        </w:rPr>
        <w:t xml:space="preserve"> </w:t>
      </w:r>
      <w:r w:rsidR="00965251" w:rsidRPr="00446F65">
        <w:rPr>
          <w:rFonts w:ascii="Times New Roman" w:hAnsi="Times New Roman" w:cs="Times New Roman"/>
          <w:sz w:val="26"/>
          <w:szCs w:val="26"/>
          <w:lang w:val="ro-MO"/>
        </w:rPr>
        <w:t xml:space="preserve">în </w:t>
      </w:r>
      <w:r w:rsidR="0029502B" w:rsidRPr="00446F65">
        <w:rPr>
          <w:rFonts w:ascii="Times New Roman" w:hAnsi="Times New Roman" w:cs="Times New Roman"/>
          <w:sz w:val="26"/>
          <w:szCs w:val="26"/>
          <w:lang w:val="ro-MO"/>
        </w:rPr>
        <w:t>bandă</w:t>
      </w:r>
      <w:r w:rsidR="00A541EE" w:rsidRPr="00446F65">
        <w:rPr>
          <w:rFonts w:ascii="Times New Roman" w:hAnsi="Times New Roman" w:cs="Times New Roman"/>
          <w:sz w:val="26"/>
          <w:szCs w:val="26"/>
          <w:lang w:val="ro-MO"/>
        </w:rPr>
        <w:t xml:space="preserve"> largă</w:t>
      </w:r>
      <w:r w:rsidRPr="00446F65">
        <w:rPr>
          <w:rFonts w:ascii="Times New Roman" w:hAnsi="Times New Roman" w:cs="Times New Roman"/>
          <w:sz w:val="26"/>
          <w:szCs w:val="26"/>
          <w:lang w:val="ro-MO"/>
        </w:rPr>
        <w:t xml:space="preserve"> la puncte fixe este în continuă creștere, în 2016 înregistrându-se 557,4 mii abonați (Diagrama 1). </w:t>
      </w:r>
      <w:r w:rsidR="002B799C" w:rsidRPr="00446F65">
        <w:rPr>
          <w:rFonts w:ascii="Times New Roman" w:hAnsi="Times New Roman" w:cs="Times New Roman"/>
          <w:sz w:val="26"/>
          <w:szCs w:val="26"/>
          <w:lang w:val="ro-MO"/>
        </w:rPr>
        <w:t>Furnizorii cu cei mai mulți abonați sunt: Moldtelecom – 364,1 mii abonați, StarNet</w:t>
      </w:r>
      <w:r w:rsidR="00C215A0" w:rsidRPr="00446F65">
        <w:rPr>
          <w:rFonts w:ascii="Times New Roman" w:hAnsi="Times New Roman" w:cs="Times New Roman"/>
          <w:sz w:val="26"/>
          <w:szCs w:val="26"/>
          <w:vertAlign w:val="superscript"/>
          <w:lang w:val="ro-MO"/>
        </w:rPr>
        <w:t>*</w:t>
      </w:r>
      <w:r w:rsidR="00C215A0" w:rsidRPr="00446F65">
        <w:rPr>
          <w:rStyle w:val="FootnoteReference"/>
          <w:rFonts w:ascii="Times New Roman" w:hAnsi="Times New Roman" w:cs="Times New Roman"/>
          <w:sz w:val="26"/>
          <w:szCs w:val="26"/>
          <w:lang w:val="ro-MO"/>
        </w:rPr>
        <w:footnoteReference w:id="5"/>
      </w:r>
      <w:r w:rsidR="002B799C" w:rsidRPr="00446F65">
        <w:rPr>
          <w:rFonts w:ascii="Times New Roman" w:hAnsi="Times New Roman" w:cs="Times New Roman"/>
          <w:sz w:val="26"/>
          <w:szCs w:val="26"/>
          <w:lang w:val="ro-MO"/>
        </w:rPr>
        <w:t xml:space="preserve"> – 111,7 mii abonați și Sun Communications – 37, 55 mii abonați. În ultimii 5 ani </w:t>
      </w:r>
      <w:r w:rsidRPr="00446F65">
        <w:rPr>
          <w:rFonts w:ascii="Times New Roman" w:hAnsi="Times New Roman" w:cs="Times New Roman"/>
          <w:sz w:val="26"/>
          <w:szCs w:val="26"/>
          <w:lang w:val="ro-MO"/>
        </w:rPr>
        <w:t xml:space="preserve">numărul abonaților în bandă largă la puncte fixe a </w:t>
      </w:r>
      <w:r w:rsidR="00E901C5" w:rsidRPr="00446F65">
        <w:rPr>
          <w:rFonts w:ascii="Times New Roman" w:hAnsi="Times New Roman" w:cs="Times New Roman"/>
          <w:sz w:val="26"/>
          <w:szCs w:val="26"/>
          <w:lang w:val="ro-MO"/>
        </w:rPr>
        <w:t xml:space="preserve">crescut cu </w:t>
      </w:r>
      <w:r w:rsidR="00D92CA1" w:rsidRPr="00446F65">
        <w:rPr>
          <w:rFonts w:ascii="Times New Roman" w:hAnsi="Times New Roman" w:cs="Times New Roman"/>
          <w:sz w:val="26"/>
          <w:szCs w:val="26"/>
          <w:lang w:val="ro-MO"/>
        </w:rPr>
        <w:t>33,6</w:t>
      </w:r>
      <w:r w:rsidR="00E901C5"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ab/>
      </w:r>
    </w:p>
    <w:p w:rsidR="00E901C5" w:rsidRPr="00446F65" w:rsidRDefault="00F80B53" w:rsidP="0052722E">
      <w:pPr>
        <w:spacing w:line="240" w:lineRule="auto"/>
        <w:jc w:val="center"/>
        <w:rPr>
          <w:rFonts w:ascii="Times New Roman" w:hAnsi="Times New Roman" w:cs="Times New Roman"/>
          <w:sz w:val="26"/>
          <w:szCs w:val="26"/>
          <w:lang w:val="ro-MO"/>
        </w:rPr>
      </w:pPr>
      <w:r w:rsidRPr="00446F65">
        <w:rPr>
          <w:rFonts w:ascii="Times New Roman" w:hAnsi="Times New Roman" w:cs="Times New Roman"/>
          <w:noProof/>
          <w:sz w:val="26"/>
          <w:szCs w:val="26"/>
        </w:rPr>
        <w:drawing>
          <wp:inline distT="0" distB="0" distL="0" distR="0" wp14:anchorId="7147755D" wp14:editId="5D6E6466">
            <wp:extent cx="5943600" cy="314642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14679" w:rsidRPr="00446F65">
        <w:rPr>
          <w:rFonts w:ascii="Times New Roman" w:hAnsi="Times New Roman" w:cs="Times New Roman"/>
          <w:b/>
          <w:sz w:val="26"/>
          <w:szCs w:val="26"/>
          <w:lang w:val="ro-MO"/>
        </w:rPr>
        <w:t xml:space="preserve">Diagrama 1. </w:t>
      </w:r>
      <w:r w:rsidR="00750543" w:rsidRPr="00446F65">
        <w:rPr>
          <w:rFonts w:ascii="Times New Roman" w:hAnsi="Times New Roman" w:cs="Times New Roman"/>
          <w:b/>
          <w:sz w:val="26"/>
          <w:szCs w:val="26"/>
          <w:lang w:val="ro-MO"/>
        </w:rPr>
        <w:t xml:space="preserve">Evoluția numărului abonaților </w:t>
      </w:r>
      <w:r w:rsidR="00D92CA1" w:rsidRPr="00446F65">
        <w:rPr>
          <w:rFonts w:ascii="Times New Roman" w:hAnsi="Times New Roman" w:cs="Times New Roman"/>
          <w:b/>
          <w:sz w:val="26"/>
          <w:szCs w:val="26"/>
          <w:lang w:val="ro-MO"/>
        </w:rPr>
        <w:t>în bandă largă</w:t>
      </w:r>
      <w:r w:rsidR="00750543" w:rsidRPr="00446F65">
        <w:rPr>
          <w:rFonts w:ascii="Times New Roman" w:hAnsi="Times New Roman" w:cs="Times New Roman"/>
          <w:b/>
          <w:sz w:val="26"/>
          <w:szCs w:val="26"/>
          <w:lang w:val="ro-MO"/>
        </w:rPr>
        <w:t xml:space="preserve"> la puncte fixe</w:t>
      </w:r>
      <w:r w:rsidRPr="00446F65">
        <w:rPr>
          <w:rFonts w:ascii="Times New Roman" w:hAnsi="Times New Roman" w:cs="Times New Roman"/>
          <w:b/>
          <w:sz w:val="26"/>
          <w:szCs w:val="26"/>
          <w:lang w:val="ro-MO"/>
        </w:rPr>
        <w:t xml:space="preserve"> (mii)</w:t>
      </w:r>
    </w:p>
    <w:p w:rsidR="00101A37" w:rsidRPr="00446F65" w:rsidRDefault="00101A37" w:rsidP="00317915">
      <w:pPr>
        <w:spacing w:after="0" w:line="240" w:lineRule="auto"/>
        <w:ind w:firstLine="720"/>
        <w:jc w:val="both"/>
        <w:rPr>
          <w:rFonts w:ascii="Times New Roman" w:hAnsi="Times New Roman" w:cs="Times New Roman"/>
          <w:b/>
          <w:sz w:val="26"/>
          <w:szCs w:val="26"/>
          <w:lang w:val="ro-MO"/>
        </w:rPr>
      </w:pPr>
      <w:r w:rsidRPr="00446F65">
        <w:rPr>
          <w:rFonts w:ascii="Times New Roman" w:hAnsi="Times New Roman" w:cs="Times New Roman"/>
          <w:sz w:val="26"/>
          <w:szCs w:val="26"/>
          <w:lang w:val="ro-MO"/>
        </w:rPr>
        <w:t xml:space="preserve">Cotele de piață în funcție de abonați ale furnizorilor de servicii </w:t>
      </w:r>
      <w:r w:rsidR="00D92CA1" w:rsidRPr="00446F65">
        <w:rPr>
          <w:rFonts w:ascii="Times New Roman" w:hAnsi="Times New Roman" w:cs="Times New Roman"/>
          <w:sz w:val="26"/>
          <w:szCs w:val="26"/>
          <w:lang w:val="ro-MO"/>
        </w:rPr>
        <w:t>în bandă largă</w:t>
      </w:r>
      <w:r w:rsidRPr="00446F65">
        <w:rPr>
          <w:rFonts w:ascii="Times New Roman" w:hAnsi="Times New Roman" w:cs="Times New Roman"/>
          <w:sz w:val="26"/>
          <w:szCs w:val="26"/>
          <w:lang w:val="ro-MO"/>
        </w:rPr>
        <w:t xml:space="preserve"> (Diagrama 2) nu au suferit modificări semnificative în ultimii ani, cele mai mari cote de piață </w:t>
      </w:r>
      <w:r w:rsidR="00C708B3" w:rsidRPr="00446F65">
        <w:rPr>
          <w:rFonts w:ascii="Times New Roman" w:hAnsi="Times New Roman" w:cs="Times New Roman"/>
          <w:sz w:val="26"/>
          <w:szCs w:val="26"/>
          <w:lang w:val="ro-MO"/>
        </w:rPr>
        <w:t xml:space="preserve">în 2016 </w:t>
      </w:r>
      <w:r w:rsidRPr="00446F65">
        <w:rPr>
          <w:rFonts w:ascii="Times New Roman" w:hAnsi="Times New Roman" w:cs="Times New Roman"/>
          <w:sz w:val="26"/>
          <w:szCs w:val="26"/>
          <w:lang w:val="ro-MO"/>
        </w:rPr>
        <w:t xml:space="preserve">fiind deținute de </w:t>
      </w:r>
      <w:r w:rsidRPr="00122CAE">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xml:space="preserve"> (65,3%), StarNet (20%) și Sun Communications (6,7%).</w:t>
      </w:r>
      <w:r w:rsidRPr="00446F65">
        <w:rPr>
          <w:rFonts w:ascii="Times New Roman" w:hAnsi="Times New Roman" w:cs="Times New Roman"/>
          <w:b/>
          <w:sz w:val="26"/>
          <w:szCs w:val="26"/>
          <w:lang w:val="ro-MO"/>
        </w:rPr>
        <w:tab/>
      </w:r>
    </w:p>
    <w:p w:rsidR="00F80B53" w:rsidRPr="00446F65" w:rsidRDefault="00F80B53" w:rsidP="0052722E">
      <w:pPr>
        <w:spacing w:line="240" w:lineRule="auto"/>
        <w:jc w:val="center"/>
        <w:rPr>
          <w:rFonts w:ascii="Times New Roman" w:hAnsi="Times New Roman" w:cs="Times New Roman"/>
          <w:sz w:val="26"/>
          <w:szCs w:val="26"/>
          <w:lang w:val="ro-MO"/>
        </w:rPr>
      </w:pPr>
      <w:r w:rsidRPr="00446F65">
        <w:rPr>
          <w:rFonts w:ascii="Times New Roman" w:hAnsi="Times New Roman" w:cs="Times New Roman"/>
          <w:noProof/>
          <w:sz w:val="26"/>
          <w:szCs w:val="26"/>
        </w:rPr>
        <w:drawing>
          <wp:inline distT="0" distB="0" distL="0" distR="0" wp14:anchorId="6F0E8162" wp14:editId="1A866EC3">
            <wp:extent cx="5943600" cy="2263775"/>
            <wp:effectExtent l="0" t="0" r="0" b="317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0B53" w:rsidRPr="00446F65" w:rsidRDefault="00241492" w:rsidP="00317915">
      <w:pPr>
        <w:spacing w:line="240" w:lineRule="auto"/>
        <w:jc w:val="both"/>
        <w:rPr>
          <w:rFonts w:ascii="Times New Roman" w:hAnsi="Times New Roman" w:cs="Times New Roman"/>
          <w:b/>
          <w:sz w:val="26"/>
          <w:szCs w:val="26"/>
          <w:lang w:val="ro-MO"/>
        </w:rPr>
      </w:pPr>
      <w:r w:rsidRPr="00446F65">
        <w:rPr>
          <w:rFonts w:ascii="Times New Roman" w:hAnsi="Times New Roman" w:cs="Times New Roman"/>
          <w:b/>
          <w:sz w:val="26"/>
          <w:szCs w:val="26"/>
          <w:lang w:val="ro-MO"/>
        </w:rPr>
        <w:tab/>
      </w:r>
      <w:r w:rsidR="00F80B53" w:rsidRPr="00446F65">
        <w:rPr>
          <w:rFonts w:ascii="Times New Roman" w:hAnsi="Times New Roman" w:cs="Times New Roman"/>
          <w:b/>
          <w:sz w:val="26"/>
          <w:szCs w:val="26"/>
          <w:lang w:val="ro-MO"/>
        </w:rPr>
        <w:t xml:space="preserve">Diagrama 2. </w:t>
      </w:r>
      <w:r w:rsidR="00101A37" w:rsidRPr="00446F65">
        <w:rPr>
          <w:rFonts w:ascii="Times New Roman" w:hAnsi="Times New Roman" w:cs="Times New Roman"/>
          <w:b/>
          <w:sz w:val="26"/>
          <w:szCs w:val="26"/>
          <w:lang w:val="ro-MO"/>
        </w:rPr>
        <w:t xml:space="preserve">Cotele de piaţă ale furnizorilor serviciilor </w:t>
      </w:r>
      <w:r w:rsidR="00D92CA1" w:rsidRPr="00446F65">
        <w:rPr>
          <w:rFonts w:ascii="Times New Roman" w:hAnsi="Times New Roman" w:cs="Times New Roman"/>
          <w:b/>
          <w:sz w:val="26"/>
          <w:szCs w:val="26"/>
          <w:lang w:val="ro-MO"/>
        </w:rPr>
        <w:t>în bandă largă la puncte</w:t>
      </w:r>
      <w:r w:rsidR="00101A37" w:rsidRPr="00446F65">
        <w:rPr>
          <w:rFonts w:ascii="Times New Roman" w:hAnsi="Times New Roman" w:cs="Times New Roman"/>
          <w:b/>
          <w:sz w:val="26"/>
          <w:szCs w:val="26"/>
          <w:lang w:val="ro-MO"/>
        </w:rPr>
        <w:t xml:space="preserve"> fix</w:t>
      </w:r>
      <w:r w:rsidR="00D92CA1" w:rsidRPr="00446F65">
        <w:rPr>
          <w:rFonts w:ascii="Times New Roman" w:hAnsi="Times New Roman" w:cs="Times New Roman"/>
          <w:b/>
          <w:sz w:val="26"/>
          <w:szCs w:val="26"/>
          <w:lang w:val="ro-MO"/>
        </w:rPr>
        <w:t>e</w:t>
      </w:r>
      <w:r w:rsidR="00101A37" w:rsidRPr="00446F65">
        <w:rPr>
          <w:rFonts w:ascii="Times New Roman" w:hAnsi="Times New Roman" w:cs="Times New Roman"/>
          <w:b/>
          <w:sz w:val="26"/>
          <w:szCs w:val="26"/>
          <w:lang w:val="ro-MO"/>
        </w:rPr>
        <w:t>, în funcţie de abonați</w:t>
      </w:r>
    </w:p>
    <w:p w:rsidR="007C5D2E" w:rsidRPr="00446F65" w:rsidRDefault="002B799C" w:rsidP="00317915">
      <w:pPr>
        <w:spacing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 xml:space="preserve">În funcţie de tehnologia utilizată </w:t>
      </w:r>
      <w:r w:rsidR="00EA0CE5" w:rsidRPr="00446F65">
        <w:rPr>
          <w:rFonts w:ascii="Times New Roman" w:hAnsi="Times New Roman" w:cs="Times New Roman"/>
          <w:sz w:val="26"/>
          <w:szCs w:val="26"/>
          <w:lang w:val="ro-MO"/>
        </w:rPr>
        <w:t xml:space="preserve">(Diagrama </w:t>
      </w:r>
      <w:r w:rsidR="00A541EE" w:rsidRPr="00446F65">
        <w:rPr>
          <w:rFonts w:ascii="Times New Roman" w:hAnsi="Times New Roman" w:cs="Times New Roman"/>
          <w:sz w:val="26"/>
          <w:szCs w:val="26"/>
          <w:lang w:val="ro-MO"/>
        </w:rPr>
        <w:t>3</w:t>
      </w:r>
      <w:r w:rsidR="00EA0CE5"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se atestă o creștere continuă a numărului de abonaţi la serviciile în bandă largă la puncte fixe furnizate prin tehnologiile FTTx, în ultimii 5 ani numărul abonaților crescând cu </w:t>
      </w:r>
      <w:r w:rsidR="00EA0CE5" w:rsidRPr="00446F65">
        <w:rPr>
          <w:rFonts w:ascii="Times New Roman" w:hAnsi="Times New Roman" w:cs="Times New Roman"/>
          <w:sz w:val="26"/>
          <w:szCs w:val="26"/>
          <w:lang w:val="ro-MO"/>
        </w:rPr>
        <w:t>66,4%. Numărul abonaților furnizate prin alte tehnologii (xDSL, DOCSIS și alte tehnologii) au înregistrat o scădere ușoară în ultimii ani. Menționăm că în anul 2013 numărul abonaților conectați prin tehnologiile FTTx au depășit numărul abonaților conectați prin tehnologiile tradiționale xDSL.</w:t>
      </w:r>
      <w:r w:rsidR="007C5D2E" w:rsidRPr="00446F65">
        <w:rPr>
          <w:rFonts w:ascii="Times New Roman" w:hAnsi="Times New Roman" w:cs="Times New Roman"/>
          <w:sz w:val="26"/>
          <w:szCs w:val="26"/>
          <w:lang w:val="ro-MO"/>
        </w:rPr>
        <w:t xml:space="preserve"> </w:t>
      </w:r>
    </w:p>
    <w:p w:rsidR="00241492" w:rsidRPr="00446F65" w:rsidRDefault="00FE40A4" w:rsidP="0052722E">
      <w:pPr>
        <w:spacing w:line="240" w:lineRule="auto"/>
        <w:ind w:firstLine="720"/>
        <w:rPr>
          <w:rFonts w:ascii="Times New Roman" w:hAnsi="Times New Roman" w:cs="Times New Roman"/>
          <w:b/>
          <w:sz w:val="26"/>
          <w:szCs w:val="26"/>
          <w:lang w:val="ro-MO"/>
        </w:rPr>
      </w:pPr>
      <w:r w:rsidRPr="00446F65">
        <w:rPr>
          <w:rFonts w:ascii="Times New Roman" w:hAnsi="Times New Roman" w:cs="Times New Roman"/>
          <w:noProof/>
          <w:sz w:val="26"/>
          <w:szCs w:val="26"/>
        </w:rPr>
        <w:drawing>
          <wp:inline distT="0" distB="0" distL="0" distR="0" wp14:anchorId="3253E085" wp14:editId="56D91233">
            <wp:extent cx="5943600" cy="2797175"/>
            <wp:effectExtent l="0" t="0" r="0" b="317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D6330" w:rsidRPr="00446F65">
        <w:rPr>
          <w:rFonts w:ascii="Times New Roman" w:hAnsi="Times New Roman" w:cs="Times New Roman"/>
          <w:b/>
          <w:sz w:val="26"/>
          <w:szCs w:val="26"/>
          <w:lang w:val="ro-MO"/>
        </w:rPr>
        <w:t xml:space="preserve">Diagrama </w:t>
      </w:r>
      <w:r w:rsidR="00101A37" w:rsidRPr="00446F65">
        <w:rPr>
          <w:rFonts w:ascii="Times New Roman" w:hAnsi="Times New Roman" w:cs="Times New Roman"/>
          <w:b/>
          <w:sz w:val="26"/>
          <w:szCs w:val="26"/>
          <w:lang w:val="ro-MO"/>
        </w:rPr>
        <w:t>3</w:t>
      </w:r>
      <w:r w:rsidR="001D6330" w:rsidRPr="00446F65">
        <w:rPr>
          <w:rFonts w:ascii="Times New Roman" w:hAnsi="Times New Roman" w:cs="Times New Roman"/>
          <w:b/>
          <w:sz w:val="26"/>
          <w:szCs w:val="26"/>
          <w:lang w:val="ro-MO"/>
        </w:rPr>
        <w:t xml:space="preserve">. </w:t>
      </w:r>
      <w:r w:rsidR="00241492" w:rsidRPr="00446F65">
        <w:rPr>
          <w:rFonts w:ascii="Times New Roman" w:hAnsi="Times New Roman" w:cs="Times New Roman"/>
          <w:b/>
          <w:sz w:val="26"/>
          <w:szCs w:val="26"/>
          <w:lang w:val="ro-MO"/>
        </w:rPr>
        <w:t xml:space="preserve">Evoluția numărului de abonaţi la serviciile </w:t>
      </w:r>
      <w:r w:rsidR="002B799C" w:rsidRPr="00446F65">
        <w:rPr>
          <w:rFonts w:ascii="Times New Roman" w:hAnsi="Times New Roman" w:cs="Times New Roman"/>
          <w:b/>
          <w:sz w:val="26"/>
          <w:szCs w:val="26"/>
          <w:lang w:val="ro-MO"/>
        </w:rPr>
        <w:t xml:space="preserve">în bandă largă la puncte </w:t>
      </w:r>
      <w:r w:rsidR="00241492" w:rsidRPr="00446F65">
        <w:rPr>
          <w:rFonts w:ascii="Times New Roman" w:hAnsi="Times New Roman" w:cs="Times New Roman"/>
          <w:b/>
          <w:sz w:val="26"/>
          <w:szCs w:val="26"/>
          <w:lang w:val="ro-MO"/>
        </w:rPr>
        <w:t>fix</w:t>
      </w:r>
      <w:r w:rsidR="002B799C" w:rsidRPr="00446F65">
        <w:rPr>
          <w:rFonts w:ascii="Times New Roman" w:hAnsi="Times New Roman" w:cs="Times New Roman"/>
          <w:b/>
          <w:sz w:val="26"/>
          <w:szCs w:val="26"/>
          <w:lang w:val="ro-MO"/>
        </w:rPr>
        <w:t>e</w:t>
      </w:r>
      <w:r w:rsidR="00241492" w:rsidRPr="00446F65">
        <w:rPr>
          <w:rFonts w:ascii="Times New Roman" w:hAnsi="Times New Roman" w:cs="Times New Roman"/>
          <w:b/>
          <w:sz w:val="26"/>
          <w:szCs w:val="26"/>
          <w:lang w:val="ro-MO"/>
        </w:rPr>
        <w:t>, în funcţie de tehnologia utilizată</w:t>
      </w:r>
    </w:p>
    <w:p w:rsidR="00FE2555" w:rsidRPr="00446F65" w:rsidRDefault="0045194C" w:rsidP="00317915">
      <w:pPr>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b/>
      </w:r>
      <w:r w:rsidR="0024691F" w:rsidRPr="00446F65">
        <w:rPr>
          <w:rFonts w:ascii="Times New Roman" w:hAnsi="Times New Roman" w:cs="Times New Roman"/>
          <w:sz w:val="26"/>
          <w:szCs w:val="26"/>
          <w:lang w:val="ro-MO"/>
        </w:rPr>
        <w:t xml:space="preserve">În ce privește ponderea conexiunilor în bandă largă furnizate la puncte fixe, în funcție de tehnologiile de acces se atestă o creștere a cotei de piață a conexiunilor prin tehnologiile FTTx mai ales în detrimentul cotei de piață a conexiunilor prin tehnologiile xDSL. Cota de piață a conexiunilor prin tehnologiile FTTx a crescut în ultimii 5 ani cu 11,1 </w:t>
      </w:r>
      <w:proofErr w:type="spellStart"/>
      <w:r w:rsidR="0024691F" w:rsidRPr="00446F65">
        <w:rPr>
          <w:rFonts w:ascii="Times New Roman" w:hAnsi="Times New Roman" w:cs="Times New Roman"/>
          <w:sz w:val="26"/>
          <w:szCs w:val="26"/>
          <w:lang w:val="ro-MO"/>
        </w:rPr>
        <w:t>p.p</w:t>
      </w:r>
      <w:proofErr w:type="spellEnd"/>
      <w:r w:rsidR="0024691F" w:rsidRPr="00446F65">
        <w:rPr>
          <w:rFonts w:ascii="Times New Roman" w:hAnsi="Times New Roman" w:cs="Times New Roman"/>
          <w:sz w:val="26"/>
          <w:szCs w:val="26"/>
          <w:lang w:val="ro-MO"/>
        </w:rPr>
        <w:t xml:space="preserve">. și a constituit în anul 2016 - 56,5%, cota de piață a conexiunilor prin tehnologiile xDSL s-a diminuat în ultimii 5 ani cu 12,6 </w:t>
      </w:r>
      <w:proofErr w:type="spellStart"/>
      <w:r w:rsidR="0024691F" w:rsidRPr="00446F65">
        <w:rPr>
          <w:rFonts w:ascii="Times New Roman" w:hAnsi="Times New Roman" w:cs="Times New Roman"/>
          <w:sz w:val="26"/>
          <w:szCs w:val="26"/>
          <w:lang w:val="ro-MO"/>
        </w:rPr>
        <w:t>p.p</w:t>
      </w:r>
      <w:proofErr w:type="spellEnd"/>
      <w:r w:rsidR="0024691F" w:rsidRPr="00446F65">
        <w:rPr>
          <w:rFonts w:ascii="Times New Roman" w:hAnsi="Times New Roman" w:cs="Times New Roman"/>
          <w:sz w:val="26"/>
          <w:szCs w:val="26"/>
          <w:lang w:val="ro-MO"/>
        </w:rPr>
        <w:t>. și a constituit în anul 2016 – 36,1%, iar cota de piață a conexiunilor prin tehnologiile DOCSIS se menține în ultimii ani la nivelul de circa 7%.</w:t>
      </w:r>
    </w:p>
    <w:p w:rsidR="00FE2555" w:rsidRPr="00446F65" w:rsidRDefault="00FE2555" w:rsidP="0052722E">
      <w:pPr>
        <w:spacing w:line="240" w:lineRule="auto"/>
        <w:rPr>
          <w:rFonts w:ascii="Times New Roman" w:hAnsi="Times New Roman" w:cs="Times New Roman"/>
          <w:b/>
          <w:sz w:val="26"/>
          <w:szCs w:val="26"/>
          <w:lang w:val="ro-MO"/>
        </w:rPr>
      </w:pPr>
      <w:r w:rsidRPr="00446F65">
        <w:rPr>
          <w:rFonts w:ascii="Times New Roman" w:hAnsi="Times New Roman" w:cs="Times New Roman"/>
          <w:noProof/>
          <w:color w:val="000000"/>
          <w:sz w:val="26"/>
          <w:szCs w:val="26"/>
        </w:rPr>
        <w:drawing>
          <wp:inline distT="0" distB="0" distL="0" distR="0" wp14:anchorId="609C1E18" wp14:editId="603B6A50">
            <wp:extent cx="6120765" cy="24022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402205"/>
                    </a:xfrm>
                    <a:prstGeom prst="rect">
                      <a:avLst/>
                    </a:prstGeom>
                    <a:noFill/>
                  </pic:spPr>
                </pic:pic>
              </a:graphicData>
            </a:graphic>
          </wp:inline>
        </w:drawing>
      </w:r>
      <w:r w:rsidRPr="00446F65">
        <w:rPr>
          <w:rFonts w:ascii="Times New Roman" w:hAnsi="Times New Roman" w:cs="Times New Roman"/>
          <w:b/>
          <w:sz w:val="26"/>
          <w:szCs w:val="26"/>
          <w:lang w:val="ro-MO"/>
        </w:rPr>
        <w:t xml:space="preserve">Diagrama </w:t>
      </w:r>
      <w:r w:rsidR="00101A37" w:rsidRPr="00446F65">
        <w:rPr>
          <w:rFonts w:ascii="Times New Roman" w:hAnsi="Times New Roman" w:cs="Times New Roman"/>
          <w:b/>
          <w:sz w:val="26"/>
          <w:szCs w:val="26"/>
          <w:lang w:val="ro-MO"/>
        </w:rPr>
        <w:t>4</w:t>
      </w:r>
      <w:r w:rsidRPr="00446F65">
        <w:rPr>
          <w:rFonts w:ascii="Times New Roman" w:hAnsi="Times New Roman" w:cs="Times New Roman"/>
          <w:b/>
          <w:sz w:val="26"/>
          <w:szCs w:val="26"/>
          <w:lang w:val="ro-MO"/>
        </w:rPr>
        <w:t xml:space="preserve">. Ponderea conexiunilor </w:t>
      </w:r>
      <w:r w:rsidR="00EA0CE5" w:rsidRPr="00446F65">
        <w:rPr>
          <w:rFonts w:ascii="Times New Roman" w:hAnsi="Times New Roman" w:cs="Times New Roman"/>
          <w:b/>
          <w:sz w:val="26"/>
          <w:szCs w:val="26"/>
          <w:lang w:val="ro-MO"/>
        </w:rPr>
        <w:t xml:space="preserve">în bandă largă furnizate la puncte </w:t>
      </w:r>
      <w:r w:rsidRPr="00446F65">
        <w:rPr>
          <w:rFonts w:ascii="Times New Roman" w:hAnsi="Times New Roman" w:cs="Times New Roman"/>
          <w:b/>
          <w:sz w:val="26"/>
          <w:szCs w:val="26"/>
          <w:lang w:val="ro-MO"/>
        </w:rPr>
        <w:t>fix</w:t>
      </w:r>
      <w:r w:rsidR="00EA0CE5" w:rsidRPr="00446F65">
        <w:rPr>
          <w:rFonts w:ascii="Times New Roman" w:hAnsi="Times New Roman" w:cs="Times New Roman"/>
          <w:b/>
          <w:sz w:val="26"/>
          <w:szCs w:val="26"/>
          <w:lang w:val="ro-MO"/>
        </w:rPr>
        <w:t>e</w:t>
      </w:r>
      <w:r w:rsidRPr="00446F65">
        <w:rPr>
          <w:rFonts w:ascii="Times New Roman" w:hAnsi="Times New Roman" w:cs="Times New Roman"/>
          <w:b/>
          <w:sz w:val="26"/>
          <w:szCs w:val="26"/>
          <w:lang w:val="ro-MO"/>
        </w:rPr>
        <w:t>, în funcție de tehnologiile de acces</w:t>
      </w:r>
    </w:p>
    <w:p w:rsidR="00BF57E0" w:rsidRPr="00446F65" w:rsidRDefault="00BF57E0" w:rsidP="00317915">
      <w:pPr>
        <w:pStyle w:val="rtejustify"/>
        <w:shd w:val="clear" w:color="auto" w:fill="FFFFFF"/>
        <w:spacing w:before="0" w:beforeAutospacing="0" w:after="0" w:afterAutospacing="0"/>
        <w:ind w:firstLine="720"/>
        <w:jc w:val="both"/>
        <w:rPr>
          <w:color w:val="000000"/>
          <w:sz w:val="26"/>
          <w:szCs w:val="26"/>
          <w:lang w:val="ro-MO"/>
        </w:rPr>
      </w:pPr>
      <w:r w:rsidRPr="00446F65">
        <w:rPr>
          <w:sz w:val="26"/>
          <w:szCs w:val="26"/>
          <w:lang w:val="ro-MO"/>
        </w:rPr>
        <w:lastRenderedPageBreak/>
        <w:t>V</w:t>
      </w:r>
      <w:r w:rsidR="00C708B3" w:rsidRPr="00446F65">
        <w:rPr>
          <w:color w:val="000000"/>
          <w:sz w:val="26"/>
          <w:szCs w:val="26"/>
          <w:lang w:val="ro-MO"/>
        </w:rPr>
        <w:t>olumul total al vânzărilor pe piaţ</w:t>
      </w:r>
      <w:r w:rsidRPr="00446F65">
        <w:rPr>
          <w:color w:val="000000"/>
          <w:sz w:val="26"/>
          <w:szCs w:val="26"/>
          <w:lang w:val="ro-MO"/>
        </w:rPr>
        <w:t xml:space="preserve">a </w:t>
      </w:r>
      <w:r w:rsidRPr="00446F65">
        <w:rPr>
          <w:sz w:val="26"/>
          <w:szCs w:val="26"/>
          <w:lang w:val="ro-MO"/>
        </w:rPr>
        <w:t xml:space="preserve">serviciilor </w:t>
      </w:r>
      <w:r w:rsidR="00E80440" w:rsidRPr="00446F65">
        <w:rPr>
          <w:sz w:val="26"/>
          <w:szCs w:val="26"/>
          <w:lang w:val="ro-MO"/>
        </w:rPr>
        <w:t>în bandă largă</w:t>
      </w:r>
      <w:r w:rsidR="00C708B3" w:rsidRPr="00446F65">
        <w:rPr>
          <w:color w:val="000000"/>
          <w:sz w:val="26"/>
          <w:szCs w:val="26"/>
          <w:lang w:val="ro-MO"/>
        </w:rPr>
        <w:t xml:space="preserve"> </w:t>
      </w:r>
      <w:r w:rsidRPr="00446F65">
        <w:rPr>
          <w:color w:val="000000"/>
          <w:sz w:val="26"/>
          <w:szCs w:val="26"/>
          <w:lang w:val="ro-MO"/>
        </w:rPr>
        <w:t>este în creștere continuă</w:t>
      </w:r>
      <w:r w:rsidRPr="00446F65">
        <w:rPr>
          <w:sz w:val="26"/>
          <w:szCs w:val="26"/>
          <w:lang w:val="ro-MO"/>
        </w:rPr>
        <w:t xml:space="preserve">, în 2016 acesta fiind de </w:t>
      </w:r>
      <w:r w:rsidRPr="00446F65">
        <w:rPr>
          <w:color w:val="000000"/>
          <w:sz w:val="26"/>
          <w:szCs w:val="26"/>
          <w:lang w:val="ro-MO" w:eastAsia="x-none"/>
        </w:rPr>
        <w:t xml:space="preserve">1105,23 mil. </w:t>
      </w:r>
      <w:r w:rsidRPr="00446F65">
        <w:rPr>
          <w:color w:val="000000"/>
          <w:sz w:val="26"/>
          <w:szCs w:val="26"/>
          <w:lang w:val="ro-MO"/>
        </w:rPr>
        <w:t xml:space="preserve">lei. </w:t>
      </w:r>
      <w:r w:rsidRPr="00446F65">
        <w:rPr>
          <w:sz w:val="26"/>
          <w:szCs w:val="26"/>
          <w:lang w:val="ro-MO"/>
        </w:rPr>
        <w:t>Astfel, v</w:t>
      </w:r>
      <w:r w:rsidRPr="00446F65">
        <w:rPr>
          <w:color w:val="000000"/>
          <w:sz w:val="26"/>
          <w:szCs w:val="26"/>
          <w:lang w:val="ro-MO"/>
        </w:rPr>
        <w:t>olumul vânzărilor</w:t>
      </w:r>
      <w:r w:rsidRPr="00446F65">
        <w:rPr>
          <w:sz w:val="26"/>
          <w:szCs w:val="26"/>
          <w:lang w:val="ro-MO"/>
        </w:rPr>
        <w:t xml:space="preserve"> a sporit cu 5,2 % în anul 2016 față de 2015, iar în ultimii 5 ani a crescut cu peste 70%.  </w:t>
      </w:r>
    </w:p>
    <w:p w:rsidR="00C708B3" w:rsidRPr="00446F65" w:rsidRDefault="00C708B3" w:rsidP="00317915">
      <w:pPr>
        <w:pStyle w:val="rtejustify"/>
        <w:shd w:val="clear" w:color="auto" w:fill="FFFFFF"/>
        <w:spacing w:before="0" w:beforeAutospacing="0" w:after="0" w:afterAutospacing="0"/>
        <w:ind w:firstLine="720"/>
        <w:jc w:val="both"/>
        <w:rPr>
          <w:color w:val="000000"/>
          <w:sz w:val="26"/>
          <w:szCs w:val="26"/>
          <w:lang w:val="ro-MO"/>
        </w:rPr>
      </w:pPr>
      <w:r w:rsidRPr="00446F65">
        <w:rPr>
          <w:color w:val="000000"/>
          <w:sz w:val="26"/>
          <w:szCs w:val="26"/>
          <w:lang w:val="ro-MO"/>
        </w:rPr>
        <w:t xml:space="preserve"> </w:t>
      </w:r>
      <w:r w:rsidRPr="00446F65">
        <w:rPr>
          <w:sz w:val="26"/>
          <w:szCs w:val="26"/>
          <w:lang w:val="ro-MO"/>
        </w:rPr>
        <w:t>C</w:t>
      </w:r>
      <w:r w:rsidRPr="00446F65">
        <w:rPr>
          <w:color w:val="252525"/>
          <w:sz w:val="26"/>
          <w:szCs w:val="26"/>
          <w:shd w:val="clear" w:color="auto" w:fill="FFFFFF"/>
          <w:lang w:val="ro-MO"/>
        </w:rPr>
        <w:t xml:space="preserve">ele mai mari volume de vânzări ale acestor servicii </w:t>
      </w:r>
      <w:r w:rsidR="00E80440" w:rsidRPr="00446F65">
        <w:rPr>
          <w:color w:val="252525"/>
          <w:sz w:val="26"/>
          <w:szCs w:val="26"/>
          <w:shd w:val="clear" w:color="auto" w:fill="FFFFFF"/>
          <w:lang w:val="ro-MO"/>
        </w:rPr>
        <w:t xml:space="preserve">în 2016 </w:t>
      </w:r>
      <w:r w:rsidRPr="00446F65">
        <w:rPr>
          <w:color w:val="252525"/>
          <w:sz w:val="26"/>
          <w:szCs w:val="26"/>
          <w:shd w:val="clear" w:color="auto" w:fill="FFFFFF"/>
          <w:lang w:val="ro-MO"/>
        </w:rPr>
        <w:t xml:space="preserve">au fost înregistrate de </w:t>
      </w:r>
      <w:r w:rsidRPr="00446F65">
        <w:rPr>
          <w:sz w:val="26"/>
          <w:szCs w:val="26"/>
          <w:lang w:val="ro-MO" w:eastAsia="x-none"/>
        </w:rPr>
        <w:t xml:space="preserve">Moldtelecom </w:t>
      </w:r>
      <w:r w:rsidR="00BF57E0" w:rsidRPr="00446F65">
        <w:rPr>
          <w:sz w:val="26"/>
          <w:szCs w:val="26"/>
          <w:lang w:val="ro-MO" w:eastAsia="x-none"/>
        </w:rPr>
        <w:t xml:space="preserve">– 714,14 mil. lei, StarNet – 225,72 mil. lei </w:t>
      </w:r>
      <w:r w:rsidRPr="00446F65">
        <w:rPr>
          <w:color w:val="000000"/>
          <w:sz w:val="26"/>
          <w:szCs w:val="26"/>
          <w:lang w:val="ro-MO"/>
        </w:rPr>
        <w:t>și Sun Communications</w:t>
      </w:r>
      <w:r w:rsidR="00880D63" w:rsidRPr="00446F65">
        <w:rPr>
          <w:color w:val="000000"/>
          <w:sz w:val="26"/>
          <w:szCs w:val="26"/>
          <w:lang w:val="ro-MO"/>
        </w:rPr>
        <w:t xml:space="preserve"> </w:t>
      </w:r>
      <w:r w:rsidR="00BF57E0" w:rsidRPr="00446F65">
        <w:rPr>
          <w:color w:val="000000"/>
          <w:sz w:val="26"/>
          <w:szCs w:val="26"/>
          <w:lang w:val="ro-MO"/>
        </w:rPr>
        <w:t xml:space="preserve"> – 58,38 mil. lei</w:t>
      </w:r>
      <w:r w:rsidR="00C01AE3" w:rsidRPr="00446F65">
        <w:rPr>
          <w:color w:val="000000"/>
          <w:sz w:val="26"/>
          <w:szCs w:val="26"/>
          <w:lang w:val="ro-MO"/>
        </w:rPr>
        <w:t xml:space="preserve"> </w:t>
      </w:r>
      <w:r w:rsidR="00C01AE3" w:rsidRPr="00446F65">
        <w:rPr>
          <w:sz w:val="26"/>
          <w:szCs w:val="26"/>
          <w:lang w:val="ro-MO"/>
        </w:rPr>
        <w:t>(Diagrama 5)</w:t>
      </w:r>
      <w:r w:rsidR="00BF57E0" w:rsidRPr="00446F65">
        <w:rPr>
          <w:color w:val="000000"/>
          <w:sz w:val="26"/>
          <w:szCs w:val="26"/>
          <w:lang w:val="ro-MO"/>
        </w:rPr>
        <w:t>.</w:t>
      </w:r>
      <w:r w:rsidR="00C01AE3" w:rsidRPr="00446F65">
        <w:rPr>
          <w:color w:val="000000"/>
          <w:sz w:val="26"/>
          <w:szCs w:val="26"/>
          <w:lang w:val="ro-MO"/>
        </w:rPr>
        <w:t xml:space="preserve"> </w:t>
      </w:r>
    </w:p>
    <w:p w:rsidR="007472FF" w:rsidRPr="00446F65" w:rsidRDefault="00101A37" w:rsidP="00317915">
      <w:pPr>
        <w:spacing w:line="240" w:lineRule="auto"/>
        <w:rPr>
          <w:rFonts w:ascii="Times New Roman" w:hAnsi="Times New Roman" w:cs="Times New Roman"/>
          <w:b/>
          <w:sz w:val="26"/>
          <w:szCs w:val="26"/>
          <w:lang w:val="ro-MO"/>
        </w:rPr>
      </w:pPr>
      <w:r w:rsidRPr="00446F65">
        <w:rPr>
          <w:rFonts w:ascii="Times New Roman" w:hAnsi="Times New Roman" w:cs="Times New Roman"/>
          <w:noProof/>
          <w:sz w:val="26"/>
          <w:szCs w:val="26"/>
        </w:rPr>
        <w:drawing>
          <wp:inline distT="0" distB="0" distL="0" distR="0" wp14:anchorId="626A78F8" wp14:editId="29AFB03D">
            <wp:extent cx="5943600" cy="314642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E901C5" w:rsidRPr="00446F65">
        <w:rPr>
          <w:rFonts w:ascii="Times New Roman" w:hAnsi="Times New Roman" w:cs="Times New Roman"/>
          <w:b/>
          <w:sz w:val="26"/>
          <w:szCs w:val="26"/>
          <w:lang w:val="ro-MO"/>
        </w:rPr>
        <w:t xml:space="preserve">Diagrama </w:t>
      </w:r>
      <w:r w:rsidRPr="00446F65">
        <w:rPr>
          <w:rFonts w:ascii="Times New Roman" w:hAnsi="Times New Roman" w:cs="Times New Roman"/>
          <w:b/>
          <w:sz w:val="26"/>
          <w:szCs w:val="26"/>
          <w:lang w:val="ro-MO"/>
        </w:rPr>
        <w:t>5</w:t>
      </w:r>
      <w:r w:rsidR="00E901C5" w:rsidRPr="00446F65">
        <w:rPr>
          <w:rFonts w:ascii="Times New Roman" w:hAnsi="Times New Roman" w:cs="Times New Roman"/>
          <w:b/>
          <w:sz w:val="26"/>
          <w:szCs w:val="26"/>
          <w:lang w:val="ro-MO"/>
        </w:rPr>
        <w:t xml:space="preserve">. </w:t>
      </w:r>
      <w:r w:rsidR="007472FF" w:rsidRPr="00446F65">
        <w:rPr>
          <w:rFonts w:ascii="Times New Roman" w:hAnsi="Times New Roman" w:cs="Times New Roman"/>
          <w:b/>
          <w:sz w:val="26"/>
          <w:szCs w:val="26"/>
          <w:lang w:val="ro-MO"/>
        </w:rPr>
        <w:t xml:space="preserve">Evoluţia veniturilor înregistrate pe piața serviciilor </w:t>
      </w:r>
      <w:r w:rsidR="0024691F" w:rsidRPr="00446F65">
        <w:rPr>
          <w:rFonts w:ascii="Times New Roman" w:hAnsi="Times New Roman" w:cs="Times New Roman"/>
          <w:b/>
          <w:sz w:val="26"/>
          <w:szCs w:val="26"/>
          <w:lang w:val="ro-MO"/>
        </w:rPr>
        <w:t xml:space="preserve">în bandă largă la puncte </w:t>
      </w:r>
      <w:r w:rsidR="007472FF" w:rsidRPr="00446F65">
        <w:rPr>
          <w:rFonts w:ascii="Times New Roman" w:hAnsi="Times New Roman" w:cs="Times New Roman"/>
          <w:b/>
          <w:sz w:val="26"/>
          <w:szCs w:val="26"/>
          <w:lang w:val="ro-MO"/>
        </w:rPr>
        <w:t>fix</w:t>
      </w:r>
      <w:r w:rsidR="0024691F" w:rsidRPr="00446F65">
        <w:rPr>
          <w:rFonts w:ascii="Times New Roman" w:hAnsi="Times New Roman" w:cs="Times New Roman"/>
          <w:b/>
          <w:sz w:val="26"/>
          <w:szCs w:val="26"/>
          <w:lang w:val="ro-MO"/>
        </w:rPr>
        <w:t>e</w:t>
      </w:r>
      <w:r w:rsidR="007472FF" w:rsidRPr="00446F65">
        <w:rPr>
          <w:rFonts w:ascii="Times New Roman" w:hAnsi="Times New Roman" w:cs="Times New Roman"/>
          <w:b/>
          <w:sz w:val="26"/>
          <w:szCs w:val="26"/>
          <w:lang w:val="ro-MO"/>
        </w:rPr>
        <w:t xml:space="preserve"> (mil. lei)</w:t>
      </w:r>
    </w:p>
    <w:p w:rsidR="007472FF" w:rsidRPr="00446F65" w:rsidRDefault="001B605D" w:rsidP="00317915">
      <w:pPr>
        <w:spacing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Cotele de piață în funcție de venituri ale furnizorilor de servicii </w:t>
      </w:r>
      <w:r w:rsidR="00E80440" w:rsidRPr="00446F65">
        <w:rPr>
          <w:rFonts w:ascii="Times New Roman" w:hAnsi="Times New Roman" w:cs="Times New Roman"/>
          <w:sz w:val="26"/>
          <w:szCs w:val="26"/>
          <w:lang w:val="ro-MO"/>
        </w:rPr>
        <w:t>în bandă largă</w:t>
      </w:r>
      <w:r w:rsidRPr="00446F65">
        <w:rPr>
          <w:rFonts w:ascii="Times New Roman" w:hAnsi="Times New Roman" w:cs="Times New Roman"/>
          <w:sz w:val="26"/>
          <w:szCs w:val="26"/>
          <w:lang w:val="ro-MO"/>
        </w:rPr>
        <w:t xml:space="preserve"> </w:t>
      </w:r>
      <w:r w:rsidR="00880D63" w:rsidRPr="00446F65">
        <w:rPr>
          <w:rFonts w:ascii="Times New Roman" w:hAnsi="Times New Roman" w:cs="Times New Roman"/>
          <w:sz w:val="26"/>
          <w:szCs w:val="26"/>
          <w:lang w:val="ro-MO"/>
        </w:rPr>
        <w:t xml:space="preserve">la puncte fixe </w:t>
      </w:r>
      <w:r w:rsidRPr="00446F65">
        <w:rPr>
          <w:rFonts w:ascii="Times New Roman" w:hAnsi="Times New Roman" w:cs="Times New Roman"/>
          <w:sz w:val="26"/>
          <w:szCs w:val="26"/>
          <w:lang w:val="ro-MO"/>
        </w:rPr>
        <w:t xml:space="preserve">(Diagrama 6) nu au suferit modificări semnificative în ultimii ani, cele mai mari cote de piață în 2016 fiind deținute de </w:t>
      </w:r>
      <w:r w:rsidRPr="00122CAE">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xml:space="preserve"> (64,6%), StarNet (20,4%) și Sun Communications (5,3%).</w:t>
      </w:r>
    </w:p>
    <w:p w:rsidR="007472FF" w:rsidRPr="00446F65" w:rsidRDefault="00E23057" w:rsidP="00317915">
      <w:pPr>
        <w:spacing w:line="240" w:lineRule="auto"/>
        <w:rPr>
          <w:rFonts w:ascii="Times New Roman" w:hAnsi="Times New Roman" w:cs="Times New Roman"/>
          <w:sz w:val="26"/>
          <w:szCs w:val="26"/>
          <w:lang w:val="ro-MO"/>
        </w:rPr>
      </w:pPr>
      <w:r w:rsidRPr="00446F65">
        <w:rPr>
          <w:rFonts w:ascii="Times New Roman" w:hAnsi="Times New Roman" w:cs="Times New Roman"/>
          <w:noProof/>
          <w:sz w:val="26"/>
          <w:szCs w:val="26"/>
        </w:rPr>
        <w:drawing>
          <wp:inline distT="0" distB="0" distL="0" distR="0" wp14:anchorId="5408EE73" wp14:editId="75B086E5">
            <wp:extent cx="5688910" cy="2848806"/>
            <wp:effectExtent l="0" t="0" r="7620"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472FF" w:rsidRPr="00446F65" w:rsidRDefault="00E901C5" w:rsidP="00317915">
      <w:pPr>
        <w:spacing w:line="240" w:lineRule="auto"/>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 xml:space="preserve">Diagrama </w:t>
      </w:r>
      <w:r w:rsidR="00101A37" w:rsidRPr="00446F65">
        <w:rPr>
          <w:rFonts w:ascii="Times New Roman" w:hAnsi="Times New Roman" w:cs="Times New Roman"/>
          <w:b/>
          <w:sz w:val="26"/>
          <w:szCs w:val="26"/>
          <w:lang w:val="ro-MO"/>
        </w:rPr>
        <w:t>6</w:t>
      </w:r>
      <w:r w:rsidRPr="00446F65">
        <w:rPr>
          <w:rFonts w:ascii="Times New Roman" w:hAnsi="Times New Roman" w:cs="Times New Roman"/>
          <w:b/>
          <w:sz w:val="26"/>
          <w:szCs w:val="26"/>
          <w:lang w:val="ro-MO"/>
        </w:rPr>
        <w:t xml:space="preserve">. </w:t>
      </w:r>
      <w:r w:rsidR="007472FF" w:rsidRPr="00446F65">
        <w:rPr>
          <w:rFonts w:ascii="Times New Roman" w:hAnsi="Times New Roman" w:cs="Times New Roman"/>
          <w:b/>
          <w:sz w:val="26"/>
          <w:szCs w:val="26"/>
          <w:lang w:val="ro-MO"/>
        </w:rPr>
        <w:t xml:space="preserve">Cotele de piaţă ale furnizorilor serviciilor </w:t>
      </w:r>
      <w:r w:rsidR="00E80440" w:rsidRPr="00446F65">
        <w:rPr>
          <w:rFonts w:ascii="Times New Roman" w:hAnsi="Times New Roman" w:cs="Times New Roman"/>
          <w:b/>
          <w:sz w:val="26"/>
          <w:szCs w:val="26"/>
          <w:lang w:val="ro-MO"/>
        </w:rPr>
        <w:t>în bandă largă la puncte</w:t>
      </w:r>
      <w:r w:rsidR="007472FF" w:rsidRPr="00446F65">
        <w:rPr>
          <w:rFonts w:ascii="Times New Roman" w:hAnsi="Times New Roman" w:cs="Times New Roman"/>
          <w:b/>
          <w:sz w:val="26"/>
          <w:szCs w:val="26"/>
          <w:lang w:val="ro-MO"/>
        </w:rPr>
        <w:t xml:space="preserve"> fix</w:t>
      </w:r>
      <w:r w:rsidR="00E80440" w:rsidRPr="00446F65">
        <w:rPr>
          <w:rFonts w:ascii="Times New Roman" w:hAnsi="Times New Roman" w:cs="Times New Roman"/>
          <w:b/>
          <w:sz w:val="26"/>
          <w:szCs w:val="26"/>
          <w:lang w:val="ro-MO"/>
        </w:rPr>
        <w:t>e</w:t>
      </w:r>
      <w:r w:rsidR="007472FF" w:rsidRPr="00446F65">
        <w:rPr>
          <w:rFonts w:ascii="Times New Roman" w:hAnsi="Times New Roman" w:cs="Times New Roman"/>
          <w:b/>
          <w:sz w:val="26"/>
          <w:szCs w:val="26"/>
          <w:lang w:val="ro-MO"/>
        </w:rPr>
        <w:t>, în funcţie de venituri</w:t>
      </w:r>
      <w:r w:rsidR="007472FF" w:rsidRPr="00446F65" w:rsidDel="00EE710A">
        <w:rPr>
          <w:rFonts w:ascii="Times New Roman" w:hAnsi="Times New Roman" w:cs="Times New Roman"/>
          <w:sz w:val="26"/>
          <w:szCs w:val="26"/>
          <w:lang w:val="ro-MO"/>
        </w:rPr>
        <w:t xml:space="preserve"> </w:t>
      </w:r>
    </w:p>
    <w:p w:rsidR="00595326" w:rsidRPr="00446F65" w:rsidRDefault="00B8446D" w:rsidP="00317915">
      <w:pPr>
        <w:shd w:val="clear" w:color="auto" w:fill="FFFFFF"/>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Din totalul conexiunilor în bandă largă la puncte fixe (Diagrama 7)</w:t>
      </w:r>
      <w:r w:rsidR="00595326" w:rsidRPr="00446F65">
        <w:rPr>
          <w:rFonts w:ascii="Times New Roman" w:hAnsi="Times New Roman" w:cs="Times New Roman"/>
          <w:sz w:val="26"/>
          <w:szCs w:val="26"/>
          <w:lang w:val="ro-MO"/>
        </w:rPr>
        <w:t>:</w:t>
      </w:r>
    </w:p>
    <w:p w:rsidR="00EF2D2D" w:rsidRPr="00446F65" w:rsidRDefault="00B8446D" w:rsidP="00317915">
      <w:pPr>
        <w:pStyle w:val="ListParagraph"/>
        <w:numPr>
          <w:ilvl w:val="0"/>
          <w:numId w:val="18"/>
        </w:numPr>
        <w:shd w:val="clear" w:color="auto" w:fill="FFFFFF"/>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49% sunt conexiuni care permit viteze între 30 Mbps și  100 Mbps (înregistrându-se o creștere în ultimii 4 ani cu 21</w:t>
      </w:r>
      <w:r w:rsidR="00EF2D2D" w:rsidRPr="00446F65">
        <w:rPr>
          <w:rFonts w:ascii="Times New Roman" w:hAnsi="Times New Roman" w:cs="Times New Roman"/>
          <w:sz w:val="26"/>
          <w:szCs w:val="26"/>
          <w:lang w:val="ro-MO"/>
        </w:rPr>
        <w:t xml:space="preserve"> </w:t>
      </w:r>
      <w:proofErr w:type="spellStart"/>
      <w:r w:rsidRPr="00446F65">
        <w:rPr>
          <w:rFonts w:ascii="Times New Roman" w:hAnsi="Times New Roman" w:cs="Times New Roman"/>
          <w:sz w:val="26"/>
          <w:szCs w:val="26"/>
          <w:lang w:val="ro-MO"/>
        </w:rPr>
        <w:t>p.p</w:t>
      </w:r>
      <w:proofErr w:type="spellEnd"/>
      <w:r w:rsidRPr="00446F65">
        <w:rPr>
          <w:rFonts w:ascii="Times New Roman" w:hAnsi="Times New Roman" w:cs="Times New Roman"/>
          <w:sz w:val="26"/>
          <w:szCs w:val="26"/>
          <w:lang w:val="ro-MO"/>
        </w:rPr>
        <w:t>.)</w:t>
      </w:r>
      <w:r w:rsidR="00EF2D2D" w:rsidRPr="00446F65">
        <w:rPr>
          <w:rFonts w:ascii="Times New Roman" w:hAnsi="Times New Roman" w:cs="Times New Roman"/>
          <w:sz w:val="26"/>
          <w:szCs w:val="26"/>
          <w:lang w:val="ro-MO"/>
        </w:rPr>
        <w:t>;</w:t>
      </w:r>
    </w:p>
    <w:p w:rsidR="00EF2D2D" w:rsidRPr="00446F65" w:rsidRDefault="00B8446D" w:rsidP="00317915">
      <w:pPr>
        <w:pStyle w:val="ListParagraph"/>
        <w:numPr>
          <w:ilvl w:val="0"/>
          <w:numId w:val="18"/>
        </w:numPr>
        <w:shd w:val="clear" w:color="auto" w:fill="FFFFFF"/>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35%  - conexiuni cu viteze cuprinse între 10 Mbps și 30 Mbps (înregistrându-se o creștere în ultimii 4 ani cu 16</w:t>
      </w:r>
      <w:r w:rsidR="00EF2D2D" w:rsidRPr="00446F65">
        <w:rPr>
          <w:rFonts w:ascii="Times New Roman" w:hAnsi="Times New Roman" w:cs="Times New Roman"/>
          <w:sz w:val="26"/>
          <w:szCs w:val="26"/>
          <w:lang w:val="ro-MO"/>
        </w:rPr>
        <w:t xml:space="preserve"> </w:t>
      </w:r>
      <w:proofErr w:type="spellStart"/>
      <w:r w:rsidRPr="00446F65">
        <w:rPr>
          <w:rFonts w:ascii="Times New Roman" w:hAnsi="Times New Roman" w:cs="Times New Roman"/>
          <w:sz w:val="26"/>
          <w:szCs w:val="26"/>
          <w:lang w:val="ro-MO"/>
        </w:rPr>
        <w:t>p.p</w:t>
      </w:r>
      <w:proofErr w:type="spellEnd"/>
      <w:r w:rsidRPr="00446F65">
        <w:rPr>
          <w:rFonts w:ascii="Times New Roman" w:hAnsi="Times New Roman" w:cs="Times New Roman"/>
          <w:sz w:val="26"/>
          <w:szCs w:val="26"/>
          <w:lang w:val="ro-MO"/>
        </w:rPr>
        <w:t>.)</w:t>
      </w:r>
      <w:r w:rsidR="00EF2D2D" w:rsidRPr="00446F65">
        <w:rPr>
          <w:rFonts w:ascii="Times New Roman" w:hAnsi="Times New Roman" w:cs="Times New Roman"/>
          <w:sz w:val="26"/>
          <w:szCs w:val="26"/>
          <w:lang w:val="ro-MO"/>
        </w:rPr>
        <w:t>;</w:t>
      </w:r>
    </w:p>
    <w:p w:rsidR="00EF2D2D" w:rsidRPr="00446F65" w:rsidRDefault="00B8446D" w:rsidP="00317915">
      <w:pPr>
        <w:pStyle w:val="ListParagraph"/>
        <w:numPr>
          <w:ilvl w:val="0"/>
          <w:numId w:val="18"/>
        </w:numPr>
        <w:shd w:val="clear" w:color="auto" w:fill="FFFFFF"/>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6% - conexiuni cu viteze între 2 Mbps și 10 Mbps (înregistrându-se o descreștere în ultimii 4 ani cu 33</w:t>
      </w:r>
      <w:r w:rsidR="00EF2D2D" w:rsidRPr="00446F65">
        <w:rPr>
          <w:rFonts w:ascii="Times New Roman" w:hAnsi="Times New Roman" w:cs="Times New Roman"/>
          <w:sz w:val="26"/>
          <w:szCs w:val="26"/>
          <w:lang w:val="ro-MO"/>
        </w:rPr>
        <w:t xml:space="preserve"> </w:t>
      </w:r>
      <w:proofErr w:type="spellStart"/>
      <w:r w:rsidRPr="00446F65">
        <w:rPr>
          <w:rFonts w:ascii="Times New Roman" w:hAnsi="Times New Roman" w:cs="Times New Roman"/>
          <w:sz w:val="26"/>
          <w:szCs w:val="26"/>
          <w:lang w:val="ro-MO"/>
        </w:rPr>
        <w:t>p.p</w:t>
      </w:r>
      <w:proofErr w:type="spellEnd"/>
      <w:r w:rsidRPr="00446F65">
        <w:rPr>
          <w:rFonts w:ascii="Times New Roman" w:hAnsi="Times New Roman" w:cs="Times New Roman"/>
          <w:sz w:val="26"/>
          <w:szCs w:val="26"/>
          <w:lang w:val="ro-MO"/>
        </w:rPr>
        <w:t>.)</w:t>
      </w:r>
      <w:r w:rsidR="00EF2D2D" w:rsidRPr="00446F65">
        <w:rPr>
          <w:rFonts w:ascii="Times New Roman" w:hAnsi="Times New Roman" w:cs="Times New Roman"/>
          <w:sz w:val="26"/>
          <w:szCs w:val="26"/>
          <w:lang w:val="ro-MO"/>
        </w:rPr>
        <w:t>;</w:t>
      </w:r>
    </w:p>
    <w:p w:rsidR="00EF2D2D" w:rsidRPr="00446F65" w:rsidRDefault="00B8446D" w:rsidP="00317915">
      <w:pPr>
        <w:pStyle w:val="ListParagraph"/>
        <w:numPr>
          <w:ilvl w:val="0"/>
          <w:numId w:val="18"/>
        </w:numPr>
        <w:shd w:val="clear" w:color="auto" w:fill="FFFFFF"/>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6% - conexiuni cu viteze de peste 100 Mbps</w:t>
      </w:r>
      <w:r w:rsidR="00EF2D2D" w:rsidRPr="00446F65">
        <w:rPr>
          <w:rFonts w:ascii="Times New Roman" w:hAnsi="Times New Roman" w:cs="Times New Roman"/>
          <w:sz w:val="26"/>
          <w:szCs w:val="26"/>
          <w:lang w:val="ro-MO"/>
        </w:rPr>
        <w:t xml:space="preserve"> (înregistrându-se o creștere în ultimii 4 ani cu 4 </w:t>
      </w:r>
      <w:proofErr w:type="spellStart"/>
      <w:r w:rsidR="00EF2D2D" w:rsidRPr="00446F65">
        <w:rPr>
          <w:rFonts w:ascii="Times New Roman" w:hAnsi="Times New Roman" w:cs="Times New Roman"/>
          <w:sz w:val="26"/>
          <w:szCs w:val="26"/>
          <w:lang w:val="ro-MO"/>
        </w:rPr>
        <w:t>p.p</w:t>
      </w:r>
      <w:proofErr w:type="spellEnd"/>
      <w:r w:rsidR="00EF2D2D" w:rsidRPr="00446F65">
        <w:rPr>
          <w:rFonts w:ascii="Times New Roman" w:hAnsi="Times New Roman" w:cs="Times New Roman"/>
          <w:sz w:val="26"/>
          <w:szCs w:val="26"/>
          <w:lang w:val="ro-MO"/>
        </w:rPr>
        <w:t>.);</w:t>
      </w:r>
    </w:p>
    <w:p w:rsidR="00B8446D" w:rsidRPr="00446F65" w:rsidRDefault="00B8446D" w:rsidP="00317915">
      <w:pPr>
        <w:pStyle w:val="ListParagraph"/>
        <w:numPr>
          <w:ilvl w:val="0"/>
          <w:numId w:val="18"/>
        </w:numPr>
        <w:shd w:val="clear" w:color="auto" w:fill="FFFFFF"/>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4% </w:t>
      </w:r>
      <w:r w:rsidR="00EF2D2D"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 conexiuni cu viteze de până la 2 Mbps (înregistrându-se o descreștere în ultimii 4 ani cu 8</w:t>
      </w:r>
      <w:r w:rsidR="00880D63" w:rsidRPr="00446F65">
        <w:rPr>
          <w:rFonts w:ascii="Times New Roman" w:hAnsi="Times New Roman" w:cs="Times New Roman"/>
          <w:sz w:val="26"/>
          <w:szCs w:val="26"/>
          <w:lang w:val="ro-MO"/>
        </w:rPr>
        <w:t xml:space="preserve"> </w:t>
      </w:r>
      <w:proofErr w:type="spellStart"/>
      <w:r w:rsidRPr="00446F65">
        <w:rPr>
          <w:rFonts w:ascii="Times New Roman" w:hAnsi="Times New Roman" w:cs="Times New Roman"/>
          <w:sz w:val="26"/>
          <w:szCs w:val="26"/>
          <w:lang w:val="ro-MO"/>
        </w:rPr>
        <w:t>p.p</w:t>
      </w:r>
      <w:proofErr w:type="spellEnd"/>
      <w:r w:rsidRPr="00446F65">
        <w:rPr>
          <w:rFonts w:ascii="Times New Roman" w:hAnsi="Times New Roman" w:cs="Times New Roman"/>
          <w:sz w:val="26"/>
          <w:szCs w:val="26"/>
          <w:lang w:val="ro-MO"/>
        </w:rPr>
        <w:t xml:space="preserve">.). </w:t>
      </w:r>
    </w:p>
    <w:p w:rsidR="005F3A7E" w:rsidRPr="00446F65" w:rsidRDefault="00BD275D" w:rsidP="0052722E">
      <w:pPr>
        <w:spacing w:line="240" w:lineRule="auto"/>
        <w:jc w:val="center"/>
        <w:rPr>
          <w:rFonts w:ascii="Times New Roman" w:hAnsi="Times New Roman" w:cs="Times New Roman"/>
          <w:sz w:val="26"/>
          <w:szCs w:val="26"/>
          <w:lang w:val="ro-MO"/>
        </w:rPr>
      </w:pPr>
      <w:r w:rsidRPr="00446F65">
        <w:rPr>
          <w:rFonts w:ascii="Times New Roman" w:hAnsi="Times New Roman" w:cs="Times New Roman"/>
          <w:noProof/>
          <w:sz w:val="26"/>
          <w:szCs w:val="26"/>
        </w:rPr>
        <w:drawing>
          <wp:inline distT="0" distB="0" distL="0" distR="0" wp14:anchorId="1033E639" wp14:editId="3213C2E5">
            <wp:extent cx="5448300" cy="2133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08FD" w:rsidRPr="00446F65" w:rsidRDefault="00101A37" w:rsidP="00317915">
      <w:pPr>
        <w:spacing w:line="240" w:lineRule="auto"/>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 xml:space="preserve">Diagrama 7. </w:t>
      </w:r>
      <w:r w:rsidR="005F3A7E" w:rsidRPr="00446F65">
        <w:rPr>
          <w:rFonts w:ascii="Times New Roman" w:hAnsi="Times New Roman" w:cs="Times New Roman"/>
          <w:b/>
          <w:sz w:val="26"/>
          <w:szCs w:val="26"/>
          <w:lang w:val="ro-MO"/>
        </w:rPr>
        <w:t xml:space="preserve">Ponderea conexiunilor la </w:t>
      </w:r>
      <w:r w:rsidR="0082213D" w:rsidRPr="00446F65">
        <w:rPr>
          <w:rFonts w:ascii="Times New Roman" w:hAnsi="Times New Roman" w:cs="Times New Roman"/>
          <w:b/>
          <w:sz w:val="26"/>
          <w:szCs w:val="26"/>
          <w:lang w:val="ro-MO"/>
        </w:rPr>
        <w:t>servicii</w:t>
      </w:r>
      <w:r w:rsidR="0024691F" w:rsidRPr="00446F65">
        <w:rPr>
          <w:rFonts w:ascii="Times New Roman" w:hAnsi="Times New Roman" w:cs="Times New Roman"/>
          <w:b/>
          <w:sz w:val="26"/>
          <w:szCs w:val="26"/>
          <w:lang w:val="ro-MO"/>
        </w:rPr>
        <w:t xml:space="preserve">le </w:t>
      </w:r>
      <w:r w:rsidR="0082213D" w:rsidRPr="00446F65">
        <w:rPr>
          <w:rFonts w:ascii="Times New Roman" w:hAnsi="Times New Roman" w:cs="Times New Roman"/>
          <w:b/>
          <w:sz w:val="26"/>
          <w:szCs w:val="26"/>
          <w:lang w:val="ro-MO"/>
        </w:rPr>
        <w:t>în bandă largă la puncte</w:t>
      </w:r>
      <w:r w:rsidR="005F3A7E" w:rsidRPr="00446F65">
        <w:rPr>
          <w:rFonts w:ascii="Times New Roman" w:hAnsi="Times New Roman" w:cs="Times New Roman"/>
          <w:b/>
          <w:sz w:val="26"/>
          <w:szCs w:val="26"/>
          <w:lang w:val="ro-MO"/>
        </w:rPr>
        <w:t xml:space="preserve"> fix</w:t>
      </w:r>
      <w:r w:rsidR="0082213D" w:rsidRPr="00446F65">
        <w:rPr>
          <w:rFonts w:ascii="Times New Roman" w:hAnsi="Times New Roman" w:cs="Times New Roman"/>
          <w:b/>
          <w:sz w:val="26"/>
          <w:szCs w:val="26"/>
          <w:lang w:val="ro-MO"/>
        </w:rPr>
        <w:t>e</w:t>
      </w:r>
      <w:r w:rsidR="005F3A7E" w:rsidRPr="00446F65">
        <w:rPr>
          <w:rFonts w:ascii="Times New Roman" w:hAnsi="Times New Roman" w:cs="Times New Roman"/>
          <w:b/>
          <w:sz w:val="26"/>
          <w:szCs w:val="26"/>
          <w:lang w:val="ro-MO"/>
        </w:rPr>
        <w:t xml:space="preserve">, în funcţie de viteza de transfer al datelor </w:t>
      </w:r>
    </w:p>
    <w:p w:rsidR="00467276" w:rsidRPr="00446F65" w:rsidRDefault="00B8446D"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De asemenea menționăm că în ultimii 5 ani numărul abonaților la pachete de servicii </w:t>
      </w:r>
      <w:r w:rsidR="00A91FA0" w:rsidRPr="00446F65">
        <w:rPr>
          <w:rFonts w:ascii="Times New Roman" w:hAnsi="Times New Roman" w:cs="Times New Roman"/>
          <w:sz w:val="26"/>
          <w:szCs w:val="26"/>
          <w:lang w:val="ro-MO"/>
        </w:rPr>
        <w:t>(</w:t>
      </w:r>
      <w:proofErr w:type="spellStart"/>
      <w:r w:rsidR="00A91FA0" w:rsidRPr="00446F65">
        <w:rPr>
          <w:rFonts w:ascii="Times New Roman" w:hAnsi="Times New Roman" w:cs="Times New Roman"/>
          <w:i/>
          <w:sz w:val="26"/>
          <w:szCs w:val="26"/>
          <w:lang w:val="ro-MO"/>
        </w:rPr>
        <w:t>double</w:t>
      </w:r>
      <w:proofErr w:type="spellEnd"/>
      <w:r w:rsidR="00A91FA0" w:rsidRPr="00446F65">
        <w:rPr>
          <w:rFonts w:ascii="Times New Roman" w:hAnsi="Times New Roman" w:cs="Times New Roman"/>
          <w:i/>
          <w:sz w:val="26"/>
          <w:szCs w:val="26"/>
          <w:lang w:val="ro-MO"/>
        </w:rPr>
        <w:t xml:space="preserve"> play, triple play</w:t>
      </w:r>
      <w:r w:rsidR="00A91FA0"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au crescut cu circa 32%</w:t>
      </w:r>
      <w:r w:rsidR="00A91FA0" w:rsidRPr="00446F65">
        <w:rPr>
          <w:rFonts w:ascii="Times New Roman" w:hAnsi="Times New Roman" w:cs="Times New Roman"/>
          <w:sz w:val="26"/>
          <w:szCs w:val="26"/>
          <w:lang w:val="ro-MO"/>
        </w:rPr>
        <w:t xml:space="preserve">, constituind în anul 2016 </w:t>
      </w:r>
      <w:r w:rsidR="00DB3115" w:rsidRPr="00446F65">
        <w:rPr>
          <w:rFonts w:ascii="Times New Roman" w:hAnsi="Times New Roman" w:cs="Times New Roman"/>
          <w:sz w:val="26"/>
          <w:szCs w:val="26"/>
          <w:lang w:val="ro-MO"/>
        </w:rPr>
        <w:t>c</w:t>
      </w:r>
      <w:r w:rsidR="00FD320A" w:rsidRPr="00446F65">
        <w:rPr>
          <w:rFonts w:ascii="Times New Roman" w:hAnsi="Times New Roman" w:cs="Times New Roman"/>
          <w:sz w:val="26"/>
          <w:szCs w:val="26"/>
          <w:lang w:val="ro-MO"/>
        </w:rPr>
        <w:t xml:space="preserve">irca </w:t>
      </w:r>
      <w:r w:rsidR="00605B5E" w:rsidRPr="00446F65">
        <w:rPr>
          <w:rFonts w:ascii="Times New Roman" w:hAnsi="Times New Roman" w:cs="Times New Roman"/>
          <w:sz w:val="26"/>
          <w:szCs w:val="26"/>
          <w:lang w:val="ro-MO"/>
        </w:rPr>
        <w:t>40</w:t>
      </w:r>
      <w:r w:rsidR="00FD320A" w:rsidRPr="00446F65">
        <w:rPr>
          <w:rFonts w:ascii="Times New Roman" w:hAnsi="Times New Roman" w:cs="Times New Roman"/>
          <w:sz w:val="26"/>
          <w:szCs w:val="26"/>
          <w:lang w:val="ro-MO"/>
        </w:rPr>
        <w:t>% din totalul abonaților în bandă largă</w:t>
      </w:r>
      <w:r w:rsidR="00A91FA0" w:rsidRPr="00446F65">
        <w:rPr>
          <w:rFonts w:ascii="Times New Roman" w:hAnsi="Times New Roman" w:cs="Times New Roman"/>
          <w:sz w:val="26"/>
          <w:szCs w:val="26"/>
          <w:lang w:val="ro-MO"/>
        </w:rPr>
        <w:t xml:space="preserve"> la puncte fixe</w:t>
      </w:r>
      <w:r w:rsidR="00FD320A" w:rsidRPr="00446F65">
        <w:rPr>
          <w:rFonts w:ascii="Times New Roman" w:hAnsi="Times New Roman" w:cs="Times New Roman"/>
          <w:sz w:val="26"/>
          <w:szCs w:val="26"/>
          <w:lang w:val="ro-MO"/>
        </w:rPr>
        <w:t xml:space="preserve">. </w:t>
      </w:r>
    </w:p>
    <w:p w:rsidR="00F30B68" w:rsidRPr="00446F65" w:rsidRDefault="00F30B68" w:rsidP="00317915">
      <w:pPr>
        <w:spacing w:after="0" w:line="240" w:lineRule="auto"/>
        <w:ind w:firstLine="720"/>
        <w:jc w:val="both"/>
        <w:rPr>
          <w:rFonts w:ascii="Times New Roman" w:hAnsi="Times New Roman" w:cs="Times New Roman"/>
          <w:sz w:val="26"/>
          <w:szCs w:val="26"/>
          <w:lang w:val="ro-MO"/>
        </w:rPr>
      </w:pPr>
    </w:p>
    <w:p w:rsidR="00467276" w:rsidRPr="00446F65" w:rsidRDefault="00392BB5" w:rsidP="00122CAE">
      <w:pPr>
        <w:pStyle w:val="Heading2"/>
        <w:spacing w:before="0" w:line="240" w:lineRule="auto"/>
        <w:ind w:firstLine="720"/>
        <w:rPr>
          <w:rFonts w:eastAsiaTheme="minorHAnsi" w:cs="Times New Roman"/>
          <w:bCs w:val="0"/>
          <w:color w:val="auto"/>
          <w:sz w:val="26"/>
          <w:lang w:val="ro-MO"/>
        </w:rPr>
      </w:pPr>
      <w:bookmarkStart w:id="6" w:name="_Toc492907365"/>
      <w:r w:rsidRPr="00446F65">
        <w:rPr>
          <w:rFonts w:eastAsiaTheme="minorHAnsi" w:cs="Times New Roman"/>
          <w:bCs w:val="0"/>
          <w:color w:val="auto"/>
          <w:sz w:val="26"/>
          <w:lang w:val="ro-MO"/>
        </w:rPr>
        <w:t xml:space="preserve">2.3 </w:t>
      </w:r>
      <w:r w:rsidR="00D517B8" w:rsidRPr="00446F65">
        <w:rPr>
          <w:rFonts w:eastAsiaTheme="minorHAnsi" w:cs="Times New Roman"/>
          <w:bCs w:val="0"/>
          <w:color w:val="auto"/>
          <w:sz w:val="26"/>
          <w:lang w:val="ro-MO"/>
        </w:rPr>
        <w:t xml:space="preserve">Piața produsului </w:t>
      </w:r>
      <w:r w:rsidR="00467276" w:rsidRPr="00446F65">
        <w:rPr>
          <w:rFonts w:eastAsiaTheme="minorHAnsi" w:cs="Times New Roman"/>
          <w:bCs w:val="0"/>
          <w:color w:val="auto"/>
          <w:sz w:val="26"/>
          <w:lang w:val="ro-MO"/>
        </w:rPr>
        <w:t>cu amănuntul</w:t>
      </w:r>
      <w:bookmarkEnd w:id="6"/>
      <w:r w:rsidR="00467276" w:rsidRPr="00446F65">
        <w:rPr>
          <w:rFonts w:eastAsiaTheme="minorHAnsi" w:cs="Times New Roman"/>
          <w:bCs w:val="0"/>
          <w:color w:val="auto"/>
          <w:sz w:val="26"/>
          <w:lang w:val="ro-MO"/>
        </w:rPr>
        <w:t xml:space="preserve"> </w:t>
      </w:r>
    </w:p>
    <w:p w:rsidR="00F30B68" w:rsidRPr="00446F65" w:rsidRDefault="00F30B68" w:rsidP="00317915">
      <w:pPr>
        <w:spacing w:after="0" w:line="240" w:lineRule="auto"/>
        <w:ind w:firstLine="720"/>
        <w:jc w:val="both"/>
        <w:rPr>
          <w:rFonts w:ascii="Times New Roman" w:hAnsi="Times New Roman" w:cs="Times New Roman"/>
          <w:sz w:val="26"/>
          <w:szCs w:val="26"/>
          <w:lang w:val="ro-MO"/>
        </w:rPr>
      </w:pPr>
    </w:p>
    <w:p w:rsidR="006F4FD2" w:rsidRPr="00446F65" w:rsidRDefault="006F4FD2"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w:t>
      </w:r>
      <w:r w:rsidR="00595086" w:rsidRPr="00446F65">
        <w:rPr>
          <w:rFonts w:ascii="Times New Roman" w:hAnsi="Times New Roman" w:cs="Times New Roman"/>
          <w:sz w:val="26"/>
          <w:szCs w:val="26"/>
          <w:lang w:val="ro-MO"/>
        </w:rPr>
        <w:t>compartimentele de mai jos</w:t>
      </w:r>
      <w:r w:rsidRPr="00446F65">
        <w:rPr>
          <w:rFonts w:ascii="Times New Roman" w:hAnsi="Times New Roman" w:cs="Times New Roman"/>
          <w:sz w:val="26"/>
          <w:szCs w:val="26"/>
          <w:lang w:val="ro-MO"/>
        </w:rPr>
        <w:t xml:space="preserve">, ANRCETI prezintă unele dintre principalele aspecte structurale și caracteristici comportamentale asociate cu furnizarea serviciilor </w:t>
      </w:r>
      <w:r w:rsidR="00A541EE" w:rsidRPr="00446F65">
        <w:rPr>
          <w:rFonts w:ascii="Times New Roman" w:hAnsi="Times New Roman" w:cs="Times New Roman"/>
          <w:sz w:val="26"/>
          <w:szCs w:val="26"/>
          <w:lang w:val="ro-MO"/>
        </w:rPr>
        <w:t xml:space="preserve">în bandă largă </w:t>
      </w:r>
      <w:r w:rsidRPr="00446F65">
        <w:rPr>
          <w:rFonts w:ascii="Times New Roman" w:hAnsi="Times New Roman" w:cs="Times New Roman"/>
          <w:sz w:val="26"/>
          <w:szCs w:val="26"/>
          <w:lang w:val="ro-MO"/>
        </w:rPr>
        <w:t xml:space="preserve">cu amănuntul utilizând ca </w:t>
      </w:r>
      <w:r w:rsidR="00C01AE3" w:rsidRPr="00446F65">
        <w:rPr>
          <w:rFonts w:ascii="Times New Roman" w:hAnsi="Times New Roman" w:cs="Times New Roman"/>
          <w:sz w:val="26"/>
          <w:szCs w:val="26"/>
          <w:lang w:val="ro-MO"/>
        </w:rPr>
        <w:t>resurse</w:t>
      </w:r>
      <w:r w:rsidRPr="00446F65">
        <w:rPr>
          <w:rFonts w:ascii="Times New Roman" w:hAnsi="Times New Roman" w:cs="Times New Roman"/>
          <w:sz w:val="26"/>
          <w:szCs w:val="26"/>
          <w:lang w:val="ro-MO"/>
        </w:rPr>
        <w:t xml:space="preserve"> serviciile </w:t>
      </w:r>
      <w:r w:rsidR="00C01AE3" w:rsidRPr="00446F65">
        <w:rPr>
          <w:rFonts w:ascii="Times New Roman" w:hAnsi="Times New Roman" w:cs="Times New Roman"/>
          <w:sz w:val="26"/>
          <w:szCs w:val="26"/>
          <w:lang w:val="ro-MO"/>
        </w:rPr>
        <w:t xml:space="preserve">de pe piețele </w:t>
      </w:r>
      <w:r w:rsidRPr="00446F65">
        <w:rPr>
          <w:rFonts w:ascii="Times New Roman" w:hAnsi="Times New Roman" w:cs="Times New Roman"/>
          <w:sz w:val="26"/>
          <w:szCs w:val="26"/>
          <w:lang w:val="ro-MO"/>
        </w:rPr>
        <w:t>WLA și WCA situate în amonte.</w:t>
      </w:r>
    </w:p>
    <w:p w:rsidR="00325FE8" w:rsidRPr="00446F65" w:rsidRDefault="00325FE8" w:rsidP="00317915">
      <w:pPr>
        <w:pStyle w:val="Heading5"/>
        <w:spacing w:line="240" w:lineRule="auto"/>
        <w:ind w:firstLine="720"/>
        <w:rPr>
          <w:rFonts w:ascii="Times New Roman" w:hAnsi="Times New Roman" w:cs="Times New Roman"/>
          <w:sz w:val="26"/>
          <w:szCs w:val="26"/>
          <w:lang w:val="ro-MO"/>
        </w:rPr>
      </w:pPr>
      <w:bookmarkStart w:id="7" w:name="_Toc492907366"/>
      <w:r w:rsidRPr="00446F65">
        <w:rPr>
          <w:rFonts w:ascii="Times New Roman" w:hAnsi="Times New Roman" w:cs="Times New Roman"/>
          <w:b/>
          <w:bCs/>
          <w:color w:val="auto"/>
          <w:sz w:val="26"/>
          <w:szCs w:val="26"/>
          <w:lang w:val="ro-MO"/>
        </w:rPr>
        <w:t>2.</w:t>
      </w:r>
      <w:r w:rsidR="00965D46" w:rsidRPr="00446F65">
        <w:rPr>
          <w:rFonts w:ascii="Times New Roman" w:hAnsi="Times New Roman" w:cs="Times New Roman"/>
          <w:b/>
          <w:bCs/>
          <w:color w:val="auto"/>
          <w:sz w:val="26"/>
          <w:szCs w:val="26"/>
          <w:lang w:val="ro-MO"/>
        </w:rPr>
        <w:t>1</w:t>
      </w:r>
      <w:r w:rsidRPr="00446F65">
        <w:rPr>
          <w:rFonts w:ascii="Times New Roman" w:hAnsi="Times New Roman" w:cs="Times New Roman"/>
          <w:b/>
          <w:bCs/>
          <w:color w:val="auto"/>
          <w:sz w:val="26"/>
          <w:szCs w:val="26"/>
          <w:lang w:val="ro-MO"/>
        </w:rPr>
        <w:t>.</w:t>
      </w:r>
      <w:r w:rsidR="00965D46" w:rsidRPr="00446F65">
        <w:rPr>
          <w:rFonts w:ascii="Times New Roman" w:hAnsi="Times New Roman" w:cs="Times New Roman"/>
          <w:b/>
          <w:bCs/>
          <w:color w:val="auto"/>
          <w:sz w:val="26"/>
          <w:szCs w:val="26"/>
          <w:lang w:val="ro-MO"/>
        </w:rPr>
        <w:t>3</w:t>
      </w:r>
      <w:r w:rsidRPr="00446F65">
        <w:rPr>
          <w:rFonts w:ascii="Times New Roman" w:hAnsi="Times New Roman" w:cs="Times New Roman"/>
          <w:b/>
          <w:bCs/>
          <w:color w:val="auto"/>
          <w:sz w:val="26"/>
          <w:szCs w:val="26"/>
          <w:lang w:val="ro-MO"/>
        </w:rPr>
        <w:t>.1 Produsul focal cu amănuntul</w:t>
      </w:r>
      <w:bookmarkEnd w:id="7"/>
    </w:p>
    <w:p w:rsidR="00444714" w:rsidRPr="00446F65" w:rsidRDefault="00444714"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ANRCETI începe prin identificarea produsul</w:t>
      </w:r>
      <w:r w:rsidR="00D52F43" w:rsidRPr="00446F65">
        <w:rPr>
          <w:rFonts w:ascii="Times New Roman" w:hAnsi="Times New Roman" w:cs="Times New Roman"/>
          <w:sz w:val="26"/>
          <w:szCs w:val="26"/>
          <w:lang w:val="ro-MO"/>
        </w:rPr>
        <w:t>ui</w:t>
      </w:r>
      <w:r w:rsidRPr="00446F65">
        <w:rPr>
          <w:rFonts w:ascii="Times New Roman" w:hAnsi="Times New Roman" w:cs="Times New Roman"/>
          <w:sz w:val="26"/>
          <w:szCs w:val="26"/>
          <w:lang w:val="ro-MO"/>
        </w:rPr>
        <w:t xml:space="preserve"> cel mai îngust (produsul focal) la nivelul pieței cu amănuntul, și va analiza</w:t>
      </w:r>
      <w:r w:rsidR="00B364D5"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 dacă produsul focal va fi extins pentru a include și alte servicii ținând cont de substituibilitatea cererii și a ofertei la nivelul pieței cu amănuntul</w:t>
      </w:r>
      <w:r w:rsidR="00B364D5" w:rsidRPr="00446F65">
        <w:rPr>
          <w:rFonts w:ascii="Times New Roman" w:hAnsi="Times New Roman" w:cs="Times New Roman"/>
          <w:sz w:val="26"/>
          <w:szCs w:val="26"/>
          <w:lang w:val="ro-MO"/>
        </w:rPr>
        <w:t xml:space="preserve"> utilizând testul </w:t>
      </w:r>
      <w:r w:rsidR="00703194" w:rsidRPr="00446F65">
        <w:rPr>
          <w:rFonts w:ascii="Times New Roman" w:hAnsi="Times New Roman" w:cs="Times New Roman"/>
          <w:sz w:val="26"/>
          <w:szCs w:val="26"/>
          <w:lang w:val="ro-MO"/>
        </w:rPr>
        <w:t>monopolistului ipotetic</w:t>
      </w:r>
      <w:r w:rsidRPr="00446F65">
        <w:rPr>
          <w:rFonts w:ascii="Times New Roman" w:hAnsi="Times New Roman" w:cs="Times New Roman"/>
          <w:sz w:val="26"/>
          <w:szCs w:val="26"/>
          <w:lang w:val="ro-MO"/>
        </w:rPr>
        <w:t>.</w:t>
      </w:r>
    </w:p>
    <w:p w:rsidR="00B364D5" w:rsidRPr="00446F65" w:rsidRDefault="00D86AEB"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Produsul focal </w:t>
      </w:r>
      <w:r w:rsidR="00F44013" w:rsidRPr="00446F65">
        <w:rPr>
          <w:rFonts w:ascii="Times New Roman" w:hAnsi="Times New Roman" w:cs="Times New Roman"/>
          <w:sz w:val="26"/>
          <w:szCs w:val="26"/>
          <w:lang w:val="ro-MO"/>
        </w:rPr>
        <w:t xml:space="preserve">pentru </w:t>
      </w:r>
      <w:r w:rsidRPr="00446F65">
        <w:rPr>
          <w:rFonts w:ascii="Times New Roman" w:hAnsi="Times New Roman" w:cs="Times New Roman"/>
          <w:sz w:val="26"/>
          <w:szCs w:val="26"/>
          <w:lang w:val="ro-MO"/>
        </w:rPr>
        <w:t xml:space="preserve">piaţa </w:t>
      </w:r>
      <w:r w:rsidR="00F44013" w:rsidRPr="00446F65">
        <w:rPr>
          <w:rFonts w:ascii="Times New Roman" w:hAnsi="Times New Roman" w:cs="Times New Roman"/>
          <w:sz w:val="26"/>
          <w:szCs w:val="26"/>
          <w:lang w:val="ro-MO"/>
        </w:rPr>
        <w:t xml:space="preserve">serviciilor cu amănuntul în bandă largă reprezintă </w:t>
      </w:r>
      <w:r w:rsidR="00F44013" w:rsidRPr="00446F65">
        <w:rPr>
          <w:rFonts w:ascii="Times New Roman" w:hAnsi="Times New Roman" w:cs="Times New Roman"/>
          <w:b/>
          <w:i/>
          <w:sz w:val="26"/>
          <w:szCs w:val="26"/>
          <w:lang w:val="ro-MO"/>
        </w:rPr>
        <w:t>serviciile în bandă largă furnizate prin intermediul rețelelor de cupru</w:t>
      </w:r>
      <w:r w:rsidR="00C01AE3" w:rsidRPr="00446F65">
        <w:rPr>
          <w:rFonts w:ascii="Times New Roman" w:hAnsi="Times New Roman" w:cs="Times New Roman"/>
          <w:b/>
          <w:i/>
          <w:sz w:val="26"/>
          <w:szCs w:val="26"/>
          <w:lang w:val="ro-MO"/>
        </w:rPr>
        <w:t xml:space="preserve"> (xDSL)</w:t>
      </w:r>
      <w:r w:rsidR="00F44013" w:rsidRPr="00446F65">
        <w:rPr>
          <w:rFonts w:ascii="Times New Roman" w:hAnsi="Times New Roman" w:cs="Times New Roman"/>
          <w:b/>
          <w:i/>
          <w:sz w:val="26"/>
          <w:szCs w:val="26"/>
          <w:lang w:val="ro-MO"/>
        </w:rPr>
        <w:t xml:space="preserve"> și rețelelor de fibră optică</w:t>
      </w:r>
      <w:r w:rsidR="00C01AE3" w:rsidRPr="00446F65">
        <w:rPr>
          <w:rFonts w:ascii="Times New Roman" w:hAnsi="Times New Roman" w:cs="Times New Roman"/>
          <w:b/>
          <w:i/>
          <w:sz w:val="26"/>
          <w:szCs w:val="26"/>
          <w:lang w:val="ro-MO"/>
        </w:rPr>
        <w:t xml:space="preserve"> (FTTx)</w:t>
      </w:r>
      <w:r w:rsidR="00F44013" w:rsidRPr="00446F65">
        <w:rPr>
          <w:rFonts w:ascii="Times New Roman" w:hAnsi="Times New Roman" w:cs="Times New Roman"/>
          <w:sz w:val="26"/>
          <w:szCs w:val="26"/>
          <w:lang w:val="ro-MO"/>
        </w:rPr>
        <w:t>.</w:t>
      </w:r>
    </w:p>
    <w:p w:rsidR="00F44013" w:rsidRPr="00446F65" w:rsidRDefault="00C01AE3"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w:t>
      </w:r>
      <w:r w:rsidR="00F44013" w:rsidRPr="00446F65">
        <w:rPr>
          <w:rFonts w:ascii="Times New Roman" w:hAnsi="Times New Roman" w:cs="Times New Roman"/>
          <w:sz w:val="26"/>
          <w:szCs w:val="26"/>
          <w:lang w:val="ro-MO"/>
        </w:rPr>
        <w:t xml:space="preserve">n urma Analizei pieţei accesului cu ridicata la infrastructura de rețea la un punct fix </w:t>
      </w:r>
      <w:r w:rsidRPr="00446F65">
        <w:rPr>
          <w:rFonts w:ascii="Times New Roman" w:hAnsi="Times New Roman" w:cs="Times New Roman"/>
          <w:sz w:val="26"/>
          <w:szCs w:val="26"/>
          <w:lang w:val="ro-MO"/>
        </w:rPr>
        <w:t xml:space="preserve">(Piața 4 conform recomandării Recomandarea 2007/879/EC) </w:t>
      </w:r>
      <w:r w:rsidR="00F44013" w:rsidRPr="00446F65">
        <w:rPr>
          <w:rFonts w:ascii="Times New Roman" w:hAnsi="Times New Roman" w:cs="Times New Roman"/>
          <w:sz w:val="26"/>
          <w:szCs w:val="26"/>
          <w:lang w:val="ro-MO"/>
        </w:rPr>
        <w:t xml:space="preserve">(iterația II) ANRCETI a ajuns la concluzia că serviciile de acces în bandă largă </w:t>
      </w:r>
      <w:r w:rsidR="00595086" w:rsidRPr="00446F65">
        <w:rPr>
          <w:rFonts w:ascii="Times New Roman" w:hAnsi="Times New Roman" w:cs="Times New Roman"/>
          <w:sz w:val="26"/>
          <w:szCs w:val="26"/>
          <w:lang w:val="ro-MO"/>
        </w:rPr>
        <w:t xml:space="preserve">furnizate </w:t>
      </w:r>
      <w:r w:rsidR="00F44013" w:rsidRPr="00446F65">
        <w:rPr>
          <w:rFonts w:ascii="Times New Roman" w:hAnsi="Times New Roman" w:cs="Times New Roman"/>
          <w:sz w:val="26"/>
          <w:szCs w:val="26"/>
          <w:lang w:val="ro-MO"/>
        </w:rPr>
        <w:t>prin intermediul rețelelor</w:t>
      </w:r>
      <w:r w:rsidR="00595086" w:rsidRPr="00446F65">
        <w:rPr>
          <w:rFonts w:ascii="Times New Roman" w:hAnsi="Times New Roman" w:cs="Times New Roman"/>
          <w:sz w:val="26"/>
          <w:szCs w:val="26"/>
          <w:lang w:val="ro-MO"/>
        </w:rPr>
        <w:t xml:space="preserve"> de fibră optică</w:t>
      </w:r>
      <w:r w:rsidR="00F44013" w:rsidRPr="00446F65">
        <w:rPr>
          <w:rFonts w:ascii="Times New Roman" w:hAnsi="Times New Roman" w:cs="Times New Roman"/>
          <w:sz w:val="26"/>
          <w:szCs w:val="26"/>
          <w:lang w:val="ro-MO"/>
        </w:rPr>
        <w:t xml:space="preserve"> </w:t>
      </w:r>
      <w:r w:rsidR="00595086" w:rsidRPr="00446F65">
        <w:rPr>
          <w:rFonts w:ascii="Times New Roman" w:hAnsi="Times New Roman" w:cs="Times New Roman"/>
          <w:sz w:val="26"/>
          <w:szCs w:val="26"/>
          <w:lang w:val="ro-MO"/>
        </w:rPr>
        <w:t>(</w:t>
      </w:r>
      <w:r w:rsidR="00F44013" w:rsidRPr="00446F65">
        <w:rPr>
          <w:rFonts w:ascii="Times New Roman" w:hAnsi="Times New Roman" w:cs="Times New Roman"/>
          <w:sz w:val="26"/>
          <w:szCs w:val="26"/>
          <w:lang w:val="ro-MO"/>
        </w:rPr>
        <w:t>FTTx</w:t>
      </w:r>
      <w:r w:rsidR="00595086" w:rsidRPr="00446F65">
        <w:rPr>
          <w:rFonts w:ascii="Times New Roman" w:hAnsi="Times New Roman" w:cs="Times New Roman"/>
          <w:sz w:val="26"/>
          <w:szCs w:val="26"/>
          <w:lang w:val="ro-MO"/>
        </w:rPr>
        <w:t>)</w:t>
      </w:r>
      <w:r w:rsidR="00F44013" w:rsidRPr="00446F65">
        <w:rPr>
          <w:rFonts w:ascii="Times New Roman" w:hAnsi="Times New Roman" w:cs="Times New Roman"/>
          <w:sz w:val="26"/>
          <w:szCs w:val="26"/>
          <w:lang w:val="ro-MO"/>
        </w:rPr>
        <w:t xml:space="preserve"> </w:t>
      </w:r>
      <w:r w:rsidR="00F44013" w:rsidRPr="00446F65">
        <w:rPr>
          <w:rFonts w:ascii="Times New Roman" w:hAnsi="Times New Roman" w:cs="Times New Roman"/>
          <w:sz w:val="26"/>
          <w:szCs w:val="26"/>
          <w:lang w:val="ro-MO"/>
        </w:rPr>
        <w:lastRenderedPageBreak/>
        <w:t xml:space="preserve">reprezintă un substituent efectiv pentru serviciile </w:t>
      </w:r>
      <w:r w:rsidR="00595086" w:rsidRPr="00446F65">
        <w:rPr>
          <w:rFonts w:ascii="Times New Roman" w:hAnsi="Times New Roman" w:cs="Times New Roman"/>
          <w:sz w:val="26"/>
          <w:szCs w:val="26"/>
          <w:lang w:val="ro-MO"/>
        </w:rPr>
        <w:t>de acces în bandă largă furnizate prin intermediul rețelelor de cupru (</w:t>
      </w:r>
      <w:r w:rsidR="00F44013" w:rsidRPr="00446F65">
        <w:rPr>
          <w:rFonts w:ascii="Times New Roman" w:hAnsi="Times New Roman" w:cs="Times New Roman"/>
          <w:sz w:val="26"/>
          <w:szCs w:val="26"/>
          <w:lang w:val="ro-MO"/>
        </w:rPr>
        <w:t>xDSL</w:t>
      </w:r>
      <w:r w:rsidR="00595086" w:rsidRPr="00446F65">
        <w:rPr>
          <w:rFonts w:ascii="Times New Roman" w:hAnsi="Times New Roman" w:cs="Times New Roman"/>
          <w:sz w:val="26"/>
          <w:szCs w:val="26"/>
          <w:lang w:val="ro-MO"/>
        </w:rPr>
        <w:t>)</w:t>
      </w:r>
      <w:r w:rsidR="00F44013" w:rsidRPr="00446F65">
        <w:rPr>
          <w:rFonts w:ascii="Times New Roman" w:hAnsi="Times New Roman" w:cs="Times New Roman"/>
          <w:sz w:val="26"/>
          <w:szCs w:val="26"/>
          <w:lang w:val="ro-MO"/>
        </w:rPr>
        <w:t>, chiar și în lipsa unei creșteri mici dar semnificative și netranzitorii a prețurilor la ultimele.</w:t>
      </w:r>
    </w:p>
    <w:p w:rsidR="00B364D5" w:rsidRPr="00446F65" w:rsidRDefault="00BA7130"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Substituibilitatea acestor servicii poate fi observată și din datele din Diagrama 3. FTTx a fost unicul tip de tehnologii, care a înregistrat creştere semnificativă în numărul de abonaţi în ultimii ani (în ultimii 5 ani înregistrând o creștere a abonaților cu peste 66%), chiar în detrimentul conexiunilor </w:t>
      </w:r>
      <w:r w:rsidR="00DD6A6E" w:rsidRPr="00446F65">
        <w:rPr>
          <w:rFonts w:ascii="Times New Roman" w:hAnsi="Times New Roman" w:cs="Times New Roman"/>
          <w:sz w:val="26"/>
          <w:szCs w:val="26"/>
          <w:lang w:val="ro-MO"/>
        </w:rPr>
        <w:t xml:space="preserve">prin tehnologia </w:t>
      </w:r>
      <w:r w:rsidRPr="00446F65">
        <w:rPr>
          <w:rFonts w:ascii="Times New Roman" w:hAnsi="Times New Roman" w:cs="Times New Roman"/>
          <w:sz w:val="26"/>
          <w:szCs w:val="26"/>
          <w:lang w:val="ro-MO"/>
        </w:rPr>
        <w:t xml:space="preserve">xDSL, care a începând cu anul 2013 </w:t>
      </w:r>
      <w:r w:rsidR="00DD6A6E" w:rsidRPr="00446F65">
        <w:rPr>
          <w:rFonts w:ascii="Times New Roman" w:hAnsi="Times New Roman" w:cs="Times New Roman"/>
          <w:sz w:val="26"/>
          <w:szCs w:val="26"/>
          <w:lang w:val="ro-MO"/>
        </w:rPr>
        <w:t>este în declin</w:t>
      </w:r>
      <w:r w:rsidRPr="00446F65">
        <w:rPr>
          <w:rFonts w:ascii="Times New Roman" w:hAnsi="Times New Roman" w:cs="Times New Roman"/>
          <w:sz w:val="26"/>
          <w:szCs w:val="26"/>
          <w:lang w:val="ro-MO"/>
        </w:rPr>
        <w:t xml:space="preserve"> (în ultimii 3 ani înregistrându-se o scădere a abonaților la servicii de bandă largă cu circa 5%)</w:t>
      </w:r>
      <w:r w:rsidR="00DD6A6E" w:rsidRPr="00446F65">
        <w:rPr>
          <w:rFonts w:ascii="Times New Roman" w:hAnsi="Times New Roman" w:cs="Times New Roman"/>
          <w:sz w:val="26"/>
          <w:szCs w:val="26"/>
          <w:lang w:val="ro-MO"/>
        </w:rPr>
        <w:t>.</w:t>
      </w:r>
      <w:r w:rsidR="00AD488E" w:rsidRPr="00446F65">
        <w:rPr>
          <w:rFonts w:ascii="Times New Roman" w:hAnsi="Times New Roman" w:cs="Times New Roman"/>
          <w:sz w:val="26"/>
          <w:szCs w:val="26"/>
          <w:lang w:val="ro-MO"/>
        </w:rPr>
        <w:t xml:space="preserve"> De asemenea, conform Diagramei 4 în anul 2016 din totalul conexiunilor la servicii de bandă largă, cota de piață a conexiunilor prin tehnologiile FTTx a constituit 56,5%, iar cota de piață a conexiunilor prin tehnologiile xDSL a constituit 36,1%.</w:t>
      </w:r>
    </w:p>
    <w:p w:rsidR="00D174C5" w:rsidRPr="00446F65" w:rsidRDefault="00D174C5"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Tendința de creștere continuă a cererii pentru servicii furnizate prin tehnologiile FTTx este previzibil să se mențină și în viitor odată cu dezvoltarea și extinderea de către furnizori a rețelelor de fibră optică.</w:t>
      </w:r>
    </w:p>
    <w:p w:rsidR="00D174C5" w:rsidRPr="00446F65" w:rsidRDefault="00D174C5"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Durata de viață a tehnologiilor xDSL va depinde de factori ca nivelul și dinamica dezvoltării rețelelor de fibră optică, implementarea și utilizarea tehnologiilor precum </w:t>
      </w:r>
      <w:r w:rsidRPr="00446F65">
        <w:rPr>
          <w:rFonts w:ascii="Times New Roman" w:hAnsi="Times New Roman" w:cs="Times New Roman"/>
          <w:i/>
          <w:sz w:val="26"/>
          <w:szCs w:val="26"/>
          <w:lang w:val="ro-MO"/>
        </w:rPr>
        <w:t>vectoring</w:t>
      </w:r>
      <w:r w:rsidRPr="00446F65">
        <w:rPr>
          <w:rFonts w:ascii="Times New Roman" w:hAnsi="Times New Roman" w:cs="Times New Roman"/>
          <w:sz w:val="26"/>
          <w:szCs w:val="26"/>
          <w:lang w:val="ro-MO"/>
        </w:rPr>
        <w:t xml:space="preserve"> etc. Cel puțin în viitorul previzibil tehnologiile xDSL încă vor avea o pondere semnificativă din cauza costurilor ridicate de construire a rețelelor de fibră optică, indisponibilității în anumite zone (mai ales zonele rurale) a rețelelor de fibră optică și atractivității reduse </w:t>
      </w:r>
      <w:r w:rsidR="001E13A0" w:rsidRPr="00446F65">
        <w:rPr>
          <w:rFonts w:ascii="Times New Roman" w:hAnsi="Times New Roman" w:cs="Times New Roman"/>
          <w:sz w:val="26"/>
          <w:szCs w:val="26"/>
          <w:lang w:val="ro-MO"/>
        </w:rPr>
        <w:t xml:space="preserve">a zonelor respective pentru investiții în astfel de rețele </w:t>
      </w:r>
      <w:r w:rsidRPr="00446F65">
        <w:rPr>
          <w:rFonts w:ascii="Times New Roman" w:hAnsi="Times New Roman" w:cs="Times New Roman"/>
          <w:sz w:val="26"/>
          <w:szCs w:val="26"/>
          <w:lang w:val="ro-MO"/>
        </w:rPr>
        <w:t>din partea furnizorilor.</w:t>
      </w:r>
    </w:p>
    <w:p w:rsidR="00AD488E" w:rsidRPr="00446F65" w:rsidRDefault="00325FE8"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continuare ANRCETI va examina dacă există și alte produse care pot substitui eficient produsul focal. În cazul identificării unor astfel de produse, aceasta ar indica asupra faptului că ele fac parte din aceeași piață de produse cu produsul focal.</w:t>
      </w:r>
    </w:p>
    <w:p w:rsidR="00B364D5" w:rsidRPr="00446F65" w:rsidRDefault="00965D46" w:rsidP="00317915">
      <w:pPr>
        <w:pStyle w:val="Heading5"/>
        <w:spacing w:line="240" w:lineRule="auto"/>
        <w:ind w:firstLine="720"/>
        <w:rPr>
          <w:rFonts w:ascii="Times New Roman" w:hAnsi="Times New Roman" w:cs="Times New Roman"/>
          <w:color w:val="auto"/>
          <w:sz w:val="26"/>
          <w:szCs w:val="26"/>
          <w:lang w:val="ro-MO"/>
        </w:rPr>
      </w:pPr>
      <w:bookmarkStart w:id="8" w:name="_Toc492907367"/>
      <w:r w:rsidRPr="00446F65">
        <w:rPr>
          <w:rFonts w:ascii="Times New Roman" w:hAnsi="Times New Roman" w:cs="Times New Roman"/>
          <w:b/>
          <w:color w:val="auto"/>
          <w:sz w:val="26"/>
          <w:szCs w:val="26"/>
          <w:lang w:val="ro-MO"/>
        </w:rPr>
        <w:t>2.1.3.</w:t>
      </w:r>
      <w:r w:rsidR="0011095E" w:rsidRPr="00446F65">
        <w:rPr>
          <w:rFonts w:ascii="Times New Roman" w:hAnsi="Times New Roman" w:cs="Times New Roman"/>
          <w:color w:val="auto"/>
          <w:sz w:val="26"/>
          <w:szCs w:val="26"/>
          <w:lang w:val="ro-MO"/>
        </w:rPr>
        <w:t>2</w:t>
      </w:r>
      <w:r w:rsidRPr="00446F65">
        <w:rPr>
          <w:rFonts w:ascii="Times New Roman" w:hAnsi="Times New Roman" w:cs="Times New Roman"/>
          <w:b/>
          <w:bCs/>
          <w:color w:val="auto"/>
          <w:sz w:val="26"/>
          <w:szCs w:val="26"/>
          <w:lang w:val="ro-MO"/>
        </w:rPr>
        <w:t xml:space="preserve">  </w:t>
      </w:r>
      <w:r w:rsidR="00D517B8" w:rsidRPr="00446F65">
        <w:rPr>
          <w:rFonts w:ascii="Times New Roman" w:hAnsi="Times New Roman" w:cs="Times New Roman"/>
          <w:b/>
          <w:bCs/>
          <w:color w:val="auto"/>
          <w:sz w:val="26"/>
          <w:szCs w:val="26"/>
          <w:lang w:val="ro-MO"/>
        </w:rPr>
        <w:t>Lista substituenţilor</w:t>
      </w:r>
      <w:r w:rsidR="0005367B" w:rsidRPr="00446F65">
        <w:rPr>
          <w:rFonts w:ascii="Times New Roman" w:hAnsi="Times New Roman" w:cs="Times New Roman"/>
          <w:b/>
          <w:bCs/>
          <w:color w:val="auto"/>
          <w:sz w:val="26"/>
          <w:szCs w:val="26"/>
          <w:lang w:val="ro-MO"/>
        </w:rPr>
        <w:t xml:space="preserve"> </w:t>
      </w:r>
      <w:r w:rsidR="00D517B8" w:rsidRPr="00446F65">
        <w:rPr>
          <w:rFonts w:ascii="Times New Roman" w:hAnsi="Times New Roman" w:cs="Times New Roman"/>
          <w:b/>
          <w:bCs/>
          <w:color w:val="auto"/>
          <w:sz w:val="26"/>
          <w:szCs w:val="26"/>
          <w:lang w:val="ro-MO"/>
        </w:rPr>
        <w:t>produsului focal cu amănuntul</w:t>
      </w:r>
      <w:bookmarkEnd w:id="8"/>
    </w:p>
    <w:p w:rsidR="00D517B8" w:rsidRPr="00446F65" w:rsidRDefault="00D517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Produsele candidat substituenţi pentru serviciile cu amănuntul în bandă largă furnizate prin intermediul rețelelor de cupru </w:t>
      </w:r>
      <w:r w:rsidR="00C01AE3" w:rsidRPr="00446F65">
        <w:rPr>
          <w:rFonts w:ascii="Times New Roman" w:hAnsi="Times New Roman" w:cs="Times New Roman"/>
          <w:sz w:val="26"/>
          <w:szCs w:val="26"/>
          <w:lang w:val="ro-MO"/>
        </w:rPr>
        <w:t xml:space="preserve">(xDSL) </w:t>
      </w:r>
      <w:r w:rsidRPr="00446F65">
        <w:rPr>
          <w:rFonts w:ascii="Times New Roman" w:hAnsi="Times New Roman" w:cs="Times New Roman"/>
          <w:sz w:val="26"/>
          <w:szCs w:val="26"/>
          <w:lang w:val="ro-MO"/>
        </w:rPr>
        <w:t xml:space="preserve">și rețelelor de fibră optică </w:t>
      </w:r>
      <w:r w:rsidR="00C01AE3" w:rsidRPr="00446F65">
        <w:rPr>
          <w:rFonts w:ascii="Times New Roman" w:hAnsi="Times New Roman" w:cs="Times New Roman"/>
          <w:sz w:val="26"/>
          <w:szCs w:val="26"/>
          <w:lang w:val="ro-MO"/>
        </w:rPr>
        <w:t xml:space="preserve">(FTTx) </w:t>
      </w:r>
      <w:r w:rsidRPr="00446F65">
        <w:rPr>
          <w:rFonts w:ascii="Times New Roman" w:hAnsi="Times New Roman" w:cs="Times New Roman"/>
          <w:sz w:val="26"/>
          <w:szCs w:val="26"/>
          <w:lang w:val="ro-MO"/>
        </w:rPr>
        <w:t>identificate de ANRCETI sunt următoarele:</w:t>
      </w:r>
    </w:p>
    <w:p w:rsidR="00D517B8" w:rsidRPr="00446F65" w:rsidRDefault="0064664B" w:rsidP="00317915">
      <w:pPr>
        <w:pStyle w:val="ListParagraph"/>
        <w:numPr>
          <w:ilvl w:val="0"/>
          <w:numId w:val="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serviciile cu amănuntul în bandă largă furnizate prin intermediul rețelelor </w:t>
      </w:r>
      <w:r w:rsidR="00D517B8" w:rsidRPr="00446F65">
        <w:rPr>
          <w:rFonts w:ascii="Times New Roman" w:hAnsi="Times New Roman" w:cs="Times New Roman"/>
          <w:sz w:val="26"/>
          <w:szCs w:val="26"/>
          <w:lang w:val="ro-MO"/>
        </w:rPr>
        <w:t>de cablu coaxial</w:t>
      </w:r>
      <w:r w:rsidR="00C01AE3" w:rsidRPr="00446F65">
        <w:rPr>
          <w:rFonts w:ascii="Times New Roman" w:hAnsi="Times New Roman" w:cs="Times New Roman"/>
          <w:sz w:val="26"/>
          <w:szCs w:val="26"/>
          <w:lang w:val="ro-MO"/>
        </w:rPr>
        <w:t xml:space="preserve"> (DOCSIS)</w:t>
      </w:r>
      <w:r w:rsidR="00D517B8" w:rsidRPr="00446F65">
        <w:rPr>
          <w:rFonts w:ascii="Times New Roman" w:hAnsi="Times New Roman" w:cs="Times New Roman"/>
          <w:sz w:val="26"/>
          <w:szCs w:val="26"/>
          <w:lang w:val="ro-MO"/>
        </w:rPr>
        <w:t>;</w:t>
      </w:r>
    </w:p>
    <w:p w:rsidR="00D517B8" w:rsidRPr="00446F65" w:rsidRDefault="0064664B" w:rsidP="00317915">
      <w:pPr>
        <w:pStyle w:val="ListParagraph"/>
        <w:numPr>
          <w:ilvl w:val="0"/>
          <w:numId w:val="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serviciile cu amănuntul în bandă largă furnizate prin intermediul rețelelor </w:t>
      </w:r>
      <w:r w:rsidR="00D517B8" w:rsidRPr="00446F65">
        <w:rPr>
          <w:rFonts w:ascii="Times New Roman" w:hAnsi="Times New Roman" w:cs="Times New Roman"/>
          <w:sz w:val="26"/>
          <w:szCs w:val="26"/>
          <w:lang w:val="ro-MO"/>
        </w:rPr>
        <w:t>fix</w:t>
      </w:r>
      <w:r w:rsidRPr="00446F65">
        <w:rPr>
          <w:rFonts w:ascii="Times New Roman" w:hAnsi="Times New Roman" w:cs="Times New Roman"/>
          <w:sz w:val="26"/>
          <w:szCs w:val="26"/>
          <w:lang w:val="ro-MO"/>
        </w:rPr>
        <w:t>e</w:t>
      </w:r>
      <w:r w:rsidR="00D517B8" w:rsidRPr="00446F65">
        <w:rPr>
          <w:rFonts w:ascii="Times New Roman" w:hAnsi="Times New Roman" w:cs="Times New Roman"/>
          <w:sz w:val="26"/>
          <w:szCs w:val="26"/>
          <w:lang w:val="ro-MO"/>
        </w:rPr>
        <w:t xml:space="preserve"> fără fir;</w:t>
      </w:r>
    </w:p>
    <w:p w:rsidR="00D517B8" w:rsidRPr="00446F65" w:rsidRDefault="0064664B" w:rsidP="00317915">
      <w:pPr>
        <w:pStyle w:val="ListParagraph"/>
        <w:numPr>
          <w:ilvl w:val="0"/>
          <w:numId w:val="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serviciile cu amănuntul în bandă largă furnizate prin intermediul rețelelor </w:t>
      </w:r>
      <w:r w:rsidR="00D517B8" w:rsidRPr="00446F65">
        <w:rPr>
          <w:rFonts w:ascii="Times New Roman" w:hAnsi="Times New Roman" w:cs="Times New Roman"/>
          <w:sz w:val="26"/>
          <w:szCs w:val="26"/>
          <w:lang w:val="ro-MO"/>
        </w:rPr>
        <w:t>mobile</w:t>
      </w:r>
      <w:r w:rsidR="00C01AE3" w:rsidRPr="00446F65">
        <w:rPr>
          <w:rFonts w:ascii="Times New Roman" w:hAnsi="Times New Roman" w:cs="Times New Roman"/>
          <w:sz w:val="26"/>
          <w:szCs w:val="26"/>
          <w:lang w:val="ro-MO"/>
        </w:rPr>
        <w:t xml:space="preserve"> (3G/4G)</w:t>
      </w:r>
      <w:r w:rsidR="00D517B8" w:rsidRPr="00446F65">
        <w:rPr>
          <w:rFonts w:ascii="Times New Roman" w:hAnsi="Times New Roman" w:cs="Times New Roman"/>
          <w:sz w:val="26"/>
          <w:szCs w:val="26"/>
          <w:lang w:val="ro-MO"/>
        </w:rPr>
        <w:t>;</w:t>
      </w:r>
    </w:p>
    <w:p w:rsidR="00A23C53" w:rsidRPr="00446F65" w:rsidRDefault="00A23C53" w:rsidP="00317915">
      <w:pPr>
        <w:pStyle w:val="ListParagraph"/>
        <w:numPr>
          <w:ilvl w:val="0"/>
          <w:numId w:val="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analiza necesităţii definirii unor pieţe ale produsului separate pentru pachete de servicii</w:t>
      </w:r>
      <w:r w:rsidR="00FD7306" w:rsidRPr="00446F65">
        <w:rPr>
          <w:rFonts w:ascii="Times New Roman" w:hAnsi="Times New Roman" w:cs="Times New Roman"/>
          <w:sz w:val="26"/>
          <w:szCs w:val="26"/>
          <w:lang w:val="ro-MO"/>
        </w:rPr>
        <w:t xml:space="preserve"> (</w:t>
      </w:r>
      <w:proofErr w:type="spellStart"/>
      <w:r w:rsidR="00FD7306" w:rsidRPr="00446F65">
        <w:rPr>
          <w:rFonts w:ascii="Times New Roman" w:hAnsi="Times New Roman" w:cs="Times New Roman"/>
          <w:i/>
          <w:sz w:val="26"/>
          <w:szCs w:val="26"/>
          <w:lang w:val="ro-MO"/>
        </w:rPr>
        <w:t>double</w:t>
      </w:r>
      <w:proofErr w:type="spellEnd"/>
      <w:r w:rsidR="00FD7306" w:rsidRPr="00446F65">
        <w:rPr>
          <w:rFonts w:ascii="Times New Roman" w:hAnsi="Times New Roman" w:cs="Times New Roman"/>
          <w:i/>
          <w:sz w:val="26"/>
          <w:szCs w:val="26"/>
          <w:lang w:val="ro-MO"/>
        </w:rPr>
        <w:t xml:space="preserve"> play, triple play</w:t>
      </w:r>
      <w:r w:rsidR="00FD7306"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w:t>
      </w:r>
    </w:p>
    <w:p w:rsidR="00595086" w:rsidRPr="00446F65" w:rsidRDefault="00595086" w:rsidP="00317915">
      <w:pPr>
        <w:pStyle w:val="ListParagraph"/>
        <w:tabs>
          <w:tab w:val="left" w:pos="720"/>
        </w:tabs>
        <w:autoSpaceDE w:val="0"/>
        <w:autoSpaceDN w:val="0"/>
        <w:adjustRightInd w:val="0"/>
        <w:spacing w:after="0" w:line="240" w:lineRule="auto"/>
        <w:jc w:val="both"/>
        <w:rPr>
          <w:rFonts w:ascii="Times New Roman" w:hAnsi="Times New Roman" w:cs="Times New Roman"/>
          <w:sz w:val="26"/>
          <w:szCs w:val="26"/>
          <w:lang w:val="ro-MO"/>
        </w:rPr>
      </w:pPr>
    </w:p>
    <w:p w:rsidR="00D517B8" w:rsidRPr="00446F65" w:rsidRDefault="007E5BC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continuare va fi</w:t>
      </w:r>
      <w:r w:rsidR="00D517B8" w:rsidRPr="00446F65">
        <w:rPr>
          <w:rFonts w:ascii="Times New Roman" w:hAnsi="Times New Roman" w:cs="Times New Roman"/>
          <w:sz w:val="26"/>
          <w:szCs w:val="26"/>
          <w:lang w:val="ro-MO"/>
        </w:rPr>
        <w:t xml:space="preserve"> analiz</w:t>
      </w:r>
      <w:r w:rsidRPr="00446F65">
        <w:rPr>
          <w:rFonts w:ascii="Times New Roman" w:hAnsi="Times New Roman" w:cs="Times New Roman"/>
          <w:sz w:val="26"/>
          <w:szCs w:val="26"/>
          <w:lang w:val="ro-MO"/>
        </w:rPr>
        <w:t>ată</w:t>
      </w:r>
      <w:r w:rsidR="00D517B8" w:rsidRPr="00446F65">
        <w:rPr>
          <w:rFonts w:ascii="Times New Roman" w:hAnsi="Times New Roman" w:cs="Times New Roman"/>
          <w:sz w:val="26"/>
          <w:szCs w:val="26"/>
          <w:lang w:val="ro-MO"/>
        </w:rPr>
        <w:t xml:space="preserve"> măsura în care fiecare dintre aceste produse substituent posibile pot constrânge activităţile unui monopolist ipotetic care furnizează </w:t>
      </w:r>
      <w:r w:rsidR="0064664B" w:rsidRPr="00446F65">
        <w:rPr>
          <w:rFonts w:ascii="Times New Roman" w:hAnsi="Times New Roman" w:cs="Times New Roman"/>
          <w:sz w:val="26"/>
          <w:szCs w:val="26"/>
          <w:lang w:val="ro-MO"/>
        </w:rPr>
        <w:t>serviciile cu amănuntul în bandă largă furnizate prin intermediul rețelelor de cupru și rețelelor de fibră optică</w:t>
      </w:r>
      <w:r w:rsidR="00D517B8" w:rsidRPr="00446F65">
        <w:rPr>
          <w:rFonts w:ascii="Times New Roman" w:hAnsi="Times New Roman" w:cs="Times New Roman"/>
          <w:sz w:val="26"/>
          <w:szCs w:val="26"/>
          <w:lang w:val="ro-MO"/>
        </w:rPr>
        <w:t>.</w:t>
      </w:r>
    </w:p>
    <w:p w:rsidR="00F30B68" w:rsidRPr="00446F65" w:rsidRDefault="00F30B6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p>
    <w:p w:rsidR="007E5BC6" w:rsidRPr="00446F65" w:rsidRDefault="007E5BC6" w:rsidP="00317915">
      <w:pPr>
        <w:pStyle w:val="ListParagraph"/>
        <w:numPr>
          <w:ilvl w:val="0"/>
          <w:numId w:val="13"/>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b/>
          <w:i/>
          <w:sz w:val="26"/>
          <w:szCs w:val="26"/>
          <w:lang w:val="ro-MO"/>
        </w:rPr>
        <w:t>Analiza oportunităţii includerii în aceeaşi piaţă relevantă a produsului</w:t>
      </w:r>
      <w:r w:rsidR="003A5D55" w:rsidRPr="00446F65">
        <w:rPr>
          <w:rFonts w:ascii="Times New Roman" w:hAnsi="Times New Roman" w:cs="Times New Roman"/>
          <w:b/>
          <w:i/>
          <w:sz w:val="26"/>
          <w:szCs w:val="26"/>
          <w:lang w:val="ro-MO"/>
        </w:rPr>
        <w:t xml:space="preserve"> cu amănuntul a </w:t>
      </w:r>
      <w:r w:rsidRPr="00446F65">
        <w:rPr>
          <w:rFonts w:ascii="Times New Roman" w:hAnsi="Times New Roman" w:cs="Times New Roman"/>
          <w:b/>
          <w:i/>
          <w:sz w:val="26"/>
          <w:szCs w:val="26"/>
          <w:lang w:val="ro-MO"/>
        </w:rPr>
        <w:t xml:space="preserve">serviciilor </w:t>
      </w:r>
      <w:r w:rsidR="003A5D55" w:rsidRPr="00446F65">
        <w:rPr>
          <w:rFonts w:ascii="Times New Roman" w:hAnsi="Times New Roman" w:cs="Times New Roman"/>
          <w:b/>
          <w:i/>
          <w:sz w:val="26"/>
          <w:szCs w:val="26"/>
          <w:lang w:val="ro-MO"/>
        </w:rPr>
        <w:t>în bandă largă furnizate prin intermediul rețelelor de cablu coaxial</w:t>
      </w:r>
      <w:r w:rsidR="003A5D55" w:rsidRPr="00446F65" w:rsidDel="003A5D55">
        <w:rPr>
          <w:rFonts w:ascii="Times New Roman" w:hAnsi="Times New Roman" w:cs="Times New Roman"/>
          <w:b/>
          <w:i/>
          <w:sz w:val="26"/>
          <w:szCs w:val="26"/>
          <w:lang w:val="ro-MO"/>
        </w:rPr>
        <w:t xml:space="preserve"> </w:t>
      </w:r>
      <w:r w:rsidR="00D174C5" w:rsidRPr="00446F65">
        <w:rPr>
          <w:rFonts w:ascii="Times New Roman" w:hAnsi="Times New Roman" w:cs="Times New Roman"/>
          <w:b/>
          <w:i/>
          <w:sz w:val="26"/>
          <w:szCs w:val="26"/>
          <w:lang w:val="ro-MO"/>
        </w:rPr>
        <w:t xml:space="preserve">și </w:t>
      </w:r>
      <w:r w:rsidR="00302E5A" w:rsidRPr="00446F65">
        <w:rPr>
          <w:rFonts w:ascii="Times New Roman" w:hAnsi="Times New Roman" w:cs="Times New Roman"/>
          <w:b/>
          <w:i/>
          <w:sz w:val="26"/>
          <w:szCs w:val="26"/>
          <w:lang w:val="ro-MO"/>
        </w:rPr>
        <w:t>prin intermediul</w:t>
      </w:r>
      <w:r w:rsidRPr="00446F65">
        <w:rPr>
          <w:rFonts w:ascii="Times New Roman" w:hAnsi="Times New Roman" w:cs="Times New Roman"/>
          <w:b/>
          <w:i/>
          <w:sz w:val="26"/>
          <w:szCs w:val="26"/>
          <w:lang w:val="ro-MO"/>
        </w:rPr>
        <w:t xml:space="preserve"> </w:t>
      </w:r>
      <w:r w:rsidR="003A5D55" w:rsidRPr="00446F65">
        <w:rPr>
          <w:rFonts w:ascii="Times New Roman" w:hAnsi="Times New Roman" w:cs="Times New Roman"/>
          <w:b/>
          <w:i/>
          <w:sz w:val="26"/>
          <w:szCs w:val="26"/>
          <w:lang w:val="ro-MO"/>
        </w:rPr>
        <w:t>rețelelor fixe fără fir</w:t>
      </w:r>
      <w:r w:rsidRPr="00446F65">
        <w:rPr>
          <w:rFonts w:ascii="Times New Roman" w:hAnsi="Times New Roman" w:cs="Times New Roman"/>
          <w:b/>
          <w:i/>
          <w:sz w:val="26"/>
          <w:szCs w:val="26"/>
          <w:lang w:val="ro-MO"/>
        </w:rPr>
        <w:t>.</w:t>
      </w:r>
    </w:p>
    <w:p w:rsidR="00F30B68" w:rsidRPr="00446F65" w:rsidRDefault="00F30B68" w:rsidP="00317915">
      <w:pPr>
        <w:autoSpaceDE w:val="0"/>
        <w:autoSpaceDN w:val="0"/>
        <w:adjustRightInd w:val="0"/>
        <w:spacing w:after="0" w:line="240" w:lineRule="auto"/>
        <w:ind w:firstLine="720"/>
        <w:jc w:val="both"/>
        <w:rPr>
          <w:rFonts w:ascii="Times New Roman" w:hAnsi="Times New Roman" w:cs="Times New Roman"/>
          <w:bCs/>
          <w:sz w:val="26"/>
          <w:szCs w:val="26"/>
          <w:lang w:val="ro-MO"/>
        </w:rPr>
      </w:pPr>
    </w:p>
    <w:p w:rsidR="003B38BA" w:rsidRPr="00446F65" w:rsidRDefault="003B38BA" w:rsidP="00317915">
      <w:pPr>
        <w:autoSpaceDE w:val="0"/>
        <w:autoSpaceDN w:val="0"/>
        <w:adjustRightInd w:val="0"/>
        <w:spacing w:after="0" w:line="240" w:lineRule="auto"/>
        <w:ind w:firstLine="720"/>
        <w:jc w:val="both"/>
        <w:rPr>
          <w:rFonts w:ascii="Times New Roman" w:hAnsi="Times New Roman" w:cs="Times New Roman"/>
          <w:bCs/>
          <w:sz w:val="26"/>
          <w:szCs w:val="26"/>
          <w:lang w:val="ro-MO"/>
        </w:rPr>
      </w:pPr>
      <w:r w:rsidRPr="00446F65">
        <w:rPr>
          <w:rFonts w:ascii="Times New Roman" w:hAnsi="Times New Roman" w:cs="Times New Roman"/>
          <w:bCs/>
          <w:sz w:val="26"/>
          <w:szCs w:val="26"/>
          <w:lang w:val="ro-MO"/>
        </w:rPr>
        <w:lastRenderedPageBreak/>
        <w:t>ANRCETI a analizat dacă serviciile în bandă largă furnizate prin intermediul rețelelor de cablu coaxial</w:t>
      </w:r>
      <w:r w:rsidRPr="00446F65" w:rsidDel="003A5D55">
        <w:rPr>
          <w:rFonts w:ascii="Times New Roman" w:hAnsi="Times New Roman" w:cs="Times New Roman"/>
          <w:bCs/>
          <w:sz w:val="26"/>
          <w:szCs w:val="26"/>
          <w:lang w:val="ro-MO"/>
        </w:rPr>
        <w:t xml:space="preserve"> </w:t>
      </w:r>
      <w:r w:rsidRPr="00446F65">
        <w:rPr>
          <w:rFonts w:ascii="Times New Roman" w:hAnsi="Times New Roman" w:cs="Times New Roman"/>
          <w:bCs/>
          <w:sz w:val="26"/>
          <w:szCs w:val="26"/>
          <w:lang w:val="ro-MO"/>
        </w:rPr>
        <w:t xml:space="preserve">și prin intermediul rețelelor fixe fără fir fac parte din aceeaşi piaţă relevantă a produsului cu amănuntul. </w:t>
      </w:r>
    </w:p>
    <w:p w:rsidR="003B38BA" w:rsidRPr="00446F65" w:rsidRDefault="003B38BA"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bCs/>
          <w:sz w:val="26"/>
          <w:szCs w:val="26"/>
          <w:lang w:val="ro-MO"/>
        </w:rPr>
        <w:t>Cota abonaților la serviciile în bandă largă furnizate prin intermediul rețelelor de cablu coaxial se menține în ultimii ani la un nivel de circa 7% (Diagrama</w:t>
      </w:r>
      <w:r w:rsidRPr="00446F65">
        <w:rPr>
          <w:rFonts w:ascii="Times New Roman" w:hAnsi="Times New Roman" w:cs="Times New Roman"/>
          <w:sz w:val="26"/>
          <w:szCs w:val="26"/>
          <w:lang w:val="ro-MO"/>
        </w:rPr>
        <w:t xml:space="preserve"> </w:t>
      </w:r>
      <w:r w:rsidR="0038065E" w:rsidRPr="00446F65">
        <w:rPr>
          <w:rFonts w:ascii="Times New Roman" w:hAnsi="Times New Roman" w:cs="Times New Roman"/>
          <w:sz w:val="26"/>
          <w:szCs w:val="26"/>
          <w:lang w:val="ro-MO"/>
        </w:rPr>
        <w:t>4</w:t>
      </w:r>
      <w:r w:rsidRPr="00446F65">
        <w:rPr>
          <w:rFonts w:ascii="Times New Roman" w:hAnsi="Times New Roman" w:cs="Times New Roman"/>
          <w:sz w:val="26"/>
          <w:szCs w:val="26"/>
          <w:lang w:val="ro-MO"/>
        </w:rPr>
        <w:t>)</w:t>
      </w:r>
      <w:r w:rsidR="00C911F2" w:rsidRPr="00446F65">
        <w:rPr>
          <w:rFonts w:ascii="Times New Roman" w:hAnsi="Times New Roman" w:cs="Times New Roman"/>
          <w:sz w:val="26"/>
          <w:szCs w:val="26"/>
          <w:lang w:val="ro-MO"/>
        </w:rPr>
        <w:t xml:space="preserve">, iar cota abonaților </w:t>
      </w:r>
      <w:r w:rsidR="00C911F2" w:rsidRPr="00446F65">
        <w:rPr>
          <w:rFonts w:ascii="Times New Roman" w:hAnsi="Times New Roman" w:cs="Times New Roman"/>
          <w:bCs/>
          <w:sz w:val="26"/>
          <w:szCs w:val="26"/>
          <w:lang w:val="ro-MO"/>
        </w:rPr>
        <w:t xml:space="preserve">la serviciile în bandă largă furnizate prin intermediul rețelelor </w:t>
      </w:r>
      <w:r w:rsidR="00C911F2" w:rsidRPr="00446F65">
        <w:rPr>
          <w:rFonts w:ascii="Times New Roman" w:hAnsi="Times New Roman" w:cs="Times New Roman"/>
          <w:sz w:val="26"/>
          <w:szCs w:val="26"/>
          <w:lang w:val="ro-MO"/>
        </w:rPr>
        <w:t>fixe fără fir este nesemnificativă (0,1</w:t>
      </w:r>
      <w:r w:rsidR="005E2281" w:rsidRPr="00446F65">
        <w:rPr>
          <w:rFonts w:ascii="Times New Roman" w:hAnsi="Times New Roman" w:cs="Times New Roman"/>
          <w:sz w:val="26"/>
          <w:szCs w:val="26"/>
          <w:lang w:val="ro-MO"/>
        </w:rPr>
        <w:t>4</w:t>
      </w:r>
      <w:r w:rsidR="00C911F2" w:rsidRPr="00446F65">
        <w:rPr>
          <w:rFonts w:ascii="Times New Roman" w:hAnsi="Times New Roman" w:cs="Times New Roman"/>
          <w:sz w:val="26"/>
          <w:szCs w:val="26"/>
          <w:lang w:val="ro-MO"/>
        </w:rPr>
        <w:t>%).</w:t>
      </w:r>
    </w:p>
    <w:p w:rsidR="00C911F2" w:rsidRPr="00446F65" w:rsidRDefault="00A43264" w:rsidP="00317915">
      <w:pPr>
        <w:autoSpaceDE w:val="0"/>
        <w:autoSpaceDN w:val="0"/>
        <w:adjustRightInd w:val="0"/>
        <w:spacing w:after="0" w:line="240" w:lineRule="auto"/>
        <w:ind w:firstLine="720"/>
        <w:jc w:val="both"/>
        <w:rPr>
          <w:rFonts w:ascii="Times New Roman" w:eastAsia="Times New Roman" w:hAnsi="Times New Roman" w:cs="Times New Roman"/>
          <w:sz w:val="26"/>
          <w:szCs w:val="26"/>
          <w:lang w:val="ro-MO" w:eastAsia="ru-RU"/>
        </w:rPr>
      </w:pPr>
      <w:r w:rsidRPr="00446F65">
        <w:rPr>
          <w:rFonts w:ascii="Times New Roman" w:eastAsia="Times New Roman" w:hAnsi="Times New Roman" w:cs="Times New Roman"/>
          <w:sz w:val="26"/>
          <w:szCs w:val="26"/>
          <w:lang w:val="ro-MO" w:eastAsia="ru-RU"/>
        </w:rPr>
        <w:t>ANRCETI a analizat dacă o creştere mică dar suficientă şi netranzitorie a preţului la produsul focal (</w:t>
      </w:r>
      <w:r w:rsidR="00EA4E46" w:rsidRPr="00446F65">
        <w:rPr>
          <w:rFonts w:ascii="Times New Roman" w:hAnsi="Times New Roman" w:cs="Times New Roman"/>
          <w:sz w:val="26"/>
          <w:szCs w:val="26"/>
          <w:lang w:val="ro-MO"/>
        </w:rPr>
        <w:t>SSNIP</w:t>
      </w:r>
      <w:r w:rsidRPr="00446F65">
        <w:rPr>
          <w:rFonts w:ascii="Times New Roman" w:eastAsia="Times New Roman" w:hAnsi="Times New Roman" w:cs="Times New Roman"/>
          <w:sz w:val="26"/>
          <w:szCs w:val="26"/>
          <w:lang w:val="ro-MO" w:eastAsia="ru-RU"/>
        </w:rPr>
        <w:t>) generează o substituţie a produsului focal prin produsele candidat analizate la acest compartiment suficient de mare pentru ca creşterea preţului să nu asigure creştere de profit furnizorului ipotetic monopolist.</w:t>
      </w:r>
    </w:p>
    <w:p w:rsidR="00A43264" w:rsidRPr="00446F65" w:rsidRDefault="00A43264" w:rsidP="00317915">
      <w:pPr>
        <w:autoSpaceDE w:val="0"/>
        <w:autoSpaceDN w:val="0"/>
        <w:adjustRightInd w:val="0"/>
        <w:spacing w:after="0" w:line="240" w:lineRule="auto"/>
        <w:ind w:firstLine="720"/>
        <w:jc w:val="both"/>
        <w:rPr>
          <w:rFonts w:ascii="Times New Roman" w:eastAsia="Times New Roman" w:hAnsi="Times New Roman" w:cs="Times New Roman"/>
          <w:sz w:val="26"/>
          <w:szCs w:val="26"/>
          <w:lang w:val="ro-MO" w:eastAsia="ru-RU"/>
        </w:rPr>
      </w:pPr>
      <w:r w:rsidRPr="00446F65">
        <w:rPr>
          <w:rFonts w:ascii="Times New Roman" w:eastAsia="Times New Roman" w:hAnsi="Times New Roman" w:cs="Times New Roman"/>
          <w:sz w:val="26"/>
          <w:szCs w:val="26"/>
          <w:lang w:val="ro-MO" w:eastAsia="ru-RU"/>
        </w:rPr>
        <w:t xml:space="preserve">Menționăm că Moldtelecom (care deține o cotă de piață </w:t>
      </w:r>
      <w:r w:rsidR="00910E2A" w:rsidRPr="00446F65">
        <w:rPr>
          <w:rFonts w:ascii="Times New Roman" w:eastAsia="Times New Roman" w:hAnsi="Times New Roman" w:cs="Times New Roman"/>
          <w:sz w:val="26"/>
          <w:szCs w:val="26"/>
          <w:lang w:val="ro-MO" w:eastAsia="ru-RU"/>
        </w:rPr>
        <w:t xml:space="preserve">la serviciile în bandă largă furnizate la puncte fixe </w:t>
      </w:r>
      <w:r w:rsidRPr="00446F65">
        <w:rPr>
          <w:rFonts w:ascii="Times New Roman" w:eastAsia="Times New Roman" w:hAnsi="Times New Roman" w:cs="Times New Roman"/>
          <w:sz w:val="26"/>
          <w:szCs w:val="26"/>
          <w:lang w:val="ro-MO" w:eastAsia="ru-RU"/>
        </w:rPr>
        <w:t xml:space="preserve">în funcție de abonați de </w:t>
      </w:r>
      <w:r w:rsidR="00987414" w:rsidRPr="00446F65">
        <w:rPr>
          <w:rFonts w:ascii="Times New Roman" w:eastAsia="Times New Roman" w:hAnsi="Times New Roman" w:cs="Times New Roman"/>
          <w:sz w:val="26"/>
          <w:szCs w:val="26"/>
          <w:lang w:val="ro-MO" w:eastAsia="ru-RU"/>
        </w:rPr>
        <w:t>65,5%</w:t>
      </w:r>
      <w:r w:rsidRPr="00446F65">
        <w:rPr>
          <w:rFonts w:ascii="Times New Roman" w:eastAsia="Times New Roman" w:hAnsi="Times New Roman" w:cs="Times New Roman"/>
          <w:sz w:val="26"/>
          <w:szCs w:val="26"/>
          <w:lang w:val="ro-MO" w:eastAsia="ru-RU"/>
        </w:rPr>
        <w:t>)</w:t>
      </w:r>
      <w:r w:rsidR="00987414" w:rsidRPr="00446F65">
        <w:rPr>
          <w:rFonts w:ascii="Times New Roman" w:eastAsia="Times New Roman" w:hAnsi="Times New Roman" w:cs="Times New Roman"/>
          <w:sz w:val="26"/>
          <w:szCs w:val="26"/>
          <w:lang w:val="ro-MO" w:eastAsia="ru-RU"/>
        </w:rPr>
        <w:t xml:space="preserve"> a majorat tarifele la servicii de Internet fix și IPTV în mediu cu 4,8%</w:t>
      </w:r>
      <w:r w:rsidR="00910E2A" w:rsidRPr="00446F65">
        <w:rPr>
          <w:rFonts w:ascii="Times New Roman" w:eastAsia="Times New Roman" w:hAnsi="Times New Roman" w:cs="Times New Roman"/>
          <w:sz w:val="26"/>
          <w:szCs w:val="26"/>
          <w:lang w:val="ro-MO" w:eastAsia="ru-RU"/>
        </w:rPr>
        <w:t xml:space="preserve"> din 1 iulie 2016</w:t>
      </w:r>
      <w:r w:rsidR="00EA4E46" w:rsidRPr="00446F65">
        <w:rPr>
          <w:rStyle w:val="FootnoteReference"/>
          <w:rFonts w:ascii="Times New Roman" w:eastAsia="Times New Roman" w:hAnsi="Times New Roman" w:cs="Times New Roman"/>
          <w:sz w:val="26"/>
          <w:szCs w:val="26"/>
          <w:lang w:val="ro-MO" w:eastAsia="ru-RU"/>
        </w:rPr>
        <w:footnoteReference w:id="6"/>
      </w:r>
      <w:r w:rsidR="00910E2A" w:rsidRPr="00446F65">
        <w:rPr>
          <w:rFonts w:ascii="Times New Roman" w:eastAsia="Times New Roman" w:hAnsi="Times New Roman" w:cs="Times New Roman"/>
          <w:sz w:val="26"/>
          <w:szCs w:val="26"/>
          <w:lang w:val="ro-MO" w:eastAsia="ru-RU"/>
        </w:rPr>
        <w:t>.</w:t>
      </w:r>
      <w:r w:rsidR="001E13A0" w:rsidRPr="00446F65">
        <w:rPr>
          <w:rFonts w:ascii="Times New Roman" w:eastAsia="Times New Roman" w:hAnsi="Times New Roman" w:cs="Times New Roman"/>
          <w:sz w:val="26"/>
          <w:szCs w:val="26"/>
          <w:lang w:val="ro-MO" w:eastAsia="ru-RU"/>
        </w:rPr>
        <w:t xml:space="preserve"> </w:t>
      </w:r>
      <w:r w:rsidR="00EA4E46" w:rsidRPr="00446F65">
        <w:rPr>
          <w:rFonts w:ascii="Times New Roman" w:eastAsia="Times New Roman" w:hAnsi="Times New Roman" w:cs="Times New Roman"/>
          <w:sz w:val="26"/>
          <w:szCs w:val="26"/>
          <w:lang w:val="ro-MO" w:eastAsia="ru-RU"/>
        </w:rPr>
        <w:t>În urma</w:t>
      </w:r>
      <w:r w:rsidR="009A6C8D" w:rsidRPr="00446F65">
        <w:rPr>
          <w:rFonts w:ascii="Times New Roman" w:eastAsia="Times New Roman" w:hAnsi="Times New Roman" w:cs="Times New Roman"/>
          <w:sz w:val="26"/>
          <w:szCs w:val="26"/>
          <w:lang w:val="ro-MO" w:eastAsia="ru-RU"/>
        </w:rPr>
        <w:t xml:space="preserve"> </w:t>
      </w:r>
      <w:r w:rsidR="00EA4E46" w:rsidRPr="00446F65">
        <w:rPr>
          <w:rFonts w:ascii="Times New Roman" w:eastAsia="Times New Roman" w:hAnsi="Times New Roman" w:cs="Times New Roman"/>
          <w:sz w:val="26"/>
          <w:szCs w:val="26"/>
          <w:lang w:val="ro-MO" w:eastAsia="ru-RU"/>
        </w:rPr>
        <w:t>acestei majorări a prețului pentru serviciile în bandă largă Moldtelecom a înregistrat o creștere atât a abonaților (</w:t>
      </w:r>
      <w:r w:rsidR="00ED3922" w:rsidRPr="00446F65">
        <w:rPr>
          <w:rFonts w:ascii="Times New Roman" w:eastAsia="Times New Roman" w:hAnsi="Times New Roman" w:cs="Times New Roman"/>
          <w:sz w:val="26"/>
          <w:szCs w:val="26"/>
          <w:lang w:val="ro-MO" w:eastAsia="ru-RU"/>
        </w:rPr>
        <w:t xml:space="preserve">o creștere de </w:t>
      </w:r>
      <w:r w:rsidR="00EA4E46" w:rsidRPr="00446F65">
        <w:rPr>
          <w:rFonts w:ascii="Times New Roman" w:eastAsia="Times New Roman" w:hAnsi="Times New Roman" w:cs="Times New Roman"/>
          <w:sz w:val="26"/>
          <w:szCs w:val="26"/>
          <w:lang w:val="ro-MO" w:eastAsia="ru-RU"/>
        </w:rPr>
        <w:t>4,3%</w:t>
      </w:r>
      <w:r w:rsidR="00ED3922" w:rsidRPr="00446F65">
        <w:rPr>
          <w:rFonts w:ascii="Times New Roman" w:eastAsia="Times New Roman" w:hAnsi="Times New Roman" w:cs="Times New Roman"/>
          <w:sz w:val="26"/>
          <w:szCs w:val="26"/>
          <w:lang w:val="ro-MO" w:eastAsia="ru-RU"/>
        </w:rPr>
        <w:t xml:space="preserve"> în anul 2016 față de anul 2015</w:t>
      </w:r>
      <w:r w:rsidR="00EA4E46" w:rsidRPr="00446F65">
        <w:rPr>
          <w:rFonts w:ascii="Times New Roman" w:eastAsia="Times New Roman" w:hAnsi="Times New Roman" w:cs="Times New Roman"/>
          <w:sz w:val="26"/>
          <w:szCs w:val="26"/>
          <w:lang w:val="ro-MO" w:eastAsia="ru-RU"/>
        </w:rPr>
        <w:t>) cât și a veniturilor din furnizarea serviciilor în bandă largă (</w:t>
      </w:r>
      <w:r w:rsidR="00ED3922" w:rsidRPr="00446F65">
        <w:rPr>
          <w:rFonts w:ascii="Times New Roman" w:eastAsia="Times New Roman" w:hAnsi="Times New Roman" w:cs="Times New Roman"/>
          <w:sz w:val="26"/>
          <w:szCs w:val="26"/>
          <w:lang w:val="ro-MO" w:eastAsia="ru-RU"/>
        </w:rPr>
        <w:t>o creștere de 6,6% în anul 2016 față de anul 2015</w:t>
      </w:r>
      <w:r w:rsidR="00EA4E46" w:rsidRPr="00446F65">
        <w:rPr>
          <w:rFonts w:ascii="Times New Roman" w:eastAsia="Times New Roman" w:hAnsi="Times New Roman" w:cs="Times New Roman"/>
          <w:sz w:val="26"/>
          <w:szCs w:val="26"/>
          <w:lang w:val="ro-MO" w:eastAsia="ru-RU"/>
        </w:rPr>
        <w:t>)</w:t>
      </w:r>
      <w:r w:rsidR="002026C6" w:rsidRPr="00446F65">
        <w:rPr>
          <w:rFonts w:ascii="Times New Roman" w:eastAsia="Times New Roman" w:hAnsi="Times New Roman" w:cs="Times New Roman"/>
          <w:sz w:val="26"/>
          <w:szCs w:val="26"/>
          <w:lang w:val="ro-MO" w:eastAsia="ru-RU"/>
        </w:rPr>
        <w:t xml:space="preserve">, </w:t>
      </w:r>
      <w:r w:rsidR="00EA4E46" w:rsidRPr="00446F65">
        <w:rPr>
          <w:rFonts w:ascii="Times New Roman" w:eastAsia="Times New Roman" w:hAnsi="Times New Roman" w:cs="Times New Roman"/>
          <w:sz w:val="26"/>
          <w:szCs w:val="26"/>
          <w:lang w:val="ro-MO" w:eastAsia="ru-RU"/>
        </w:rPr>
        <w:t xml:space="preserve">ceea ce </w:t>
      </w:r>
      <w:r w:rsidR="009A6C8D" w:rsidRPr="00446F65">
        <w:rPr>
          <w:rFonts w:ascii="Times New Roman" w:eastAsia="Times New Roman" w:hAnsi="Times New Roman" w:cs="Times New Roman"/>
          <w:sz w:val="26"/>
          <w:szCs w:val="26"/>
          <w:lang w:val="ro-MO" w:eastAsia="ru-RU"/>
        </w:rPr>
        <w:t xml:space="preserve">denotă faptul că </w:t>
      </w:r>
      <w:r w:rsidR="00EA4E46" w:rsidRPr="00446F65">
        <w:rPr>
          <w:rFonts w:ascii="Times New Roman" w:eastAsia="Times New Roman" w:hAnsi="Times New Roman" w:cs="Times New Roman"/>
          <w:sz w:val="26"/>
          <w:szCs w:val="26"/>
          <w:lang w:val="ro-MO" w:eastAsia="ru-RU"/>
        </w:rPr>
        <w:t xml:space="preserve">serviciile analizate la acest compartiment </w:t>
      </w:r>
      <w:r w:rsidR="009A6C8D" w:rsidRPr="00446F65">
        <w:rPr>
          <w:rFonts w:ascii="Times New Roman" w:eastAsia="Times New Roman" w:hAnsi="Times New Roman" w:cs="Times New Roman"/>
          <w:sz w:val="26"/>
          <w:szCs w:val="26"/>
          <w:lang w:val="ro-MO" w:eastAsia="ru-RU"/>
        </w:rPr>
        <w:t>nu reprezintă substituenți eficienți pentru produsul focal.</w:t>
      </w:r>
      <w:r w:rsidR="0005367B" w:rsidRPr="00446F65">
        <w:rPr>
          <w:rFonts w:ascii="Times New Roman" w:eastAsia="Times New Roman" w:hAnsi="Times New Roman" w:cs="Times New Roman"/>
          <w:sz w:val="26"/>
          <w:szCs w:val="26"/>
          <w:lang w:val="ro-MO" w:eastAsia="ru-RU"/>
        </w:rPr>
        <w:t xml:space="preserve"> Mai mult, în anul 2016 a fost înregistrată o scădere a numărului abonaților la servicii de bandă largă furnizate prin intermediul rețelelor de cablu coaxial </w:t>
      </w:r>
      <w:r w:rsidR="0038065E" w:rsidRPr="00446F65">
        <w:rPr>
          <w:rFonts w:ascii="Times New Roman" w:eastAsia="Times New Roman" w:hAnsi="Times New Roman" w:cs="Times New Roman"/>
          <w:sz w:val="26"/>
          <w:szCs w:val="26"/>
          <w:lang w:val="ro-MO" w:eastAsia="ru-RU"/>
        </w:rPr>
        <w:t>(</w:t>
      </w:r>
      <w:r w:rsidR="0005367B" w:rsidRPr="00446F65">
        <w:rPr>
          <w:rFonts w:ascii="Times New Roman" w:eastAsia="Times New Roman" w:hAnsi="Times New Roman" w:cs="Times New Roman"/>
          <w:sz w:val="26"/>
          <w:szCs w:val="26"/>
          <w:lang w:val="ro-MO" w:eastAsia="ru-RU"/>
        </w:rPr>
        <w:t>cu 2,2% față de 2015</w:t>
      </w:r>
      <w:r w:rsidR="0038065E" w:rsidRPr="00446F65">
        <w:rPr>
          <w:rFonts w:ascii="Times New Roman" w:eastAsia="Times New Roman" w:hAnsi="Times New Roman" w:cs="Times New Roman"/>
          <w:sz w:val="26"/>
          <w:szCs w:val="26"/>
          <w:lang w:val="ro-MO" w:eastAsia="ru-RU"/>
        </w:rPr>
        <w:t>)</w:t>
      </w:r>
      <w:r w:rsidR="0005367B" w:rsidRPr="00446F65">
        <w:rPr>
          <w:rFonts w:ascii="Times New Roman" w:eastAsia="Times New Roman" w:hAnsi="Times New Roman" w:cs="Times New Roman"/>
          <w:sz w:val="26"/>
          <w:szCs w:val="26"/>
          <w:lang w:val="ro-MO" w:eastAsia="ru-RU"/>
        </w:rPr>
        <w:t>.</w:t>
      </w:r>
    </w:p>
    <w:p w:rsidR="007E5BC6" w:rsidRPr="00446F65" w:rsidRDefault="009A6C8D" w:rsidP="00317915">
      <w:pPr>
        <w:autoSpaceDE w:val="0"/>
        <w:autoSpaceDN w:val="0"/>
        <w:adjustRightInd w:val="0"/>
        <w:spacing w:after="0" w:line="240" w:lineRule="auto"/>
        <w:ind w:firstLine="720"/>
        <w:jc w:val="both"/>
        <w:rPr>
          <w:rFonts w:ascii="Times New Roman" w:hAnsi="Times New Roman" w:cs="Times New Roman"/>
          <w:bCs/>
          <w:sz w:val="26"/>
          <w:szCs w:val="26"/>
          <w:lang w:val="ro-MO"/>
        </w:rPr>
      </w:pPr>
      <w:r w:rsidRPr="00446F65">
        <w:rPr>
          <w:rFonts w:ascii="Times New Roman" w:hAnsi="Times New Roman" w:cs="Times New Roman"/>
          <w:bCs/>
          <w:sz w:val="26"/>
          <w:szCs w:val="26"/>
          <w:lang w:val="ro-MO"/>
        </w:rPr>
        <w:t>De asemenea, p</w:t>
      </w:r>
      <w:r w:rsidR="007E5BC6" w:rsidRPr="00446F65">
        <w:rPr>
          <w:rFonts w:ascii="Times New Roman" w:hAnsi="Times New Roman" w:cs="Times New Roman"/>
          <w:bCs/>
          <w:sz w:val="26"/>
          <w:szCs w:val="26"/>
          <w:lang w:val="ro-MO"/>
        </w:rPr>
        <w:t xml:space="preserve">entru a determina gradul de substituibilitate dintre aceste categorii de servicii, ANRCETI a analizat </w:t>
      </w:r>
      <w:r w:rsidR="0030586C" w:rsidRPr="00446F65">
        <w:rPr>
          <w:rFonts w:ascii="Times New Roman" w:hAnsi="Times New Roman" w:cs="Times New Roman"/>
          <w:bCs/>
          <w:sz w:val="26"/>
          <w:szCs w:val="26"/>
          <w:lang w:val="ro-MO"/>
        </w:rPr>
        <w:t>și</w:t>
      </w:r>
      <w:r w:rsidR="0005367B" w:rsidRPr="00446F65">
        <w:rPr>
          <w:rFonts w:ascii="Times New Roman" w:hAnsi="Times New Roman" w:cs="Times New Roman"/>
          <w:bCs/>
          <w:sz w:val="26"/>
          <w:szCs w:val="26"/>
          <w:lang w:val="ro-MO"/>
        </w:rPr>
        <w:t xml:space="preserve"> </w:t>
      </w:r>
      <w:r w:rsidR="007E5BC6" w:rsidRPr="00446F65">
        <w:rPr>
          <w:rFonts w:ascii="Times New Roman" w:hAnsi="Times New Roman" w:cs="Times New Roman"/>
          <w:bCs/>
          <w:sz w:val="26"/>
          <w:szCs w:val="26"/>
          <w:lang w:val="ro-MO"/>
        </w:rPr>
        <w:t>dacă acestea două pot fi considera</w:t>
      </w:r>
      <w:r w:rsidR="0038065E" w:rsidRPr="00446F65">
        <w:rPr>
          <w:rFonts w:ascii="Times New Roman" w:hAnsi="Times New Roman" w:cs="Times New Roman"/>
          <w:bCs/>
          <w:sz w:val="26"/>
          <w:szCs w:val="26"/>
          <w:lang w:val="ro-MO"/>
        </w:rPr>
        <w:t>te</w:t>
      </w:r>
      <w:r w:rsidR="007E5BC6" w:rsidRPr="00446F65">
        <w:rPr>
          <w:rFonts w:ascii="Times New Roman" w:hAnsi="Times New Roman" w:cs="Times New Roman"/>
          <w:bCs/>
          <w:sz w:val="26"/>
          <w:szCs w:val="26"/>
          <w:lang w:val="ro-MO"/>
        </w:rPr>
        <w:t xml:space="preserve"> substituenţi potriviţi din punct de vedere al caracteristicilor tehnice.  </w:t>
      </w:r>
    </w:p>
    <w:p w:rsidR="007E5BC6" w:rsidRPr="00446F65" w:rsidRDefault="00775DAE" w:rsidP="00317915">
      <w:pPr>
        <w:autoSpaceDE w:val="0"/>
        <w:autoSpaceDN w:val="0"/>
        <w:adjustRightInd w:val="0"/>
        <w:spacing w:after="0" w:line="240" w:lineRule="auto"/>
        <w:ind w:firstLine="720"/>
        <w:jc w:val="both"/>
        <w:rPr>
          <w:rFonts w:ascii="Times New Roman" w:hAnsi="Times New Roman" w:cs="Times New Roman"/>
          <w:bCs/>
          <w:sz w:val="26"/>
          <w:szCs w:val="26"/>
          <w:lang w:val="ro-MO"/>
        </w:rPr>
      </w:pPr>
      <w:r w:rsidRPr="00446F65">
        <w:rPr>
          <w:rFonts w:ascii="Times New Roman" w:hAnsi="Times New Roman" w:cs="Times New Roman"/>
          <w:bCs/>
          <w:sz w:val="26"/>
          <w:szCs w:val="26"/>
          <w:lang w:val="ro-MO"/>
        </w:rPr>
        <w:t>Serviciile de acces la Internet prin intermediul rețelelor fixe fără fir sunt furnizate prin</w:t>
      </w:r>
      <w:r w:rsidR="007E5BC6" w:rsidRPr="00446F65">
        <w:rPr>
          <w:rFonts w:ascii="Times New Roman" w:hAnsi="Times New Roman" w:cs="Times New Roman"/>
          <w:bCs/>
          <w:sz w:val="26"/>
          <w:szCs w:val="26"/>
          <w:lang w:val="ro-MO"/>
        </w:rPr>
        <w:t xml:space="preserve"> intermediul buclelor locale radio, ANRCETI consider</w:t>
      </w:r>
      <w:r w:rsidRPr="00446F65">
        <w:rPr>
          <w:rFonts w:ascii="Times New Roman" w:hAnsi="Times New Roman" w:cs="Times New Roman"/>
          <w:bCs/>
          <w:sz w:val="26"/>
          <w:szCs w:val="26"/>
          <w:lang w:val="ro-MO"/>
        </w:rPr>
        <w:t>ând</w:t>
      </w:r>
      <w:r w:rsidR="007E5BC6" w:rsidRPr="00446F65">
        <w:rPr>
          <w:rFonts w:ascii="Times New Roman" w:hAnsi="Times New Roman" w:cs="Times New Roman"/>
          <w:bCs/>
          <w:sz w:val="26"/>
          <w:szCs w:val="26"/>
          <w:lang w:val="ro-MO"/>
        </w:rPr>
        <w:t xml:space="preserve"> că acestea nu reprezintă pentru utilizatori un substituent eficient al produsului focal, deoarece aproape toate accesurile la rețea prin bucle radio se petrec prin rețea CDMA2000 1x, cu viteze de până la 153 Kbps, ceea ce este insuficient pentru o experiență de bandă largă. ANRCETI nu a identificat alte soluții de acces radio local care să poată fi utilizate de furnizori în cazul unui ipotetic SSNIP de către furnizorul ipotetic monopolist. </w:t>
      </w:r>
    </w:p>
    <w:p w:rsidR="007E5BC6" w:rsidRPr="00446F65" w:rsidRDefault="007E5BC6" w:rsidP="00317915">
      <w:pPr>
        <w:spacing w:after="0" w:line="240" w:lineRule="auto"/>
        <w:ind w:firstLine="720"/>
        <w:jc w:val="both"/>
        <w:rPr>
          <w:rFonts w:ascii="Times New Roman" w:eastAsia="Times New Roman" w:hAnsi="Times New Roman" w:cs="Times New Roman"/>
          <w:sz w:val="26"/>
          <w:szCs w:val="26"/>
          <w:lang w:val="ro-MO" w:eastAsia="ru-RU"/>
        </w:rPr>
      </w:pPr>
      <w:r w:rsidRPr="00446F65">
        <w:rPr>
          <w:rFonts w:ascii="Times New Roman" w:hAnsi="Times New Roman" w:cs="Times New Roman"/>
          <w:bCs/>
          <w:sz w:val="26"/>
          <w:szCs w:val="26"/>
          <w:lang w:val="ro-MO"/>
        </w:rPr>
        <w:t>Reţeaua de cablu (bazate pe infrastructura de cablu coaxial</w:t>
      </w:r>
      <w:r w:rsidR="0038065E" w:rsidRPr="00446F65">
        <w:rPr>
          <w:rFonts w:ascii="Times New Roman" w:hAnsi="Times New Roman" w:cs="Times New Roman"/>
          <w:bCs/>
          <w:sz w:val="26"/>
          <w:szCs w:val="26"/>
          <w:lang w:val="ro-MO"/>
        </w:rPr>
        <w:t xml:space="preserve"> - DOCSIS</w:t>
      </w:r>
      <w:r w:rsidRPr="00446F65">
        <w:rPr>
          <w:rFonts w:ascii="Times New Roman" w:hAnsi="Times New Roman" w:cs="Times New Roman"/>
          <w:bCs/>
          <w:sz w:val="26"/>
          <w:szCs w:val="26"/>
          <w:lang w:val="ro-MO"/>
        </w:rPr>
        <w:t>) a fost iniţial</w:t>
      </w:r>
      <w:r w:rsidRPr="00446F65">
        <w:rPr>
          <w:rFonts w:ascii="Times New Roman" w:eastAsia="Times New Roman" w:hAnsi="Times New Roman" w:cs="Times New Roman"/>
          <w:sz w:val="26"/>
          <w:szCs w:val="26"/>
          <w:lang w:val="ro-MO" w:eastAsia="ru-RU"/>
        </w:rPr>
        <w:t xml:space="preserve"> </w:t>
      </w:r>
      <w:r w:rsidR="0038065E" w:rsidRPr="00446F65">
        <w:rPr>
          <w:rFonts w:ascii="Times New Roman" w:eastAsia="Times New Roman" w:hAnsi="Times New Roman" w:cs="Times New Roman"/>
          <w:sz w:val="26"/>
          <w:szCs w:val="26"/>
          <w:lang w:val="ro-MO" w:eastAsia="ru-RU"/>
        </w:rPr>
        <w:t>dezvoltată</w:t>
      </w:r>
      <w:r w:rsidRPr="00446F65">
        <w:rPr>
          <w:rFonts w:ascii="Times New Roman" w:eastAsia="Times New Roman" w:hAnsi="Times New Roman" w:cs="Times New Roman"/>
          <w:sz w:val="26"/>
          <w:szCs w:val="26"/>
          <w:lang w:val="ro-MO" w:eastAsia="ru-RU"/>
        </w:rPr>
        <w:t xml:space="preserve"> de către furnizorii de cablu pentru distribuirea de conţinut de televiziune. Ulterior acestea au putut fi ajustate pentru a oferi abonaţilor acces la Internet în bandă largă. Pentru oferirea accesului la Internet în bandă largă, furnizorii folosesc canalele pentru organizarea legăturilor de date </w:t>
      </w:r>
      <w:r w:rsidRPr="00446F65">
        <w:rPr>
          <w:rFonts w:ascii="Times New Roman" w:eastAsia="Times New Roman" w:hAnsi="Times New Roman" w:cs="Times New Roman"/>
          <w:i/>
          <w:sz w:val="26"/>
          <w:szCs w:val="26"/>
          <w:lang w:val="ro-MO" w:eastAsia="ru-RU"/>
        </w:rPr>
        <w:t>uplink şi downlink,</w:t>
      </w:r>
      <w:r w:rsidRPr="00446F65">
        <w:rPr>
          <w:rFonts w:ascii="Times New Roman" w:eastAsia="Times New Roman" w:hAnsi="Times New Roman" w:cs="Times New Roman"/>
          <w:sz w:val="26"/>
          <w:szCs w:val="26"/>
          <w:lang w:val="ro-MO" w:eastAsia="ru-RU"/>
        </w:rPr>
        <w:t xml:space="preserve"> precum şi proceduri de </w:t>
      </w:r>
      <w:proofErr w:type="spellStart"/>
      <w:r w:rsidR="005E2281" w:rsidRPr="00446F65">
        <w:rPr>
          <w:rFonts w:ascii="Times New Roman" w:eastAsia="Times New Roman" w:hAnsi="Times New Roman" w:cs="Times New Roman"/>
          <w:i/>
          <w:sz w:val="26"/>
          <w:szCs w:val="26"/>
          <w:lang w:val="ro-MO" w:eastAsia="ru-RU"/>
        </w:rPr>
        <w:t>multi</w:t>
      </w:r>
      <w:proofErr w:type="spellEnd"/>
      <w:r w:rsidR="005E2281" w:rsidRPr="00446F65">
        <w:rPr>
          <w:rFonts w:ascii="Times New Roman" w:eastAsia="Times New Roman" w:hAnsi="Times New Roman" w:cs="Times New Roman"/>
          <w:sz w:val="26"/>
          <w:szCs w:val="26"/>
          <w:lang w:val="ro-MO" w:eastAsia="ru-RU"/>
        </w:rPr>
        <w:t xml:space="preserve"> </w:t>
      </w:r>
      <w:proofErr w:type="spellStart"/>
      <w:r w:rsidRPr="00446F65">
        <w:rPr>
          <w:rFonts w:ascii="Times New Roman" w:eastAsia="Times New Roman" w:hAnsi="Times New Roman" w:cs="Times New Roman"/>
          <w:i/>
          <w:sz w:val="26"/>
          <w:szCs w:val="26"/>
          <w:lang w:val="ro-MO" w:eastAsia="ru-RU"/>
        </w:rPr>
        <w:t>channel</w:t>
      </w:r>
      <w:proofErr w:type="spellEnd"/>
      <w:r w:rsidRPr="00446F65">
        <w:rPr>
          <w:rFonts w:ascii="Times New Roman" w:eastAsia="Times New Roman" w:hAnsi="Times New Roman" w:cs="Times New Roman"/>
          <w:i/>
          <w:sz w:val="26"/>
          <w:szCs w:val="26"/>
          <w:lang w:val="ro-MO" w:eastAsia="ru-RU"/>
        </w:rPr>
        <w:t xml:space="preserve"> </w:t>
      </w:r>
      <w:proofErr w:type="spellStart"/>
      <w:r w:rsidRPr="00446F65">
        <w:rPr>
          <w:rFonts w:ascii="Times New Roman" w:eastAsia="Times New Roman" w:hAnsi="Times New Roman" w:cs="Times New Roman"/>
          <w:i/>
          <w:sz w:val="26"/>
          <w:szCs w:val="26"/>
          <w:lang w:val="ro-MO" w:eastAsia="ru-RU"/>
        </w:rPr>
        <w:t>bonding</w:t>
      </w:r>
      <w:proofErr w:type="spellEnd"/>
      <w:r w:rsidRPr="00446F65">
        <w:rPr>
          <w:rFonts w:ascii="Times New Roman" w:eastAsia="Times New Roman" w:hAnsi="Times New Roman" w:cs="Times New Roman"/>
          <w:sz w:val="26"/>
          <w:szCs w:val="26"/>
          <w:lang w:val="ro-MO" w:eastAsia="ru-RU"/>
        </w:rPr>
        <w:t xml:space="preserve"> </w:t>
      </w:r>
      <w:r w:rsidR="00714F43" w:rsidRPr="00446F65">
        <w:rPr>
          <w:rFonts w:ascii="Times New Roman" w:eastAsia="Times New Roman" w:hAnsi="Times New Roman" w:cs="Times New Roman"/>
          <w:sz w:val="26"/>
          <w:szCs w:val="26"/>
          <w:lang w:val="ro-MO" w:eastAsia="ru-RU"/>
        </w:rPr>
        <w:t xml:space="preserve">(utilizarea simultană de canale multiple pentru </w:t>
      </w:r>
      <w:proofErr w:type="spellStart"/>
      <w:r w:rsidR="00714F43" w:rsidRPr="00446F65">
        <w:rPr>
          <w:rFonts w:ascii="Times New Roman" w:eastAsia="Times New Roman" w:hAnsi="Times New Roman" w:cs="Times New Roman"/>
          <w:i/>
          <w:sz w:val="26"/>
          <w:szCs w:val="26"/>
          <w:lang w:val="ro-MO" w:eastAsia="ru-RU"/>
        </w:rPr>
        <w:t>download</w:t>
      </w:r>
      <w:proofErr w:type="spellEnd"/>
      <w:r w:rsidR="00714F43" w:rsidRPr="00446F65">
        <w:rPr>
          <w:rFonts w:ascii="Times New Roman" w:eastAsia="Times New Roman" w:hAnsi="Times New Roman" w:cs="Times New Roman"/>
          <w:i/>
          <w:sz w:val="26"/>
          <w:szCs w:val="26"/>
          <w:lang w:val="ro-MO" w:eastAsia="ru-RU"/>
        </w:rPr>
        <w:t>/</w:t>
      </w:r>
      <w:proofErr w:type="spellStart"/>
      <w:r w:rsidR="00714F43" w:rsidRPr="00446F65">
        <w:rPr>
          <w:rFonts w:ascii="Times New Roman" w:eastAsia="Times New Roman" w:hAnsi="Times New Roman" w:cs="Times New Roman"/>
          <w:i/>
          <w:sz w:val="26"/>
          <w:szCs w:val="26"/>
          <w:lang w:val="ro-MO" w:eastAsia="ru-RU"/>
        </w:rPr>
        <w:t>upload</w:t>
      </w:r>
      <w:proofErr w:type="spellEnd"/>
      <w:r w:rsidR="00714F43" w:rsidRPr="00446F65">
        <w:rPr>
          <w:rFonts w:ascii="Times New Roman" w:eastAsia="Times New Roman" w:hAnsi="Times New Roman" w:cs="Times New Roman"/>
          <w:sz w:val="26"/>
          <w:szCs w:val="26"/>
          <w:lang w:val="ro-MO" w:eastAsia="ru-RU"/>
        </w:rPr>
        <w:t xml:space="preserve">) </w:t>
      </w:r>
      <w:r w:rsidRPr="00446F65">
        <w:rPr>
          <w:rFonts w:ascii="Times New Roman" w:eastAsia="Times New Roman" w:hAnsi="Times New Roman" w:cs="Times New Roman"/>
          <w:sz w:val="26"/>
          <w:szCs w:val="26"/>
          <w:lang w:val="ro-MO" w:eastAsia="ru-RU"/>
        </w:rPr>
        <w:t>pentru a asigura capacităţi mai mari de transmitere a datelor.</w:t>
      </w:r>
      <w:r w:rsidR="00714F43" w:rsidRPr="00446F65">
        <w:rPr>
          <w:rFonts w:ascii="Times New Roman" w:eastAsia="Times New Roman" w:hAnsi="Times New Roman" w:cs="Times New Roman"/>
          <w:sz w:val="26"/>
          <w:szCs w:val="26"/>
          <w:lang w:val="ro-MO" w:eastAsia="ru-RU"/>
        </w:rPr>
        <w:t xml:space="preserve"> Men</w:t>
      </w:r>
      <w:r w:rsidR="001D0C38" w:rsidRPr="00446F65">
        <w:rPr>
          <w:rFonts w:ascii="Times New Roman" w:eastAsia="Times New Roman" w:hAnsi="Times New Roman" w:cs="Times New Roman"/>
          <w:sz w:val="26"/>
          <w:szCs w:val="26"/>
          <w:lang w:val="ro-MO" w:eastAsia="ru-RU"/>
        </w:rPr>
        <w:t xml:space="preserve">ționăm că astfel de proceduri sunt utilizate începând cu standardul DOCSIS 3.0, tehnologie prin care sunt conectați 51,3% din abonați conform datelor prezentate de furnizori pe 2016, restul fiind conectați prin </w:t>
      </w:r>
      <w:r w:rsidR="0038065E" w:rsidRPr="00446F65">
        <w:rPr>
          <w:rFonts w:ascii="Times New Roman" w:eastAsia="Times New Roman" w:hAnsi="Times New Roman" w:cs="Times New Roman"/>
          <w:sz w:val="26"/>
          <w:szCs w:val="26"/>
          <w:lang w:val="ro-MO" w:eastAsia="ru-RU"/>
        </w:rPr>
        <w:t xml:space="preserve">tehnologiile </w:t>
      </w:r>
      <w:r w:rsidR="001D0C38" w:rsidRPr="00446F65">
        <w:rPr>
          <w:rFonts w:ascii="Times New Roman" w:eastAsia="Times New Roman" w:hAnsi="Times New Roman" w:cs="Times New Roman"/>
          <w:sz w:val="26"/>
          <w:szCs w:val="26"/>
          <w:lang w:val="ro-MO" w:eastAsia="ru-RU"/>
        </w:rPr>
        <w:t xml:space="preserve">DOCSIS 1.0 și </w:t>
      </w:r>
      <w:r w:rsidR="0038065E" w:rsidRPr="00446F65">
        <w:rPr>
          <w:rFonts w:ascii="Times New Roman" w:eastAsia="Times New Roman" w:hAnsi="Times New Roman" w:cs="Times New Roman"/>
          <w:sz w:val="26"/>
          <w:szCs w:val="26"/>
          <w:lang w:val="ro-MO" w:eastAsia="ru-RU"/>
        </w:rPr>
        <w:t xml:space="preserve">DOCSIS </w:t>
      </w:r>
      <w:r w:rsidR="001D0C38" w:rsidRPr="00446F65">
        <w:rPr>
          <w:rFonts w:ascii="Times New Roman" w:eastAsia="Times New Roman" w:hAnsi="Times New Roman" w:cs="Times New Roman"/>
          <w:sz w:val="26"/>
          <w:szCs w:val="26"/>
          <w:lang w:val="ro-MO" w:eastAsia="ru-RU"/>
        </w:rPr>
        <w:t>2.0.</w:t>
      </w:r>
      <w:r w:rsidRPr="00446F65">
        <w:rPr>
          <w:rFonts w:ascii="Times New Roman" w:eastAsia="Times New Roman" w:hAnsi="Times New Roman" w:cs="Times New Roman"/>
          <w:sz w:val="26"/>
          <w:szCs w:val="26"/>
          <w:lang w:val="ro-MO" w:eastAsia="ru-RU"/>
        </w:rPr>
        <w:t xml:space="preserve"> </w:t>
      </w:r>
    </w:p>
    <w:p w:rsidR="007E5BC6" w:rsidRPr="00446F65" w:rsidRDefault="00AD3972" w:rsidP="00317915">
      <w:pPr>
        <w:autoSpaceDE w:val="0"/>
        <w:autoSpaceDN w:val="0"/>
        <w:adjustRightInd w:val="0"/>
        <w:spacing w:after="0" w:line="240" w:lineRule="auto"/>
        <w:ind w:firstLine="720"/>
        <w:jc w:val="both"/>
        <w:rPr>
          <w:rFonts w:ascii="Times New Roman" w:eastAsia="Times New Roman" w:hAnsi="Times New Roman" w:cs="Times New Roman"/>
          <w:sz w:val="26"/>
          <w:szCs w:val="26"/>
          <w:lang w:val="ro-MO" w:eastAsia="ru-RU"/>
        </w:rPr>
      </w:pPr>
      <w:r w:rsidRPr="00446F65">
        <w:rPr>
          <w:rFonts w:ascii="Times New Roman" w:eastAsia="Times New Roman" w:hAnsi="Times New Roman" w:cs="Times New Roman"/>
          <w:sz w:val="26"/>
          <w:szCs w:val="26"/>
          <w:lang w:val="ro-MO" w:eastAsia="ru-RU"/>
        </w:rPr>
        <w:t>Totodată, p</w:t>
      </w:r>
      <w:r w:rsidR="007E5BC6" w:rsidRPr="00446F65">
        <w:rPr>
          <w:rFonts w:ascii="Times New Roman" w:eastAsia="Times New Roman" w:hAnsi="Times New Roman" w:cs="Times New Roman"/>
          <w:sz w:val="26"/>
          <w:szCs w:val="26"/>
          <w:lang w:val="ro-MO" w:eastAsia="ru-RU"/>
        </w:rPr>
        <w:t xml:space="preserve">e fiecare trunchi al reţelei de acces bazate pe tehnologii de cablu coaxial, capacităţile reţelei de acces sunt împărţite între toţi abonaţii din zona respectivă. Aceasta reprezintă o diferență esențială a topologiei rețelei bazate pe cablu coaxial față de o rețea </w:t>
      </w:r>
      <w:r w:rsidRPr="00446F65">
        <w:rPr>
          <w:rFonts w:ascii="Times New Roman" w:eastAsia="Times New Roman" w:hAnsi="Times New Roman" w:cs="Times New Roman"/>
          <w:sz w:val="26"/>
          <w:szCs w:val="26"/>
          <w:lang w:val="ro-MO" w:eastAsia="ru-RU"/>
        </w:rPr>
        <w:t>x</w:t>
      </w:r>
      <w:r w:rsidR="007E5BC6" w:rsidRPr="00446F65">
        <w:rPr>
          <w:rFonts w:ascii="Times New Roman" w:eastAsia="Times New Roman" w:hAnsi="Times New Roman" w:cs="Times New Roman"/>
          <w:sz w:val="26"/>
          <w:szCs w:val="26"/>
          <w:lang w:val="ro-MO" w:eastAsia="ru-RU"/>
        </w:rPr>
        <w:t xml:space="preserve">DSL sau FTTx, unde fiecare utilizator beneficiază de unul singur de capacitatea de transfer de date oferită de bucla locală. Astfel, la creșterea numărului de utilizatori ai rețelei coaxiale pe același </w:t>
      </w:r>
      <w:r w:rsidR="007E5BC6" w:rsidRPr="00446F65">
        <w:rPr>
          <w:rFonts w:ascii="Times New Roman" w:eastAsia="Times New Roman" w:hAnsi="Times New Roman" w:cs="Times New Roman"/>
          <w:sz w:val="26"/>
          <w:szCs w:val="26"/>
          <w:lang w:val="ro-MO" w:eastAsia="ru-RU"/>
        </w:rPr>
        <w:lastRenderedPageBreak/>
        <w:t>trunchi, furnizorul se poate confrunta cu deficit de capacitate</w:t>
      </w:r>
      <w:r w:rsidR="00841168" w:rsidRPr="00446F65">
        <w:rPr>
          <w:rFonts w:ascii="Times New Roman" w:eastAsia="Times New Roman" w:hAnsi="Times New Roman" w:cs="Times New Roman"/>
          <w:sz w:val="26"/>
          <w:szCs w:val="26"/>
          <w:lang w:val="ro-MO" w:eastAsia="ru-RU"/>
        </w:rPr>
        <w:t xml:space="preserve">, pentru </w:t>
      </w:r>
      <w:r w:rsidR="007E5BC6" w:rsidRPr="00446F65">
        <w:rPr>
          <w:rFonts w:ascii="Times New Roman" w:eastAsia="Times New Roman" w:hAnsi="Times New Roman" w:cs="Times New Roman"/>
          <w:sz w:val="26"/>
          <w:szCs w:val="26"/>
          <w:lang w:val="ro-MO" w:eastAsia="ru-RU"/>
        </w:rPr>
        <w:t xml:space="preserve">depășirea </w:t>
      </w:r>
      <w:r w:rsidR="00841168" w:rsidRPr="00446F65">
        <w:rPr>
          <w:rFonts w:ascii="Times New Roman" w:eastAsia="Times New Roman" w:hAnsi="Times New Roman" w:cs="Times New Roman"/>
          <w:sz w:val="26"/>
          <w:szCs w:val="26"/>
          <w:lang w:val="ro-MO" w:eastAsia="ru-RU"/>
        </w:rPr>
        <w:t>căruia</w:t>
      </w:r>
      <w:r w:rsidR="007E5BC6" w:rsidRPr="00446F65">
        <w:rPr>
          <w:rFonts w:ascii="Times New Roman" w:eastAsia="Times New Roman" w:hAnsi="Times New Roman" w:cs="Times New Roman"/>
          <w:sz w:val="26"/>
          <w:szCs w:val="26"/>
          <w:lang w:val="ro-MO" w:eastAsia="ru-RU"/>
        </w:rPr>
        <w:t>, furnizorii de rețele coaxiale trebuie să implementeze soluții HFC (</w:t>
      </w:r>
      <w:proofErr w:type="spellStart"/>
      <w:r w:rsidR="007E5BC6" w:rsidRPr="00446F65">
        <w:rPr>
          <w:rFonts w:ascii="Times New Roman" w:eastAsia="Times New Roman" w:hAnsi="Times New Roman" w:cs="Times New Roman"/>
          <w:i/>
          <w:sz w:val="26"/>
          <w:szCs w:val="26"/>
          <w:lang w:val="ro-MO" w:eastAsia="ru-RU"/>
        </w:rPr>
        <w:t>Hybrid</w:t>
      </w:r>
      <w:proofErr w:type="spellEnd"/>
      <w:r w:rsidR="007E5BC6" w:rsidRPr="00446F65">
        <w:rPr>
          <w:rFonts w:ascii="Times New Roman" w:eastAsia="Times New Roman" w:hAnsi="Times New Roman" w:cs="Times New Roman"/>
          <w:i/>
          <w:sz w:val="26"/>
          <w:szCs w:val="26"/>
          <w:lang w:val="ro-MO" w:eastAsia="ru-RU"/>
        </w:rPr>
        <w:t xml:space="preserve"> </w:t>
      </w:r>
      <w:proofErr w:type="spellStart"/>
      <w:r w:rsidR="007E5BC6" w:rsidRPr="00446F65">
        <w:rPr>
          <w:rFonts w:ascii="Times New Roman" w:eastAsia="Times New Roman" w:hAnsi="Times New Roman" w:cs="Times New Roman"/>
          <w:i/>
          <w:sz w:val="26"/>
          <w:szCs w:val="26"/>
          <w:lang w:val="ro-MO" w:eastAsia="ru-RU"/>
        </w:rPr>
        <w:t>Fiber-Coaxial</w:t>
      </w:r>
      <w:proofErr w:type="spellEnd"/>
      <w:r w:rsidR="007E5BC6" w:rsidRPr="00446F65">
        <w:rPr>
          <w:rFonts w:ascii="Times New Roman" w:eastAsia="Times New Roman" w:hAnsi="Times New Roman" w:cs="Times New Roman"/>
          <w:sz w:val="26"/>
          <w:szCs w:val="26"/>
          <w:lang w:val="ro-MO" w:eastAsia="ru-RU"/>
        </w:rPr>
        <w:t>)</w:t>
      </w:r>
      <w:r w:rsidR="00841168" w:rsidRPr="00446F65">
        <w:rPr>
          <w:rFonts w:ascii="Times New Roman" w:eastAsia="Times New Roman" w:hAnsi="Times New Roman" w:cs="Times New Roman"/>
          <w:sz w:val="26"/>
          <w:szCs w:val="26"/>
          <w:lang w:val="ro-MO" w:eastAsia="ru-RU"/>
        </w:rPr>
        <w:t>. Implementarea unor astfel de soluții</w:t>
      </w:r>
      <w:r w:rsidR="007E5BC6" w:rsidRPr="00446F65">
        <w:rPr>
          <w:rFonts w:ascii="Times New Roman" w:eastAsia="Times New Roman" w:hAnsi="Times New Roman" w:cs="Times New Roman"/>
          <w:sz w:val="26"/>
          <w:szCs w:val="26"/>
          <w:lang w:val="ro-MO" w:eastAsia="ru-RU"/>
        </w:rPr>
        <w:t xml:space="preserve"> presupune investiții semnificative în rețele optice pentru înlocuirea segmentelor de cablu coaxial magistral și modificări masive în rețeaua de acces. Poate fi necesară modernizarea sau înlocuirea stației centrale (</w:t>
      </w:r>
      <w:proofErr w:type="spellStart"/>
      <w:r w:rsidR="007E5BC6" w:rsidRPr="00446F65">
        <w:rPr>
          <w:rFonts w:ascii="Times New Roman" w:eastAsia="Times New Roman" w:hAnsi="Times New Roman" w:cs="Times New Roman"/>
          <w:i/>
          <w:sz w:val="26"/>
          <w:szCs w:val="26"/>
          <w:lang w:val="ro-MO" w:eastAsia="ru-RU"/>
        </w:rPr>
        <w:t>headend</w:t>
      </w:r>
      <w:proofErr w:type="spellEnd"/>
      <w:r w:rsidR="007E5BC6" w:rsidRPr="00446F65">
        <w:rPr>
          <w:rFonts w:ascii="Times New Roman" w:eastAsia="Times New Roman" w:hAnsi="Times New Roman" w:cs="Times New Roman"/>
          <w:sz w:val="26"/>
          <w:szCs w:val="26"/>
          <w:lang w:val="ro-MO" w:eastAsia="ru-RU"/>
        </w:rPr>
        <w:t>), precum şi poate fi necesară modernizarea reţelei de acces pentru a suporta comunicaţii bidirecţionale, spre deosebire de comunicaţiile unidirecţionale specifice sistemelor tradiţionale de televiziune prin cablu.</w:t>
      </w:r>
    </w:p>
    <w:p w:rsidR="007E5BC6" w:rsidRPr="00446F65" w:rsidRDefault="007E5BC6" w:rsidP="00317915">
      <w:pPr>
        <w:autoSpaceDE w:val="0"/>
        <w:autoSpaceDN w:val="0"/>
        <w:adjustRightInd w:val="0"/>
        <w:spacing w:after="0" w:line="240" w:lineRule="auto"/>
        <w:ind w:firstLine="720"/>
        <w:jc w:val="both"/>
        <w:rPr>
          <w:rFonts w:ascii="Times New Roman" w:eastAsia="Times New Roman" w:hAnsi="Times New Roman" w:cs="Times New Roman"/>
          <w:sz w:val="26"/>
          <w:szCs w:val="26"/>
          <w:lang w:val="ro-MO" w:eastAsia="ru-RU"/>
        </w:rPr>
      </w:pPr>
      <w:r w:rsidRPr="00446F65">
        <w:rPr>
          <w:rFonts w:ascii="Times New Roman" w:eastAsia="Times New Roman" w:hAnsi="Times New Roman" w:cs="Times New Roman"/>
          <w:sz w:val="26"/>
          <w:szCs w:val="26"/>
          <w:lang w:val="ro-MO" w:eastAsia="ru-RU"/>
        </w:rPr>
        <w:t xml:space="preserve">Pentru a asigura furnizarea conexiunilor de date prin intermediul reţelei </w:t>
      </w:r>
      <w:r w:rsidR="006261DA" w:rsidRPr="00446F65">
        <w:rPr>
          <w:rFonts w:ascii="Times New Roman" w:eastAsia="Times New Roman" w:hAnsi="Times New Roman" w:cs="Times New Roman"/>
          <w:sz w:val="26"/>
          <w:szCs w:val="26"/>
          <w:lang w:val="ro-MO" w:eastAsia="ru-RU"/>
        </w:rPr>
        <w:t xml:space="preserve">de cablu </w:t>
      </w:r>
      <w:r w:rsidRPr="00446F65">
        <w:rPr>
          <w:rFonts w:ascii="Times New Roman" w:eastAsia="Times New Roman" w:hAnsi="Times New Roman" w:cs="Times New Roman"/>
          <w:sz w:val="26"/>
          <w:szCs w:val="26"/>
          <w:lang w:val="ro-MO" w:eastAsia="ru-RU"/>
        </w:rPr>
        <w:t>coaxial, un furnizor de astfel de rețea urmează să instaleze echipamente CMTS (</w:t>
      </w:r>
      <w:proofErr w:type="spellStart"/>
      <w:r w:rsidRPr="00446F65">
        <w:rPr>
          <w:rFonts w:ascii="Times New Roman" w:eastAsia="Times New Roman" w:hAnsi="Times New Roman" w:cs="Times New Roman"/>
          <w:i/>
          <w:sz w:val="26"/>
          <w:szCs w:val="26"/>
          <w:lang w:val="ro-MO" w:eastAsia="ru-RU"/>
        </w:rPr>
        <w:t>Cable</w:t>
      </w:r>
      <w:proofErr w:type="spellEnd"/>
      <w:r w:rsidRPr="00446F65">
        <w:rPr>
          <w:rFonts w:ascii="Times New Roman" w:eastAsia="Times New Roman" w:hAnsi="Times New Roman" w:cs="Times New Roman"/>
          <w:i/>
          <w:sz w:val="26"/>
          <w:szCs w:val="26"/>
          <w:lang w:val="ro-MO" w:eastAsia="ru-RU"/>
        </w:rPr>
        <w:t xml:space="preserve"> Modem </w:t>
      </w:r>
      <w:proofErr w:type="spellStart"/>
      <w:r w:rsidRPr="00446F65">
        <w:rPr>
          <w:rFonts w:ascii="Times New Roman" w:eastAsia="Times New Roman" w:hAnsi="Times New Roman" w:cs="Times New Roman"/>
          <w:i/>
          <w:sz w:val="26"/>
          <w:szCs w:val="26"/>
          <w:lang w:val="ro-MO" w:eastAsia="ru-RU"/>
        </w:rPr>
        <w:t>Termination</w:t>
      </w:r>
      <w:proofErr w:type="spellEnd"/>
      <w:r w:rsidRPr="00446F65">
        <w:rPr>
          <w:rFonts w:ascii="Times New Roman" w:eastAsia="Times New Roman" w:hAnsi="Times New Roman" w:cs="Times New Roman"/>
          <w:i/>
          <w:sz w:val="26"/>
          <w:szCs w:val="26"/>
          <w:lang w:val="ro-MO" w:eastAsia="ru-RU"/>
        </w:rPr>
        <w:t xml:space="preserve"> </w:t>
      </w:r>
      <w:proofErr w:type="spellStart"/>
      <w:r w:rsidRPr="00446F65">
        <w:rPr>
          <w:rFonts w:ascii="Times New Roman" w:eastAsia="Times New Roman" w:hAnsi="Times New Roman" w:cs="Times New Roman"/>
          <w:i/>
          <w:sz w:val="26"/>
          <w:szCs w:val="26"/>
          <w:lang w:val="ro-MO" w:eastAsia="ru-RU"/>
        </w:rPr>
        <w:t>System</w:t>
      </w:r>
      <w:proofErr w:type="spellEnd"/>
      <w:r w:rsidRPr="00446F65">
        <w:rPr>
          <w:rFonts w:ascii="Times New Roman" w:eastAsia="Times New Roman" w:hAnsi="Times New Roman" w:cs="Times New Roman"/>
          <w:sz w:val="26"/>
          <w:szCs w:val="26"/>
          <w:lang w:val="ro-MO" w:eastAsia="ru-RU"/>
        </w:rPr>
        <w:t xml:space="preserve">), care au costuri inițiale per abonat în reţea semnificative. Spre deosebire de aceștia, furnizorii prin ADSL sau FTTx au mai multe posibilităţi să investească în capacitățile echipamentelor treptat, odată cu creșterea cererii la servicii </w:t>
      </w:r>
      <w:r w:rsidR="006261DA" w:rsidRPr="00446F65">
        <w:rPr>
          <w:rFonts w:ascii="Times New Roman" w:eastAsia="Times New Roman" w:hAnsi="Times New Roman" w:cs="Times New Roman"/>
          <w:sz w:val="26"/>
          <w:szCs w:val="26"/>
          <w:lang w:val="ro-MO" w:eastAsia="ru-RU"/>
        </w:rPr>
        <w:t>în</w:t>
      </w:r>
      <w:r w:rsidRPr="00446F65">
        <w:rPr>
          <w:rFonts w:ascii="Times New Roman" w:eastAsia="Times New Roman" w:hAnsi="Times New Roman" w:cs="Times New Roman"/>
          <w:sz w:val="26"/>
          <w:szCs w:val="26"/>
          <w:lang w:val="ro-MO" w:eastAsia="ru-RU"/>
        </w:rPr>
        <w:t xml:space="preserve"> bandă largă. </w:t>
      </w:r>
    </w:p>
    <w:p w:rsidR="007E5BC6" w:rsidRPr="00446F65" w:rsidRDefault="007E5BC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Este de notat că dispersia abonaților la rețele de cablu coaxial este foarte mare (1</w:t>
      </w:r>
      <w:r w:rsidR="00E75248" w:rsidRPr="00446F65">
        <w:rPr>
          <w:rFonts w:ascii="Times New Roman" w:hAnsi="Times New Roman" w:cs="Times New Roman"/>
          <w:sz w:val="26"/>
          <w:szCs w:val="26"/>
          <w:lang w:val="ro-MO"/>
        </w:rPr>
        <w:t>08</w:t>
      </w:r>
      <w:r w:rsidRPr="00446F65">
        <w:rPr>
          <w:rFonts w:ascii="Times New Roman" w:hAnsi="Times New Roman" w:cs="Times New Roman"/>
          <w:sz w:val="26"/>
          <w:szCs w:val="26"/>
          <w:lang w:val="ro-MO"/>
        </w:rPr>
        <w:t xml:space="preserve"> furnizori de rețele de cablu), iar numărul mediu al abonaților furnizorilor de rețele de cablu TV este destul de mic (în mediu câte </w:t>
      </w:r>
      <w:r w:rsidR="00E75248" w:rsidRPr="00446F65">
        <w:rPr>
          <w:rFonts w:ascii="Times New Roman" w:hAnsi="Times New Roman" w:cs="Times New Roman"/>
          <w:sz w:val="26"/>
          <w:szCs w:val="26"/>
          <w:lang w:val="ro-MO"/>
        </w:rPr>
        <w:t>2,5</w:t>
      </w:r>
      <w:r w:rsidRPr="00446F65">
        <w:rPr>
          <w:rFonts w:ascii="Times New Roman" w:hAnsi="Times New Roman" w:cs="Times New Roman"/>
          <w:sz w:val="26"/>
          <w:szCs w:val="26"/>
          <w:lang w:val="ro-MO"/>
        </w:rPr>
        <w:t xml:space="preserve"> mii abonați per furnizor). Dispersia dată a dus ANRCETI la concluzia că furnizorii de reţele prin cablu sunt foarte mici pentru a putea investi în modernizarea reţelelor lor pentru furnizare</w:t>
      </w:r>
      <w:r w:rsidR="006261DA" w:rsidRPr="00446F65">
        <w:rPr>
          <w:rFonts w:ascii="Times New Roman" w:hAnsi="Times New Roman" w:cs="Times New Roman"/>
          <w:sz w:val="26"/>
          <w:szCs w:val="26"/>
          <w:lang w:val="ro-MO"/>
        </w:rPr>
        <w:t>a serviciilor</w:t>
      </w:r>
      <w:r w:rsidRPr="00446F65">
        <w:rPr>
          <w:rFonts w:ascii="Times New Roman" w:hAnsi="Times New Roman" w:cs="Times New Roman"/>
          <w:sz w:val="26"/>
          <w:szCs w:val="26"/>
          <w:lang w:val="ro-MO"/>
        </w:rPr>
        <w:t xml:space="preserve"> în bandă largă şi de a se bucura de efecte de economii de scară care să le plaseze costurile medii la nivelul celor realizate îndeosebi prin tehnologia ADSL.</w:t>
      </w:r>
    </w:p>
    <w:p w:rsidR="007E5BC6" w:rsidRPr="00446F65" w:rsidRDefault="007E5BC6" w:rsidP="00317915">
      <w:pPr>
        <w:spacing w:after="0" w:line="240" w:lineRule="auto"/>
        <w:ind w:firstLine="720"/>
        <w:jc w:val="both"/>
        <w:rPr>
          <w:rFonts w:ascii="Times New Roman" w:eastAsia="Times New Roman" w:hAnsi="Times New Roman" w:cs="Times New Roman"/>
          <w:sz w:val="26"/>
          <w:szCs w:val="26"/>
          <w:lang w:val="ro-MO" w:eastAsia="ru-RU"/>
        </w:rPr>
      </w:pPr>
      <w:r w:rsidRPr="00446F65">
        <w:rPr>
          <w:rFonts w:ascii="Times New Roman" w:eastAsia="Times New Roman" w:hAnsi="Times New Roman" w:cs="Times New Roman"/>
          <w:sz w:val="26"/>
          <w:szCs w:val="26"/>
          <w:lang w:val="ro-MO" w:eastAsia="ru-RU"/>
        </w:rPr>
        <w:t>Acești factori reprezintă bariere semnificative pentru furnizorii de rețele prin cablu coaxial, astfel încât o creștere mică dar suficientă și netranzitorie a prețului la produsul focal de către furnizorul ipotetic monopolist nu ar determina furnizorii de cablu să efectueze investițiile necesare pentru a oferi servicii alternative</w:t>
      </w:r>
      <w:r w:rsidR="00ED3922" w:rsidRPr="00446F65">
        <w:rPr>
          <w:rFonts w:ascii="Times New Roman" w:eastAsia="Times New Roman" w:hAnsi="Times New Roman" w:cs="Times New Roman"/>
          <w:sz w:val="26"/>
          <w:szCs w:val="26"/>
          <w:lang w:val="ro-MO" w:eastAsia="ru-RU"/>
        </w:rPr>
        <w:t>, cel puțin în orizontul de timp prevăzut de prezenta analiză</w:t>
      </w:r>
      <w:r w:rsidRPr="00446F65">
        <w:rPr>
          <w:rFonts w:ascii="Times New Roman" w:eastAsia="Times New Roman" w:hAnsi="Times New Roman" w:cs="Times New Roman"/>
          <w:sz w:val="26"/>
          <w:szCs w:val="26"/>
          <w:lang w:val="ro-MO" w:eastAsia="ru-RU"/>
        </w:rPr>
        <w:t xml:space="preserve">. </w:t>
      </w:r>
    </w:p>
    <w:p w:rsidR="0054285C" w:rsidRPr="00446F65" w:rsidRDefault="007E5BC6" w:rsidP="00317915">
      <w:pPr>
        <w:spacing w:after="0" w:line="240" w:lineRule="auto"/>
        <w:ind w:firstLine="720"/>
        <w:jc w:val="both"/>
        <w:rPr>
          <w:rFonts w:ascii="Times New Roman" w:eastAsia="Times New Roman" w:hAnsi="Times New Roman" w:cs="Times New Roman"/>
          <w:sz w:val="26"/>
          <w:szCs w:val="26"/>
          <w:lang w:val="ro-MO" w:eastAsia="ru-RU"/>
        </w:rPr>
      </w:pPr>
      <w:r w:rsidRPr="00446F65">
        <w:rPr>
          <w:rFonts w:ascii="Times New Roman" w:eastAsia="Times New Roman" w:hAnsi="Times New Roman" w:cs="Times New Roman"/>
          <w:sz w:val="26"/>
          <w:szCs w:val="26"/>
          <w:lang w:val="ro-MO" w:eastAsia="ru-RU"/>
        </w:rPr>
        <w:t xml:space="preserve">Prin urmare, ANRCETI este de părere că </w:t>
      </w:r>
      <w:r w:rsidR="00ED3922" w:rsidRPr="00446F65">
        <w:rPr>
          <w:rFonts w:ascii="Times New Roman" w:eastAsia="Times New Roman" w:hAnsi="Times New Roman" w:cs="Times New Roman"/>
          <w:sz w:val="26"/>
          <w:szCs w:val="26"/>
          <w:lang w:val="ro-MO" w:eastAsia="ru-RU"/>
        </w:rPr>
        <w:t>furnizarea serviciilor de acces în bandă largă utilizând</w:t>
      </w:r>
      <w:r w:rsidRPr="00446F65">
        <w:rPr>
          <w:rFonts w:ascii="Times New Roman" w:eastAsia="Times New Roman" w:hAnsi="Times New Roman" w:cs="Times New Roman"/>
          <w:sz w:val="26"/>
          <w:szCs w:val="26"/>
          <w:lang w:val="ro-MO" w:eastAsia="ru-RU"/>
        </w:rPr>
        <w:t xml:space="preserve"> infrastructura de cablu</w:t>
      </w:r>
      <w:r w:rsidR="00ED3922" w:rsidRPr="00446F65">
        <w:rPr>
          <w:rFonts w:ascii="Times New Roman" w:eastAsia="Times New Roman" w:hAnsi="Times New Roman" w:cs="Times New Roman"/>
          <w:sz w:val="26"/>
          <w:szCs w:val="26"/>
          <w:lang w:val="ro-MO" w:eastAsia="ru-RU"/>
        </w:rPr>
        <w:t xml:space="preserve"> coaxial</w:t>
      </w:r>
      <w:r w:rsidRPr="00446F65">
        <w:rPr>
          <w:rFonts w:ascii="Times New Roman" w:eastAsia="Times New Roman" w:hAnsi="Times New Roman" w:cs="Times New Roman"/>
          <w:sz w:val="26"/>
          <w:szCs w:val="26"/>
          <w:lang w:val="ro-MO" w:eastAsia="ru-RU"/>
        </w:rPr>
        <w:t xml:space="preserve"> nu reprezintă un substituent pe măsură pentru produsul focal determinat şi nu nimerește în piața relevantă a produsului.</w:t>
      </w:r>
      <w:r w:rsidR="0054285C" w:rsidRPr="00446F65">
        <w:rPr>
          <w:rFonts w:ascii="Times New Roman" w:eastAsia="Times New Roman" w:hAnsi="Times New Roman" w:cs="Times New Roman"/>
          <w:sz w:val="26"/>
          <w:szCs w:val="26"/>
          <w:lang w:val="ro-MO" w:eastAsia="ru-RU"/>
        </w:rPr>
        <w:t xml:space="preserve"> </w:t>
      </w:r>
    </w:p>
    <w:p w:rsidR="0054285C" w:rsidRPr="00446F65" w:rsidRDefault="0054285C" w:rsidP="00317915">
      <w:pPr>
        <w:spacing w:after="0" w:line="240" w:lineRule="auto"/>
        <w:ind w:firstLine="720"/>
        <w:jc w:val="both"/>
        <w:rPr>
          <w:rFonts w:ascii="Times New Roman" w:eastAsia="Times New Roman" w:hAnsi="Times New Roman" w:cs="Times New Roman"/>
          <w:sz w:val="26"/>
          <w:szCs w:val="26"/>
          <w:lang w:val="ro-MO" w:eastAsia="ru-RU"/>
        </w:rPr>
      </w:pPr>
      <w:r w:rsidRPr="00446F65">
        <w:rPr>
          <w:rFonts w:ascii="Times New Roman" w:eastAsia="Times New Roman" w:hAnsi="Times New Roman" w:cs="Times New Roman"/>
          <w:sz w:val="26"/>
          <w:szCs w:val="26"/>
          <w:lang w:val="ro-MO" w:eastAsia="ru-RU"/>
        </w:rPr>
        <w:t>Prin substituent pe măsură, ANRCETI înţelege un substituent care să producă suficientă presiune competitivă asupra produsului focal, astfel încât o creştere mică dar suficientă şi netranzitorie a preţului la produsul focal să genereze o substituţie a produsului focal prin produsul candidat suficient de mare pentru ca creşterea preţului să nu asigure creştere de profit furnizorului ipotetic monopolist.</w:t>
      </w:r>
    </w:p>
    <w:p w:rsidR="0054285C" w:rsidRPr="00446F65" w:rsidRDefault="00ED3922" w:rsidP="00317915">
      <w:pPr>
        <w:spacing w:after="0" w:line="240" w:lineRule="auto"/>
        <w:ind w:firstLine="720"/>
        <w:jc w:val="both"/>
        <w:rPr>
          <w:rFonts w:ascii="Times New Roman" w:eastAsia="Times New Roman" w:hAnsi="Times New Roman" w:cs="Times New Roman"/>
          <w:sz w:val="26"/>
          <w:szCs w:val="26"/>
          <w:lang w:val="ro-MO" w:eastAsia="ru-RU"/>
        </w:rPr>
      </w:pPr>
      <w:r w:rsidRPr="00446F65">
        <w:rPr>
          <w:rFonts w:ascii="Times New Roman" w:eastAsia="Times New Roman" w:hAnsi="Times New Roman" w:cs="Times New Roman"/>
          <w:sz w:val="26"/>
          <w:szCs w:val="26"/>
          <w:lang w:val="ro-MO" w:eastAsia="ru-RU"/>
        </w:rPr>
        <w:t xml:space="preserve">Cu toate că în viitor ar putea exista premise pentru ca inclusiv accesul </w:t>
      </w:r>
      <w:r w:rsidR="006261DA" w:rsidRPr="00446F65">
        <w:rPr>
          <w:rFonts w:ascii="Times New Roman" w:eastAsia="Times New Roman" w:hAnsi="Times New Roman" w:cs="Times New Roman"/>
          <w:sz w:val="26"/>
          <w:szCs w:val="26"/>
          <w:lang w:val="ro-MO" w:eastAsia="ru-RU"/>
        </w:rPr>
        <w:t>în</w:t>
      </w:r>
      <w:r w:rsidR="00021362" w:rsidRPr="00446F65">
        <w:rPr>
          <w:rFonts w:ascii="Times New Roman" w:eastAsia="Times New Roman" w:hAnsi="Times New Roman" w:cs="Times New Roman"/>
          <w:sz w:val="26"/>
          <w:szCs w:val="26"/>
          <w:lang w:val="ro-MO" w:eastAsia="ru-RU"/>
        </w:rPr>
        <w:t xml:space="preserve"> bandă largă</w:t>
      </w:r>
      <w:r w:rsidRPr="00446F65">
        <w:rPr>
          <w:rFonts w:ascii="Times New Roman" w:eastAsia="Times New Roman" w:hAnsi="Times New Roman" w:cs="Times New Roman"/>
          <w:sz w:val="26"/>
          <w:szCs w:val="26"/>
          <w:lang w:val="ro-MO" w:eastAsia="ru-RU"/>
        </w:rPr>
        <w:t xml:space="preserve"> prin intermediul acestei tehnologii să cunoască o dezvoltare importantă, în orizontul de timp al analizei ANRCETI nu consideră că nivelul de substituibilitate cu celelalte tehnologii este suficient pentru a concluziona că serviciul de bandă largă furnizat prin cablu coaxial face parte din aceeaşi piaţă cu serviciile </w:t>
      </w:r>
      <w:r w:rsidR="006261DA" w:rsidRPr="00446F65">
        <w:rPr>
          <w:rFonts w:ascii="Times New Roman" w:eastAsia="Times New Roman" w:hAnsi="Times New Roman" w:cs="Times New Roman"/>
          <w:sz w:val="26"/>
          <w:szCs w:val="26"/>
          <w:lang w:val="ro-MO" w:eastAsia="ru-RU"/>
        </w:rPr>
        <w:t>în</w:t>
      </w:r>
      <w:r w:rsidRPr="00446F65">
        <w:rPr>
          <w:rFonts w:ascii="Times New Roman" w:eastAsia="Times New Roman" w:hAnsi="Times New Roman" w:cs="Times New Roman"/>
          <w:sz w:val="26"/>
          <w:szCs w:val="26"/>
          <w:lang w:val="ro-MO" w:eastAsia="ru-RU"/>
        </w:rPr>
        <w:t xml:space="preserve"> bandă largă furnizate prin intermediul tehnologiilor xDSL și FTTx</w:t>
      </w:r>
      <w:r w:rsidR="00021362" w:rsidRPr="00446F65">
        <w:rPr>
          <w:rFonts w:ascii="Times New Roman" w:eastAsia="Times New Roman" w:hAnsi="Times New Roman" w:cs="Times New Roman"/>
          <w:sz w:val="26"/>
          <w:szCs w:val="26"/>
          <w:lang w:val="ro-MO" w:eastAsia="ru-RU"/>
        </w:rPr>
        <w:t>.</w:t>
      </w:r>
      <w:r w:rsidRPr="00446F65">
        <w:rPr>
          <w:rFonts w:ascii="Times New Roman" w:eastAsia="Times New Roman" w:hAnsi="Times New Roman" w:cs="Times New Roman"/>
          <w:sz w:val="26"/>
          <w:szCs w:val="26"/>
          <w:lang w:val="ro-MO" w:eastAsia="ru-RU"/>
        </w:rPr>
        <w:t xml:space="preserve"> </w:t>
      </w:r>
    </w:p>
    <w:p w:rsidR="0054285C" w:rsidRPr="00446F65" w:rsidRDefault="0054285C" w:rsidP="00317915">
      <w:pPr>
        <w:spacing w:after="0" w:line="240" w:lineRule="auto"/>
        <w:ind w:firstLine="720"/>
        <w:jc w:val="both"/>
        <w:rPr>
          <w:rFonts w:ascii="Times New Roman" w:eastAsia="Times New Roman" w:hAnsi="Times New Roman" w:cs="Times New Roman"/>
          <w:sz w:val="26"/>
          <w:szCs w:val="26"/>
          <w:lang w:val="ro-MO" w:eastAsia="ru-RU"/>
        </w:rPr>
      </w:pPr>
      <w:r w:rsidRPr="00446F65">
        <w:rPr>
          <w:rFonts w:ascii="Times New Roman" w:eastAsia="Times New Roman" w:hAnsi="Times New Roman" w:cs="Times New Roman"/>
          <w:sz w:val="26"/>
          <w:szCs w:val="26"/>
          <w:lang w:val="ro-MO" w:eastAsia="ru-RU"/>
        </w:rPr>
        <w:t xml:space="preserve">Dezvoltarea </w:t>
      </w:r>
      <w:r w:rsidR="0005367B" w:rsidRPr="00446F65">
        <w:rPr>
          <w:rFonts w:ascii="Times New Roman" w:eastAsia="Times New Roman" w:hAnsi="Times New Roman" w:cs="Times New Roman"/>
          <w:sz w:val="26"/>
          <w:szCs w:val="26"/>
          <w:lang w:val="ro-MO" w:eastAsia="ru-RU"/>
        </w:rPr>
        <w:t xml:space="preserve">viitoare a </w:t>
      </w:r>
      <w:r w:rsidRPr="00446F65">
        <w:rPr>
          <w:rFonts w:ascii="Times New Roman" w:eastAsia="Times New Roman" w:hAnsi="Times New Roman" w:cs="Times New Roman"/>
          <w:sz w:val="26"/>
          <w:szCs w:val="26"/>
          <w:lang w:val="ro-MO" w:eastAsia="ru-RU"/>
        </w:rPr>
        <w:t>serviciilor în bandă largă furnizate prin cablu coaxial va depinde de factori ca evoluția cererii utilizatorilor pentru viteze mai mari la Internet</w:t>
      </w:r>
      <w:r w:rsidR="006261DA" w:rsidRPr="00446F65">
        <w:rPr>
          <w:rFonts w:ascii="Times New Roman" w:eastAsia="Times New Roman" w:hAnsi="Times New Roman" w:cs="Times New Roman"/>
          <w:sz w:val="26"/>
          <w:szCs w:val="26"/>
          <w:lang w:val="ro-MO" w:eastAsia="ru-RU"/>
        </w:rPr>
        <w:t xml:space="preserve"> în bandă largă</w:t>
      </w:r>
      <w:r w:rsidRPr="00446F65">
        <w:rPr>
          <w:rFonts w:ascii="Times New Roman" w:eastAsia="Times New Roman" w:hAnsi="Times New Roman" w:cs="Times New Roman"/>
          <w:sz w:val="26"/>
          <w:szCs w:val="26"/>
          <w:lang w:val="ro-MO" w:eastAsia="ru-RU"/>
        </w:rPr>
        <w:t xml:space="preserve">, investițiile în dezvoltarea standardului DOCSIS 3.0 pentru cablu coaxial care permite viteze până la 500 </w:t>
      </w:r>
      <w:proofErr w:type="spellStart"/>
      <w:r w:rsidRPr="00446F65">
        <w:rPr>
          <w:rFonts w:ascii="Times New Roman" w:eastAsia="Times New Roman" w:hAnsi="Times New Roman" w:cs="Times New Roman"/>
          <w:sz w:val="26"/>
          <w:szCs w:val="26"/>
          <w:lang w:val="ro-MO" w:eastAsia="ru-RU"/>
        </w:rPr>
        <w:t>Mb</w:t>
      </w:r>
      <w:proofErr w:type="spellEnd"/>
      <w:r w:rsidRPr="00446F65">
        <w:rPr>
          <w:rFonts w:ascii="Times New Roman" w:eastAsia="Times New Roman" w:hAnsi="Times New Roman" w:cs="Times New Roman"/>
          <w:sz w:val="26"/>
          <w:szCs w:val="26"/>
          <w:lang w:val="ro-MO" w:eastAsia="ru-RU"/>
        </w:rPr>
        <w:t xml:space="preserve">/s, cât și intereselor furnizorilor de a investi în modernizarea acestuia până la DOCSIS 3.1 care va permite viteze mai mari etc.   </w:t>
      </w:r>
    </w:p>
    <w:p w:rsidR="007E5BC6" w:rsidRPr="00446F65" w:rsidRDefault="007E5BC6" w:rsidP="00317915">
      <w:pPr>
        <w:spacing w:after="0" w:line="240" w:lineRule="auto"/>
        <w:ind w:firstLine="567"/>
        <w:jc w:val="both"/>
        <w:rPr>
          <w:rFonts w:ascii="Times New Roman" w:eastAsia="Times New Roman" w:hAnsi="Times New Roman" w:cs="Times New Roman"/>
          <w:sz w:val="26"/>
          <w:szCs w:val="26"/>
          <w:lang w:val="ro-MO" w:eastAsia="ru-RU"/>
        </w:rPr>
      </w:pPr>
    </w:p>
    <w:p w:rsidR="007E5BC6" w:rsidRPr="00446F65" w:rsidRDefault="007E5BC6" w:rsidP="00317915">
      <w:pPr>
        <w:spacing w:after="0" w:line="240" w:lineRule="auto"/>
        <w:ind w:firstLine="720"/>
        <w:jc w:val="both"/>
        <w:rPr>
          <w:rFonts w:ascii="Times New Roman" w:eastAsia="Times New Roman" w:hAnsi="Times New Roman" w:cs="Times New Roman"/>
          <w:sz w:val="26"/>
          <w:szCs w:val="26"/>
          <w:lang w:val="ro-MO" w:eastAsia="ru-RU"/>
        </w:rPr>
      </w:pPr>
      <w:r w:rsidRPr="00446F65">
        <w:rPr>
          <w:rFonts w:ascii="Times New Roman" w:hAnsi="Times New Roman" w:cs="Times New Roman"/>
          <w:b/>
          <w:sz w:val="26"/>
          <w:szCs w:val="26"/>
          <w:lang w:val="ro-MO"/>
        </w:rPr>
        <w:t>Concluzia ANRCETI</w:t>
      </w:r>
      <w:r w:rsidRPr="00446F65">
        <w:rPr>
          <w:rFonts w:ascii="Times New Roman" w:hAnsi="Times New Roman" w:cs="Times New Roman"/>
          <w:sz w:val="26"/>
          <w:szCs w:val="26"/>
          <w:lang w:val="ro-MO"/>
        </w:rPr>
        <w:t xml:space="preserve"> este că serviciile </w:t>
      </w:r>
      <w:r w:rsidR="0054285C" w:rsidRPr="00446F65">
        <w:rPr>
          <w:rFonts w:ascii="Times New Roman" w:hAnsi="Times New Roman" w:cs="Times New Roman"/>
          <w:sz w:val="26"/>
          <w:szCs w:val="26"/>
          <w:lang w:val="ro-MO"/>
        </w:rPr>
        <w:t>în bandă largă furnizate prin</w:t>
      </w:r>
      <w:r w:rsidRPr="00446F65">
        <w:rPr>
          <w:rFonts w:ascii="Times New Roman" w:hAnsi="Times New Roman" w:cs="Times New Roman"/>
          <w:sz w:val="26"/>
          <w:szCs w:val="26"/>
          <w:lang w:val="ro-MO"/>
        </w:rPr>
        <w:t xml:space="preserve"> cablu coaxial şi fix fără fir nu pot fi incluse în aceeaşi piaţă relevantă a produsului cu serviciile </w:t>
      </w:r>
      <w:r w:rsidR="0054285C" w:rsidRPr="00446F65">
        <w:rPr>
          <w:rFonts w:ascii="Times New Roman" w:hAnsi="Times New Roman" w:cs="Times New Roman"/>
          <w:sz w:val="26"/>
          <w:szCs w:val="26"/>
          <w:lang w:val="ro-MO"/>
        </w:rPr>
        <w:t>cu amănuntul în bandă largă furnizate prin intermediul rețelelor de cupru și rețelelor de fibră optică</w:t>
      </w:r>
      <w:r w:rsidRPr="00446F65">
        <w:rPr>
          <w:rFonts w:ascii="Times New Roman" w:hAnsi="Times New Roman" w:cs="Times New Roman"/>
          <w:sz w:val="26"/>
          <w:szCs w:val="26"/>
          <w:lang w:val="ro-MO"/>
        </w:rPr>
        <w:t>.</w:t>
      </w:r>
    </w:p>
    <w:p w:rsidR="007E5BC6" w:rsidRPr="00446F65" w:rsidRDefault="007E5BC6"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7E5BC6" w:rsidRPr="00446F65" w:rsidRDefault="007E5BC6" w:rsidP="00317915">
      <w:pPr>
        <w:pStyle w:val="ListParagraph"/>
        <w:numPr>
          <w:ilvl w:val="0"/>
          <w:numId w:val="13"/>
        </w:numPr>
        <w:spacing w:line="240" w:lineRule="auto"/>
        <w:ind w:left="0" w:firstLine="720"/>
        <w:jc w:val="both"/>
        <w:rPr>
          <w:rFonts w:ascii="Times New Roman" w:hAnsi="Times New Roman" w:cs="Times New Roman"/>
          <w:b/>
          <w:i/>
          <w:sz w:val="26"/>
          <w:szCs w:val="26"/>
          <w:lang w:val="ro-MO"/>
        </w:rPr>
      </w:pPr>
      <w:r w:rsidRPr="00446F65">
        <w:rPr>
          <w:rFonts w:ascii="Times New Roman" w:eastAsiaTheme="majorEastAsia" w:hAnsi="Times New Roman" w:cs="Times New Roman"/>
          <w:b/>
          <w:bCs/>
          <w:i/>
          <w:iCs/>
          <w:sz w:val="26"/>
          <w:szCs w:val="26"/>
          <w:lang w:val="ro-MO"/>
        </w:rPr>
        <w:lastRenderedPageBreak/>
        <w:t>Analiza</w:t>
      </w:r>
      <w:r w:rsidRPr="00446F65">
        <w:rPr>
          <w:rFonts w:ascii="Times New Roman" w:hAnsi="Times New Roman" w:cs="Times New Roman"/>
          <w:b/>
          <w:i/>
          <w:sz w:val="26"/>
          <w:szCs w:val="26"/>
          <w:lang w:val="ro-MO"/>
        </w:rPr>
        <w:t xml:space="preserve"> oportunității includerii în piața relevantă a produsului a serviciilor de acces la Internet în bandă largă prin reţelele mobile.</w:t>
      </w:r>
    </w:p>
    <w:p w:rsidR="007E5BC6" w:rsidRPr="00446F65" w:rsidRDefault="00E77A8E"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afara serviciilor de acces în bandă largă furnizate la puncte fixe, utilizatorii finali pot achiziţiona şi servicii de acces la internet în bandă largă la puncte mobile. </w:t>
      </w:r>
      <w:r w:rsidR="007E5BC6" w:rsidRPr="00446F65">
        <w:rPr>
          <w:rFonts w:ascii="Times New Roman" w:hAnsi="Times New Roman" w:cs="Times New Roman"/>
          <w:sz w:val="26"/>
          <w:szCs w:val="26"/>
          <w:lang w:val="ro-MO"/>
        </w:rPr>
        <w:t>Accesul la Internet în bandă largă în reţelele de telefonie mobilă a devenit modul de acces la Internet cu rata de penetrare de 8,</w:t>
      </w:r>
      <w:r w:rsidR="0054285C" w:rsidRPr="00446F65">
        <w:rPr>
          <w:rFonts w:ascii="Times New Roman" w:hAnsi="Times New Roman" w:cs="Times New Roman"/>
          <w:sz w:val="26"/>
          <w:szCs w:val="26"/>
          <w:lang w:val="ro-MO"/>
        </w:rPr>
        <w:t>55</w:t>
      </w:r>
      <w:r w:rsidR="007E5BC6" w:rsidRPr="00446F65">
        <w:rPr>
          <w:rFonts w:ascii="Times New Roman" w:hAnsi="Times New Roman" w:cs="Times New Roman"/>
          <w:sz w:val="26"/>
          <w:szCs w:val="26"/>
          <w:lang w:val="ro-MO"/>
        </w:rPr>
        <w:t>%</w:t>
      </w:r>
      <w:r w:rsidR="0053038C" w:rsidRPr="00446F65">
        <w:rPr>
          <w:rFonts w:ascii="Times New Roman" w:hAnsi="Times New Roman" w:cs="Times New Roman"/>
          <w:sz w:val="26"/>
          <w:szCs w:val="26"/>
          <w:lang w:val="ro-MO"/>
        </w:rPr>
        <w:t xml:space="preserve"> (acces dedicat la Internet mobil)</w:t>
      </w:r>
      <w:r w:rsidR="007E5BC6" w:rsidRPr="00446F65">
        <w:rPr>
          <w:rFonts w:ascii="Times New Roman" w:hAnsi="Times New Roman" w:cs="Times New Roman"/>
          <w:sz w:val="26"/>
          <w:szCs w:val="26"/>
          <w:lang w:val="ro-MO"/>
        </w:rPr>
        <w:t xml:space="preserve">, după accesul prin xDSL sau FTTx. Utilizatorul final accesează Internetul prin reţelele mobile cu ajutorul unui card de date, USB modem sau smartphone (adiţional şi în calitate de modem - </w:t>
      </w:r>
      <w:proofErr w:type="spellStart"/>
      <w:r w:rsidR="007E5BC6" w:rsidRPr="00446F65">
        <w:rPr>
          <w:rFonts w:ascii="Times New Roman" w:hAnsi="Times New Roman" w:cs="Times New Roman"/>
          <w:i/>
          <w:sz w:val="26"/>
          <w:szCs w:val="26"/>
          <w:lang w:val="ro-MO"/>
        </w:rPr>
        <w:t>tethering</w:t>
      </w:r>
      <w:proofErr w:type="spellEnd"/>
      <w:r w:rsidR="007E5BC6" w:rsidRPr="00446F65">
        <w:rPr>
          <w:rFonts w:ascii="Times New Roman" w:hAnsi="Times New Roman" w:cs="Times New Roman"/>
          <w:sz w:val="26"/>
          <w:szCs w:val="26"/>
          <w:lang w:val="ro-MO"/>
        </w:rPr>
        <w:t>). Caracteristica principală a accesului la Internet în bandă largă în reţelele de telefonie mobilă, care se bazează pe tehnologiile UMTS/HSPA/</w:t>
      </w:r>
      <w:proofErr w:type="spellStart"/>
      <w:r w:rsidR="007E5BC6" w:rsidRPr="00446F65">
        <w:rPr>
          <w:rFonts w:ascii="Times New Roman" w:hAnsi="Times New Roman" w:cs="Times New Roman"/>
          <w:sz w:val="26"/>
          <w:szCs w:val="26"/>
          <w:lang w:val="ro-MO"/>
        </w:rPr>
        <w:t>HSPA</w:t>
      </w:r>
      <w:proofErr w:type="spellEnd"/>
      <w:r w:rsidR="007E5BC6" w:rsidRPr="00446F65">
        <w:rPr>
          <w:rFonts w:ascii="Times New Roman" w:hAnsi="Times New Roman" w:cs="Times New Roman"/>
          <w:sz w:val="26"/>
          <w:szCs w:val="26"/>
          <w:lang w:val="ro-MO"/>
        </w:rPr>
        <w:t>+, CDMA 2000EV – DO/DV, LTE este că utilizatorul serviciului nu este exclusiv legat de un anumit loc stabilit de amplasare, dar poate avea acces la Internet prin intermediul telefonului mobil sau laptop din orice locaţie, în funcţie de acoperirea geografică cu UMTS, CDMA</w:t>
      </w:r>
      <w:r w:rsidR="0054285C" w:rsidRPr="00446F65">
        <w:rPr>
          <w:rFonts w:ascii="Times New Roman" w:hAnsi="Times New Roman" w:cs="Times New Roman"/>
          <w:sz w:val="26"/>
          <w:szCs w:val="26"/>
          <w:lang w:val="ro-MO"/>
        </w:rPr>
        <w:t>, LTE</w:t>
      </w:r>
      <w:r w:rsidR="007E5BC6" w:rsidRPr="00446F65">
        <w:rPr>
          <w:rFonts w:ascii="Times New Roman" w:hAnsi="Times New Roman" w:cs="Times New Roman"/>
          <w:sz w:val="26"/>
          <w:szCs w:val="26"/>
          <w:lang w:val="ro-MO"/>
        </w:rPr>
        <w:t xml:space="preserve">. </w:t>
      </w:r>
    </w:p>
    <w:p w:rsidR="001B192B" w:rsidRPr="00446F65" w:rsidRDefault="007E5BC6"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Tehnologia CDMA 2000EV – DO/DV permite transfer de date de până</w:t>
      </w:r>
      <w:r w:rsidR="001770EA" w:rsidRPr="00446F65">
        <w:rPr>
          <w:rFonts w:ascii="Times New Roman" w:hAnsi="Times New Roman" w:cs="Times New Roman"/>
          <w:sz w:val="26"/>
          <w:szCs w:val="26"/>
          <w:lang w:val="ro-MO"/>
        </w:rPr>
        <w:t xml:space="preserve"> la 2,4 Mbit/s, tehnologia UMTS</w:t>
      </w:r>
      <w:r w:rsidRPr="00446F65">
        <w:rPr>
          <w:rFonts w:ascii="Times New Roman" w:hAnsi="Times New Roman" w:cs="Times New Roman"/>
          <w:sz w:val="26"/>
          <w:szCs w:val="26"/>
          <w:lang w:val="ro-MO"/>
        </w:rPr>
        <w:t xml:space="preserve"> (specificaţiile ulterioare HSPA) teoretic permite transferul de date până la 42 Mbit/s prin utilizarea funcţionalităţii </w:t>
      </w:r>
      <w:r w:rsidRPr="00446F65">
        <w:rPr>
          <w:rFonts w:ascii="Times New Roman" w:hAnsi="Times New Roman" w:cs="Times New Roman"/>
          <w:i/>
          <w:sz w:val="26"/>
          <w:szCs w:val="26"/>
          <w:lang w:val="ro-MO"/>
        </w:rPr>
        <w:t xml:space="preserve">Dual </w:t>
      </w:r>
      <w:proofErr w:type="spellStart"/>
      <w:r w:rsidRPr="00446F65">
        <w:rPr>
          <w:rFonts w:ascii="Times New Roman" w:hAnsi="Times New Roman" w:cs="Times New Roman"/>
          <w:i/>
          <w:sz w:val="26"/>
          <w:szCs w:val="26"/>
          <w:lang w:val="ro-MO"/>
        </w:rPr>
        <w:t>carrier</w:t>
      </w:r>
      <w:proofErr w:type="spellEnd"/>
      <w:r w:rsidRPr="00446F65">
        <w:rPr>
          <w:rFonts w:ascii="Times New Roman" w:hAnsi="Times New Roman" w:cs="Times New Roman"/>
          <w:sz w:val="26"/>
          <w:szCs w:val="26"/>
          <w:lang w:val="ro-MO"/>
        </w:rPr>
        <w:t xml:space="preserve"> şi până la 84 Mbps utilizând MIMO (Multiple Input – Multiple Output)</w:t>
      </w:r>
      <w:r w:rsidR="000C6329" w:rsidRPr="00446F65">
        <w:rPr>
          <w:rFonts w:ascii="Times New Roman" w:hAnsi="Times New Roman" w:cs="Times New Roman"/>
          <w:sz w:val="26"/>
          <w:szCs w:val="26"/>
          <w:lang w:val="ro-MO"/>
        </w:rPr>
        <w:t xml:space="preserve">, iar tehnologia LTE </w:t>
      </w:r>
      <w:proofErr w:type="spellStart"/>
      <w:r w:rsidR="000C6329" w:rsidRPr="00446F65">
        <w:rPr>
          <w:rFonts w:ascii="Times New Roman" w:hAnsi="Times New Roman" w:cs="Times New Roman"/>
          <w:i/>
          <w:sz w:val="26"/>
          <w:szCs w:val="26"/>
          <w:lang w:val="ro-MO"/>
        </w:rPr>
        <w:t>advanced</w:t>
      </w:r>
      <w:proofErr w:type="spellEnd"/>
      <w:r w:rsidR="000C6329" w:rsidRPr="00446F65">
        <w:rPr>
          <w:rFonts w:ascii="Times New Roman" w:hAnsi="Times New Roman" w:cs="Times New Roman"/>
          <w:i/>
          <w:sz w:val="26"/>
          <w:szCs w:val="26"/>
          <w:lang w:val="ro-MO"/>
        </w:rPr>
        <w:t xml:space="preserve"> </w:t>
      </w:r>
      <w:r w:rsidR="000C6329" w:rsidRPr="00446F65">
        <w:rPr>
          <w:rFonts w:ascii="Times New Roman" w:hAnsi="Times New Roman" w:cs="Times New Roman"/>
          <w:sz w:val="26"/>
          <w:szCs w:val="26"/>
          <w:lang w:val="ro-MO"/>
        </w:rPr>
        <w:t xml:space="preserve">teoretic permite transferul de date peste </w:t>
      </w:r>
      <w:r w:rsidR="00841168" w:rsidRPr="00446F65">
        <w:rPr>
          <w:rFonts w:ascii="Times New Roman" w:hAnsi="Times New Roman" w:cs="Times New Roman"/>
          <w:sz w:val="26"/>
          <w:szCs w:val="26"/>
          <w:lang w:val="ro-MO"/>
        </w:rPr>
        <w:t xml:space="preserve">1 </w:t>
      </w:r>
      <w:proofErr w:type="spellStart"/>
      <w:r w:rsidR="000C6329" w:rsidRPr="00446F65">
        <w:rPr>
          <w:rFonts w:ascii="Times New Roman" w:hAnsi="Times New Roman" w:cs="Times New Roman"/>
          <w:sz w:val="26"/>
          <w:szCs w:val="26"/>
          <w:lang w:val="ro-MO"/>
        </w:rPr>
        <w:t>Gbit</w:t>
      </w:r>
      <w:proofErr w:type="spellEnd"/>
      <w:r w:rsidR="000C6329" w:rsidRPr="00446F65">
        <w:rPr>
          <w:rFonts w:ascii="Times New Roman" w:hAnsi="Times New Roman" w:cs="Times New Roman"/>
          <w:sz w:val="26"/>
          <w:szCs w:val="26"/>
          <w:lang w:val="ro-MO"/>
        </w:rPr>
        <w:t>/s</w:t>
      </w:r>
      <w:r w:rsidRPr="00446F65">
        <w:rPr>
          <w:rFonts w:ascii="Times New Roman" w:hAnsi="Times New Roman" w:cs="Times New Roman"/>
          <w:sz w:val="26"/>
          <w:szCs w:val="26"/>
          <w:lang w:val="ro-MO"/>
        </w:rPr>
        <w:t xml:space="preserve">. Totuşi în condiţii reale de reţea, viteza de acces este mult mai joasă, fiind influenţată de o mulţime de factori, precum distanţa între antena emiţătoare şi echipamentul terminal, relief, obstacole, condiţii climaterice, utilizare </w:t>
      </w:r>
      <w:r w:rsidR="00F33D4A" w:rsidRPr="00446F65">
        <w:rPr>
          <w:rFonts w:ascii="Times New Roman" w:hAnsi="Times New Roman" w:cs="Times New Roman"/>
          <w:sz w:val="26"/>
          <w:szCs w:val="26"/>
          <w:lang w:val="ro-MO"/>
        </w:rPr>
        <w:t>concomitentă</w:t>
      </w:r>
      <w:r w:rsidRPr="00446F65">
        <w:rPr>
          <w:rFonts w:ascii="Times New Roman" w:hAnsi="Times New Roman" w:cs="Times New Roman"/>
          <w:sz w:val="26"/>
          <w:szCs w:val="26"/>
          <w:lang w:val="ro-MO"/>
        </w:rPr>
        <w:t xml:space="preserve"> de către mai mulţi clienţi a aceleaşi capacităţi de reţea etc. </w:t>
      </w:r>
      <w:r w:rsidRPr="00446F65">
        <w:rPr>
          <w:rFonts w:ascii="Times New Roman" w:hAnsi="Times New Roman" w:cs="Times New Roman"/>
          <w:sz w:val="26"/>
          <w:szCs w:val="26"/>
          <w:lang w:val="ro-MO"/>
        </w:rPr>
        <w:cr/>
      </w:r>
      <w:r w:rsidR="001B192B" w:rsidRPr="00446F65">
        <w:rPr>
          <w:rFonts w:ascii="Times New Roman" w:hAnsi="Times New Roman" w:cs="Times New Roman"/>
          <w:sz w:val="26"/>
          <w:szCs w:val="26"/>
          <w:lang w:val="ro-MO"/>
        </w:rPr>
        <w:t xml:space="preserve">Din punct de vedere al particularităţilor tehnice, în cazul serviciilor de acces la </w:t>
      </w:r>
      <w:r w:rsidR="00394C29" w:rsidRPr="00446F65">
        <w:rPr>
          <w:rFonts w:ascii="Times New Roman" w:hAnsi="Times New Roman" w:cs="Times New Roman"/>
          <w:sz w:val="26"/>
          <w:szCs w:val="26"/>
          <w:lang w:val="ro-MO"/>
        </w:rPr>
        <w:t>I</w:t>
      </w:r>
      <w:r w:rsidR="001B192B" w:rsidRPr="00446F65">
        <w:rPr>
          <w:rFonts w:ascii="Times New Roman" w:hAnsi="Times New Roman" w:cs="Times New Roman"/>
          <w:sz w:val="26"/>
          <w:szCs w:val="26"/>
          <w:lang w:val="ro-MO"/>
        </w:rPr>
        <w:t xml:space="preserve">nternet la puncte mobile prin intermediul unui terminal mobil, este asigurată o gamă mai mică de funcţionalităţi decât în cazul serviciilor de acces la </w:t>
      </w:r>
      <w:r w:rsidR="00394C29" w:rsidRPr="00446F65">
        <w:rPr>
          <w:rFonts w:ascii="Times New Roman" w:hAnsi="Times New Roman" w:cs="Times New Roman"/>
          <w:sz w:val="26"/>
          <w:szCs w:val="26"/>
          <w:lang w:val="ro-MO"/>
        </w:rPr>
        <w:t>I</w:t>
      </w:r>
      <w:r w:rsidR="001B192B" w:rsidRPr="00446F65">
        <w:rPr>
          <w:rFonts w:ascii="Times New Roman" w:hAnsi="Times New Roman" w:cs="Times New Roman"/>
          <w:sz w:val="26"/>
          <w:szCs w:val="26"/>
          <w:lang w:val="ro-MO"/>
        </w:rPr>
        <w:t xml:space="preserve">nternet la puncte fixe. Astfel, din cauza limitărilor practice ale terminalelor mobile (cum ar fi, constrângeri privind dimensiunea ecranului/rezoluţia şi interactivitatea, </w:t>
      </w:r>
      <w:proofErr w:type="spellStart"/>
      <w:r w:rsidR="001B192B" w:rsidRPr="00446F65">
        <w:rPr>
          <w:rFonts w:ascii="Times New Roman" w:hAnsi="Times New Roman" w:cs="Times New Roman"/>
          <w:i/>
          <w:sz w:val="26"/>
          <w:szCs w:val="26"/>
          <w:lang w:val="ro-MO"/>
        </w:rPr>
        <w:t>browser-ul</w:t>
      </w:r>
      <w:proofErr w:type="spellEnd"/>
      <w:r w:rsidR="001B192B" w:rsidRPr="00446F65">
        <w:rPr>
          <w:rFonts w:ascii="Times New Roman" w:hAnsi="Times New Roman" w:cs="Times New Roman"/>
          <w:sz w:val="26"/>
          <w:szCs w:val="26"/>
          <w:lang w:val="ro-MO"/>
        </w:rPr>
        <w:t xml:space="preserve"> utilizat, preţul terminalelor performante), accesul la </w:t>
      </w:r>
      <w:r w:rsidR="00394C29" w:rsidRPr="00446F65">
        <w:rPr>
          <w:rFonts w:ascii="Times New Roman" w:hAnsi="Times New Roman" w:cs="Times New Roman"/>
          <w:sz w:val="26"/>
          <w:szCs w:val="26"/>
          <w:lang w:val="ro-MO"/>
        </w:rPr>
        <w:t>I</w:t>
      </w:r>
      <w:r w:rsidR="001B192B" w:rsidRPr="00446F65">
        <w:rPr>
          <w:rFonts w:ascii="Times New Roman" w:hAnsi="Times New Roman" w:cs="Times New Roman"/>
          <w:sz w:val="26"/>
          <w:szCs w:val="26"/>
          <w:lang w:val="ro-MO"/>
        </w:rPr>
        <w:t>nternet este fracţionat, ceea ce limitează utilizarea anumitor aplicaţii sau accesul la unele informaţii.</w:t>
      </w:r>
    </w:p>
    <w:p w:rsidR="001B192B" w:rsidRPr="00446F65" w:rsidRDefault="001B192B"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Având în vedere aceste aspecte, este foarte puţin probabil ca un număr suficient de utilizatori ai serviciilor de acces la </w:t>
      </w:r>
      <w:r w:rsidR="0053038C"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 xml:space="preserve">nternet în bandă largă la puncte fixe să înlocuiască aceste servicii cu serviciile de acces la </w:t>
      </w:r>
      <w:r w:rsidR="0053038C"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 xml:space="preserve">nternet în bandă largă la puncte mobile, chiar şi în cazul unui SSNIP la serviciile de acces la </w:t>
      </w:r>
      <w:r w:rsidR="0053038C"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nternet la puncte fixe.</w:t>
      </w:r>
    </w:p>
    <w:p w:rsidR="00954A1A" w:rsidRPr="00446F65" w:rsidRDefault="001B192B"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același timp, serviciile de acces la </w:t>
      </w:r>
      <w:r w:rsidR="0053038C"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 xml:space="preserve">nternet la puncte mobile pot fi accesate și prin intermediul unui card de date sau al unui modem USB, care poate fi conectat la calculatorul personal (laptop/PC), fiind cele mai apropiate ca funcționalitate de serviciile de acces la </w:t>
      </w:r>
      <w:r w:rsidR="0053038C"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 xml:space="preserve">nternet la puncte fixe. În prezent, aceste servicii sunt comercializate, în principal, ca servicii de acces mobil pentru laptop-uri. Chiar dacă există anumite similitudini din punctul de vedere al funcţionalităţii  între cele două categorii de servicii, în ceea ce priveşte modalităţile/condiţiile de comercializare, este important de menţionat că, spre deosebire de accesul la </w:t>
      </w:r>
      <w:r w:rsidR="0053038C"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 xml:space="preserve">nternet la puncte fixe, în cazul accesului la </w:t>
      </w:r>
      <w:r w:rsidR="0053038C"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nternet la puncte mobile traficul inclus în oferte este limitat în majoritatea cazurilor, fapt ce presupune că</w:t>
      </w:r>
      <w:r w:rsidR="00954A1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viteza de transmisie</w:t>
      </w:r>
      <w:r w:rsidR="00954A1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se reduce considerabil (de obicei, la 128 kbps pentru viteza de </w:t>
      </w:r>
      <w:proofErr w:type="spellStart"/>
      <w:r w:rsidRPr="00446F65">
        <w:rPr>
          <w:rFonts w:ascii="Times New Roman" w:hAnsi="Times New Roman" w:cs="Times New Roman"/>
          <w:i/>
          <w:sz w:val="26"/>
          <w:szCs w:val="26"/>
          <w:lang w:val="ro-MO"/>
        </w:rPr>
        <w:t>download</w:t>
      </w:r>
      <w:proofErr w:type="spellEnd"/>
      <w:r w:rsidRPr="00446F65">
        <w:rPr>
          <w:rFonts w:ascii="Times New Roman" w:hAnsi="Times New Roman" w:cs="Times New Roman"/>
          <w:i/>
          <w:sz w:val="26"/>
          <w:szCs w:val="26"/>
          <w:lang w:val="ro-MO"/>
        </w:rPr>
        <w:t>)</w:t>
      </w:r>
      <w:r w:rsidRPr="00446F65">
        <w:rPr>
          <w:rFonts w:ascii="Times New Roman" w:hAnsi="Times New Roman" w:cs="Times New Roman"/>
          <w:sz w:val="26"/>
          <w:szCs w:val="26"/>
          <w:lang w:val="ro-MO"/>
        </w:rPr>
        <w:t xml:space="preserve"> în cazul în care este depăşit</w:t>
      </w:r>
      <w:r w:rsidR="00954A1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traficul </w:t>
      </w:r>
      <w:r w:rsidR="00954A1A" w:rsidRPr="00446F65">
        <w:rPr>
          <w:rFonts w:ascii="Times New Roman" w:hAnsi="Times New Roman" w:cs="Times New Roman"/>
          <w:sz w:val="26"/>
          <w:szCs w:val="26"/>
          <w:lang w:val="ro-MO"/>
        </w:rPr>
        <w:t>inclus.</w:t>
      </w:r>
      <w:r w:rsidRPr="00446F65">
        <w:rPr>
          <w:rFonts w:ascii="Times New Roman" w:hAnsi="Times New Roman" w:cs="Times New Roman"/>
          <w:sz w:val="26"/>
          <w:szCs w:val="26"/>
          <w:lang w:val="ro-MO"/>
        </w:rPr>
        <w:t xml:space="preserve"> Astfel, din acest punct de vedere, serviciile de</w:t>
      </w:r>
      <w:r w:rsidR="00954A1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acces mobil la </w:t>
      </w:r>
      <w:r w:rsidR="0053038C"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nternet utilizate cu un card de date/modem USB nu pot fi considerate comparabile cu</w:t>
      </w:r>
      <w:r w:rsidR="00954A1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serviciile de acces la puncte fixe, pentru care ofertele includ trafic nelimitat</w:t>
      </w:r>
      <w:r w:rsidR="00954A1A" w:rsidRPr="00446F65">
        <w:rPr>
          <w:rFonts w:ascii="Times New Roman" w:hAnsi="Times New Roman" w:cs="Times New Roman"/>
          <w:sz w:val="26"/>
          <w:szCs w:val="26"/>
          <w:lang w:val="ro-MO"/>
        </w:rPr>
        <w:t>.</w:t>
      </w:r>
    </w:p>
    <w:p w:rsidR="007E5BC6" w:rsidRPr="00446F65" w:rsidRDefault="00E67695"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Astfel, </w:t>
      </w:r>
      <w:r w:rsidR="007E5BC6" w:rsidRPr="00446F65">
        <w:rPr>
          <w:rFonts w:ascii="Times New Roman" w:hAnsi="Times New Roman" w:cs="Times New Roman"/>
          <w:sz w:val="26"/>
          <w:szCs w:val="26"/>
          <w:lang w:val="ro-MO"/>
        </w:rPr>
        <w:t xml:space="preserve">ANRCETI consideră că principalul factor restrictiv pentru substituibilitatea serviciilor ADSL sau FTTx cu cele mobile este mărimea tarifelor pentru acelaşi volum de date. </w:t>
      </w:r>
      <w:r w:rsidR="007E5BC6" w:rsidRPr="00446F65">
        <w:rPr>
          <w:rFonts w:ascii="Times New Roman" w:hAnsi="Times New Roman" w:cs="Times New Roman"/>
          <w:sz w:val="26"/>
          <w:szCs w:val="26"/>
          <w:lang w:val="ro-MO"/>
        </w:rPr>
        <w:lastRenderedPageBreak/>
        <w:t xml:space="preserve">Astfel serviciile ADSL sau FTTx sunt oferite preponderent la preţ fix, independent de volumul traficului transmis. Spre deosebire de acestea, serviciile de acces în bandă largă oferite prin reţele mobile sunt mai sensibile la volumul de date transmis, iar costurile pentru utilizator capătă caracter variabil. Din acest considerent, accesul la Internet în bandă largă de la domiciliu, care din cauza conţinutului video şi </w:t>
      </w:r>
      <w:proofErr w:type="spellStart"/>
      <w:r w:rsidR="007E5BC6" w:rsidRPr="00446F65">
        <w:rPr>
          <w:rFonts w:ascii="Times New Roman" w:hAnsi="Times New Roman" w:cs="Times New Roman"/>
          <w:i/>
          <w:sz w:val="26"/>
          <w:szCs w:val="26"/>
          <w:lang w:val="ro-MO"/>
        </w:rPr>
        <w:t>file-sharing</w:t>
      </w:r>
      <w:proofErr w:type="spellEnd"/>
      <w:r w:rsidR="007E5BC6" w:rsidRPr="00446F65">
        <w:rPr>
          <w:rFonts w:ascii="Times New Roman" w:hAnsi="Times New Roman" w:cs="Times New Roman"/>
          <w:sz w:val="26"/>
          <w:szCs w:val="26"/>
          <w:lang w:val="ro-MO"/>
        </w:rPr>
        <w:t xml:space="preserve"> transmis este solicitant de trafic, este de cele mai dese ori mai potrivit pentru utilizator să fie realizat prin ADSL sau FTTx decât prin reţea mobilă. O potenţială creştere a preţului la produsul focal cu 5-10% nu ar fi în măsură să facă costurile utilizatorului pentru acelaşi volum de servicii de date să scadă dacă are loc trecerea la un serviciu mobil.</w:t>
      </w:r>
    </w:p>
    <w:p w:rsidR="007E5BC6" w:rsidRPr="00446F65" w:rsidRDefault="007E5BC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De asemenea, ANRCETI consideră că serviciile de acces în bandă largă fix vor fi mai degrabă complementare accesului în bandă largă mobil, decât substituente</w:t>
      </w:r>
      <w:r w:rsidRPr="00446F65">
        <w:rPr>
          <w:rStyle w:val="FootnoteReference"/>
          <w:rFonts w:ascii="Times New Roman" w:hAnsi="Times New Roman" w:cs="Times New Roman"/>
          <w:sz w:val="26"/>
          <w:szCs w:val="26"/>
          <w:lang w:val="ro-MO"/>
        </w:rPr>
        <w:footnoteReference w:id="7"/>
      </w:r>
      <w:r w:rsidRPr="00446F65">
        <w:rPr>
          <w:rFonts w:ascii="Times New Roman" w:hAnsi="Times New Roman" w:cs="Times New Roman"/>
          <w:sz w:val="26"/>
          <w:szCs w:val="26"/>
          <w:lang w:val="ro-MO"/>
        </w:rPr>
        <w:t xml:space="preserve">, datorită capacităţii lor </w:t>
      </w:r>
      <w:r w:rsidR="0053038C" w:rsidRPr="00446F65">
        <w:rPr>
          <w:rFonts w:ascii="Times New Roman" w:hAnsi="Times New Roman" w:cs="Times New Roman"/>
          <w:sz w:val="26"/>
          <w:szCs w:val="26"/>
          <w:lang w:val="ro-MO"/>
        </w:rPr>
        <w:t>de</w:t>
      </w:r>
      <w:r w:rsidRPr="00446F65">
        <w:rPr>
          <w:rFonts w:ascii="Times New Roman" w:hAnsi="Times New Roman" w:cs="Times New Roman"/>
          <w:sz w:val="26"/>
          <w:szCs w:val="26"/>
          <w:lang w:val="ro-MO"/>
        </w:rPr>
        <w:t xml:space="preserve"> transmite</w:t>
      </w:r>
      <w:r w:rsidR="0053038C" w:rsidRPr="00446F65">
        <w:rPr>
          <w:rFonts w:ascii="Times New Roman" w:hAnsi="Times New Roman" w:cs="Times New Roman"/>
          <w:sz w:val="26"/>
          <w:szCs w:val="26"/>
          <w:lang w:val="ro-MO"/>
        </w:rPr>
        <w:t>re</w:t>
      </w:r>
      <w:r w:rsidRPr="00446F65">
        <w:rPr>
          <w:rFonts w:ascii="Times New Roman" w:hAnsi="Times New Roman" w:cs="Times New Roman"/>
          <w:sz w:val="26"/>
          <w:szCs w:val="26"/>
          <w:lang w:val="ro-MO"/>
        </w:rPr>
        <w:t xml:space="preserve"> a volumului înalt de date la costuri mici. Astfel, conexiunile fixe </w:t>
      </w:r>
      <w:r w:rsidR="0053038C" w:rsidRPr="00446F65">
        <w:rPr>
          <w:rFonts w:ascii="Times New Roman" w:hAnsi="Times New Roman" w:cs="Times New Roman"/>
          <w:sz w:val="26"/>
          <w:szCs w:val="26"/>
          <w:lang w:val="ro-MO"/>
        </w:rPr>
        <w:t>în</w:t>
      </w:r>
      <w:r w:rsidRPr="00446F65">
        <w:rPr>
          <w:rFonts w:ascii="Times New Roman" w:hAnsi="Times New Roman" w:cs="Times New Roman"/>
          <w:sz w:val="26"/>
          <w:szCs w:val="26"/>
          <w:lang w:val="ro-MO"/>
        </w:rPr>
        <w:t xml:space="preserve"> bandă largă vor capta prin intermediul accesului Wi-Fi o parte din traficul generat de echipamentele mobile preponderente în reţele mobile – smart</w:t>
      </w:r>
      <w:r w:rsidR="00394C29" w:rsidRPr="00446F65">
        <w:rPr>
          <w:rFonts w:ascii="Times New Roman" w:hAnsi="Times New Roman" w:cs="Times New Roman"/>
          <w:sz w:val="26"/>
          <w:szCs w:val="26"/>
          <w:lang w:val="ro-MO"/>
        </w:rPr>
        <w:t>ph</w:t>
      </w:r>
      <w:r w:rsidRPr="00446F65">
        <w:rPr>
          <w:rFonts w:ascii="Times New Roman" w:hAnsi="Times New Roman" w:cs="Times New Roman"/>
          <w:sz w:val="26"/>
          <w:szCs w:val="26"/>
          <w:lang w:val="ro-MO"/>
        </w:rPr>
        <w:t>one şi tablete. Conform previziunilor IDATE, reţelele mobile de bandă largă vor deservi în principal anume acest gen de terminale în viitor, iar modemele USB (</w:t>
      </w:r>
      <w:proofErr w:type="spellStart"/>
      <w:r w:rsidRPr="00446F65">
        <w:rPr>
          <w:rFonts w:ascii="Times New Roman" w:hAnsi="Times New Roman" w:cs="Times New Roman"/>
          <w:i/>
          <w:sz w:val="26"/>
          <w:szCs w:val="26"/>
          <w:lang w:val="ro-MO"/>
        </w:rPr>
        <w:t>dongles</w:t>
      </w:r>
      <w:proofErr w:type="spellEnd"/>
      <w:r w:rsidRPr="00446F65">
        <w:rPr>
          <w:rFonts w:ascii="Times New Roman" w:hAnsi="Times New Roman" w:cs="Times New Roman"/>
          <w:sz w:val="26"/>
          <w:szCs w:val="26"/>
          <w:lang w:val="ro-MO"/>
        </w:rPr>
        <w:t>) vor rămâne să aibă o cotă mai mică în numărul de echipamente terminale mobile conectate la nivel mondial. Pe lângă aceasta, creşterea numărului şi ponderii de echipamente – modeme conectate va fi în mare parte determinată de pieţele ţărilor în curs de dezvoltare cu reţele fixe subdezvoltate.</w:t>
      </w:r>
    </w:p>
    <w:p w:rsidR="007E5BC6" w:rsidRPr="00446F65" w:rsidRDefault="007E5BC6"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7E5BC6" w:rsidRPr="00446F65" w:rsidRDefault="007E5BC6" w:rsidP="0052722E">
      <w:pPr>
        <w:autoSpaceDE w:val="0"/>
        <w:autoSpaceDN w:val="0"/>
        <w:adjustRightInd w:val="0"/>
        <w:spacing w:after="0" w:line="240" w:lineRule="auto"/>
        <w:rPr>
          <w:rFonts w:ascii="Times New Roman" w:hAnsi="Times New Roman" w:cs="Times New Roman"/>
          <w:sz w:val="26"/>
          <w:szCs w:val="26"/>
          <w:lang w:val="ro-MO"/>
        </w:rPr>
      </w:pPr>
      <w:r w:rsidRPr="00446F65">
        <w:rPr>
          <w:rFonts w:ascii="Times New Roman" w:hAnsi="Times New Roman" w:cs="Times New Roman"/>
          <w:noProof/>
          <w:sz w:val="26"/>
          <w:szCs w:val="26"/>
        </w:rPr>
        <w:drawing>
          <wp:inline distT="0" distB="0" distL="0" distR="0" wp14:anchorId="3B2888C8" wp14:editId="1D144656">
            <wp:extent cx="6479540" cy="3472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3472735"/>
                    </a:xfrm>
                    <a:prstGeom prst="rect">
                      <a:avLst/>
                    </a:prstGeom>
                    <a:noFill/>
                    <a:ln>
                      <a:noFill/>
                    </a:ln>
                  </pic:spPr>
                </pic:pic>
              </a:graphicData>
            </a:graphic>
          </wp:inline>
        </w:drawing>
      </w:r>
    </w:p>
    <w:p w:rsidR="007E5BC6" w:rsidRPr="00446F65" w:rsidRDefault="007E5BC6" w:rsidP="00317915">
      <w:pPr>
        <w:autoSpaceDE w:val="0"/>
        <w:autoSpaceDN w:val="0"/>
        <w:adjustRightInd w:val="0"/>
        <w:spacing w:after="0" w:line="240" w:lineRule="auto"/>
        <w:ind w:firstLine="567"/>
        <w:jc w:val="both"/>
        <w:rPr>
          <w:rFonts w:ascii="Times New Roman" w:hAnsi="Times New Roman" w:cs="Times New Roman"/>
          <w:b/>
          <w:sz w:val="26"/>
          <w:szCs w:val="26"/>
          <w:lang w:val="ro-MO"/>
        </w:rPr>
      </w:pPr>
      <w:r w:rsidRPr="00446F65">
        <w:rPr>
          <w:rFonts w:ascii="Times New Roman" w:hAnsi="Times New Roman" w:cs="Times New Roman"/>
          <w:b/>
          <w:sz w:val="26"/>
          <w:szCs w:val="26"/>
          <w:lang w:val="ro-MO"/>
        </w:rPr>
        <w:t xml:space="preserve">Figura </w:t>
      </w:r>
      <w:r w:rsidR="00182C3E" w:rsidRPr="00446F65">
        <w:rPr>
          <w:rFonts w:ascii="Times New Roman" w:hAnsi="Times New Roman" w:cs="Times New Roman"/>
          <w:b/>
          <w:sz w:val="26"/>
          <w:szCs w:val="26"/>
          <w:lang w:val="ro-MO"/>
        </w:rPr>
        <w:t>3</w:t>
      </w:r>
      <w:r w:rsidRPr="00446F65">
        <w:rPr>
          <w:rFonts w:ascii="Times New Roman" w:hAnsi="Times New Roman" w:cs="Times New Roman"/>
          <w:b/>
          <w:sz w:val="26"/>
          <w:szCs w:val="26"/>
          <w:lang w:val="ro-MO"/>
        </w:rPr>
        <w:t>. Previziunea evoluţiei echipamentelor mobile conectate la reţele mobile, la nivel mondial</w:t>
      </w:r>
    </w:p>
    <w:p w:rsidR="007E5BC6" w:rsidRPr="00446F65" w:rsidRDefault="007E5BC6"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Sursa: UMTS Forum</w:t>
      </w:r>
    </w:p>
    <w:p w:rsidR="007E5BC6" w:rsidRPr="00446F65" w:rsidRDefault="007E5BC6"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7E5BC6" w:rsidRPr="00446F65" w:rsidRDefault="007E5BC6"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Concluzia ANRCETI</w:t>
      </w:r>
      <w:r w:rsidRPr="00446F65">
        <w:rPr>
          <w:rFonts w:ascii="Times New Roman" w:hAnsi="Times New Roman" w:cs="Times New Roman"/>
          <w:sz w:val="26"/>
          <w:szCs w:val="26"/>
          <w:lang w:val="ro-MO"/>
        </w:rPr>
        <w:t xml:space="preserve"> este că, serviciile de acces mobil în bandă largă, în pofida faptului că po</w:t>
      </w:r>
      <w:r w:rsidR="0005367B" w:rsidRPr="00446F65">
        <w:rPr>
          <w:rFonts w:ascii="Times New Roman" w:hAnsi="Times New Roman" w:cs="Times New Roman"/>
          <w:sz w:val="26"/>
          <w:szCs w:val="26"/>
          <w:lang w:val="ro-MO"/>
        </w:rPr>
        <w:t>t</w:t>
      </w:r>
      <w:r w:rsidRPr="00446F65">
        <w:rPr>
          <w:rFonts w:ascii="Times New Roman" w:hAnsi="Times New Roman" w:cs="Times New Roman"/>
          <w:sz w:val="26"/>
          <w:szCs w:val="26"/>
          <w:lang w:val="ro-MO"/>
        </w:rPr>
        <w:t xml:space="preserve"> servi aceleaşi necesităţi ale utilizatorilor pentru servicii </w:t>
      </w:r>
      <w:r w:rsidR="00182C3E" w:rsidRPr="00446F65">
        <w:rPr>
          <w:rFonts w:ascii="Times New Roman" w:hAnsi="Times New Roman" w:cs="Times New Roman"/>
          <w:sz w:val="26"/>
          <w:szCs w:val="26"/>
          <w:lang w:val="ro-MO"/>
        </w:rPr>
        <w:t>în</w:t>
      </w:r>
      <w:r w:rsidRPr="00446F65">
        <w:rPr>
          <w:rFonts w:ascii="Times New Roman" w:hAnsi="Times New Roman" w:cs="Times New Roman"/>
          <w:sz w:val="26"/>
          <w:szCs w:val="26"/>
          <w:lang w:val="ro-MO"/>
        </w:rPr>
        <w:t xml:space="preserve"> bandă largă ca şi cele oferite de </w:t>
      </w:r>
      <w:r w:rsidRPr="00446F65">
        <w:rPr>
          <w:rFonts w:ascii="Times New Roman" w:hAnsi="Times New Roman" w:cs="Times New Roman"/>
          <w:sz w:val="26"/>
          <w:szCs w:val="26"/>
          <w:lang w:val="ro-MO"/>
        </w:rPr>
        <w:lastRenderedPageBreak/>
        <w:t>reţele xDSL sau FTTx, nu sunt un substituent suficient pentru penalizarea unei creşteri mici dar semnificative şi non-tranzitorii a preţului la produsul focal de către monopolistul ipotetic. Prin urmare, acestea fac parte din pieţe diferite ale produsului.</w:t>
      </w:r>
    </w:p>
    <w:p w:rsidR="00A23C53" w:rsidRPr="00446F65" w:rsidRDefault="00A23C53"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861B45" w:rsidRPr="00446F65" w:rsidRDefault="00A23C53" w:rsidP="00317915">
      <w:pPr>
        <w:pStyle w:val="ListParagraph"/>
        <w:numPr>
          <w:ilvl w:val="0"/>
          <w:numId w:val="13"/>
        </w:numPr>
        <w:spacing w:line="240" w:lineRule="auto"/>
        <w:ind w:left="0" w:firstLine="720"/>
        <w:jc w:val="both"/>
        <w:rPr>
          <w:rFonts w:ascii="Times New Roman" w:hAnsi="Times New Roman" w:cs="Times New Roman"/>
          <w:sz w:val="26"/>
          <w:szCs w:val="26"/>
          <w:lang w:val="ro-MO"/>
        </w:rPr>
      </w:pPr>
      <w:r w:rsidRPr="00446F65">
        <w:rPr>
          <w:rFonts w:ascii="Times New Roman" w:eastAsiaTheme="majorEastAsia" w:hAnsi="Times New Roman" w:cs="Times New Roman"/>
          <w:b/>
          <w:bCs/>
          <w:i/>
          <w:iCs/>
          <w:sz w:val="26"/>
          <w:szCs w:val="26"/>
          <w:lang w:val="ro-MO"/>
        </w:rPr>
        <w:t xml:space="preserve">Analiza necesităţii definirii unor pieţe ale produsului separate pentru pachete de servicii </w:t>
      </w:r>
    </w:p>
    <w:p w:rsidR="00A23C53" w:rsidRPr="00446F65" w:rsidRDefault="00861B45"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Utilizatorii </w:t>
      </w:r>
      <w:r w:rsidR="00182C3E" w:rsidRPr="00446F65">
        <w:rPr>
          <w:rFonts w:ascii="Times New Roman" w:hAnsi="Times New Roman" w:cs="Times New Roman"/>
          <w:sz w:val="26"/>
          <w:szCs w:val="26"/>
          <w:lang w:val="ro-MO"/>
        </w:rPr>
        <w:t xml:space="preserve">finali </w:t>
      </w:r>
      <w:r w:rsidRPr="00446F65">
        <w:rPr>
          <w:rFonts w:ascii="Times New Roman" w:hAnsi="Times New Roman" w:cs="Times New Roman"/>
          <w:sz w:val="26"/>
          <w:szCs w:val="26"/>
          <w:lang w:val="ro-MO"/>
        </w:rPr>
        <w:t xml:space="preserve">au o tendință în creștere de a cumpăra servicii la pachet, oferte care includ câteva tipuri de diferite servicii (de obicei o combinație din două sau mai multe din următoarele servicii: acces la </w:t>
      </w:r>
      <w:r w:rsidR="00F73212"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 xml:space="preserve">nternet în bandă largă, telefonie fixă, servicii </w:t>
      </w:r>
      <w:r w:rsidR="00F73212" w:rsidRPr="00446F65">
        <w:rPr>
          <w:rFonts w:ascii="Times New Roman" w:eastAsiaTheme="majorEastAsia" w:hAnsi="Times New Roman" w:cs="Times New Roman"/>
          <w:bCs/>
          <w:iCs/>
          <w:sz w:val="26"/>
          <w:szCs w:val="26"/>
          <w:lang w:val="ro-MO"/>
        </w:rPr>
        <w:t>TV</w:t>
      </w:r>
      <w:r w:rsidRPr="00446F65">
        <w:rPr>
          <w:rFonts w:ascii="Times New Roman" w:hAnsi="Times New Roman" w:cs="Times New Roman"/>
          <w:sz w:val="26"/>
          <w:szCs w:val="26"/>
          <w:lang w:val="ro-MO"/>
        </w:rPr>
        <w:t>, telefonie mobilă).</w:t>
      </w:r>
      <w:r w:rsidR="00F73212" w:rsidRPr="00446F65">
        <w:rPr>
          <w:rFonts w:ascii="Times New Roman" w:hAnsi="Times New Roman" w:cs="Times New Roman"/>
          <w:sz w:val="26"/>
          <w:szCs w:val="26"/>
          <w:lang w:val="ro-MO"/>
        </w:rPr>
        <w:t xml:space="preserve"> Pachetele de servicii sun</w:t>
      </w:r>
      <w:r w:rsidR="0053038C" w:rsidRPr="00446F65">
        <w:rPr>
          <w:rFonts w:ascii="Times New Roman" w:hAnsi="Times New Roman" w:cs="Times New Roman"/>
          <w:sz w:val="26"/>
          <w:szCs w:val="26"/>
          <w:lang w:val="ro-MO"/>
        </w:rPr>
        <w:t>t</w:t>
      </w:r>
      <w:r w:rsidR="00F73212" w:rsidRPr="00446F65">
        <w:rPr>
          <w:rFonts w:ascii="Times New Roman" w:hAnsi="Times New Roman" w:cs="Times New Roman"/>
          <w:sz w:val="26"/>
          <w:szCs w:val="26"/>
          <w:lang w:val="ro-MO"/>
        </w:rPr>
        <w:t xml:space="preserve"> numite generic </w:t>
      </w:r>
      <w:r w:rsidR="00F73212" w:rsidRPr="00122CAE">
        <w:rPr>
          <w:rFonts w:ascii="Times New Roman" w:hAnsi="Times New Roman" w:cs="Times New Roman"/>
          <w:sz w:val="26"/>
          <w:szCs w:val="26"/>
          <w:lang w:val="ro-MO"/>
        </w:rPr>
        <w:t>“</w:t>
      </w:r>
      <w:proofErr w:type="spellStart"/>
      <w:r w:rsidR="00F73212" w:rsidRPr="00446F65">
        <w:rPr>
          <w:rFonts w:ascii="Times New Roman" w:eastAsiaTheme="majorEastAsia" w:hAnsi="Times New Roman" w:cs="Times New Roman"/>
          <w:bCs/>
          <w:i/>
          <w:iCs/>
          <w:sz w:val="26"/>
          <w:szCs w:val="26"/>
          <w:lang w:val="ro-MO"/>
        </w:rPr>
        <w:t>double</w:t>
      </w:r>
      <w:proofErr w:type="spellEnd"/>
      <w:r w:rsidR="00F73212" w:rsidRPr="00446F65">
        <w:rPr>
          <w:rFonts w:ascii="Times New Roman" w:eastAsiaTheme="majorEastAsia" w:hAnsi="Times New Roman" w:cs="Times New Roman"/>
          <w:bCs/>
          <w:i/>
          <w:iCs/>
          <w:sz w:val="26"/>
          <w:szCs w:val="26"/>
          <w:lang w:val="ro-MO"/>
        </w:rPr>
        <w:t xml:space="preserve"> play</w:t>
      </w:r>
      <w:r w:rsidR="00F73212" w:rsidRPr="00122CAE">
        <w:rPr>
          <w:rFonts w:ascii="Times New Roman" w:hAnsi="Times New Roman" w:cs="Times New Roman"/>
          <w:sz w:val="26"/>
          <w:szCs w:val="26"/>
          <w:lang w:val="ro-MO"/>
        </w:rPr>
        <w:t>”, “</w:t>
      </w:r>
      <w:r w:rsidR="00F73212" w:rsidRPr="00446F65">
        <w:rPr>
          <w:rFonts w:ascii="Times New Roman" w:eastAsiaTheme="majorEastAsia" w:hAnsi="Times New Roman" w:cs="Times New Roman"/>
          <w:bCs/>
          <w:i/>
          <w:iCs/>
          <w:sz w:val="26"/>
          <w:szCs w:val="26"/>
          <w:lang w:val="ro-MO"/>
        </w:rPr>
        <w:t>triple play</w:t>
      </w:r>
      <w:r w:rsidR="00F73212" w:rsidRPr="00122CAE">
        <w:rPr>
          <w:rFonts w:ascii="Times New Roman" w:hAnsi="Times New Roman" w:cs="Times New Roman"/>
          <w:sz w:val="26"/>
          <w:szCs w:val="26"/>
          <w:lang w:val="ro-MO"/>
        </w:rPr>
        <w:t>”, “</w:t>
      </w:r>
      <w:r w:rsidR="00F73212" w:rsidRPr="00446F65">
        <w:rPr>
          <w:rFonts w:ascii="Times New Roman" w:eastAsiaTheme="majorEastAsia" w:hAnsi="Times New Roman" w:cs="Times New Roman"/>
          <w:bCs/>
          <w:i/>
          <w:iCs/>
          <w:sz w:val="26"/>
          <w:szCs w:val="26"/>
          <w:lang w:val="ro-MO"/>
        </w:rPr>
        <w:t>quadruple play</w:t>
      </w:r>
      <w:r w:rsidR="00F73212" w:rsidRPr="00122CAE">
        <w:rPr>
          <w:rFonts w:ascii="Times New Roman" w:hAnsi="Times New Roman" w:cs="Times New Roman"/>
          <w:sz w:val="26"/>
          <w:szCs w:val="26"/>
          <w:lang w:val="ro-MO"/>
        </w:rPr>
        <w:t>”.</w:t>
      </w:r>
    </w:p>
    <w:p w:rsidR="00A23C53" w:rsidRPr="00446F65" w:rsidRDefault="00A23C53" w:rsidP="00317915">
      <w:pPr>
        <w:autoSpaceDE w:val="0"/>
        <w:autoSpaceDN w:val="0"/>
        <w:adjustRightInd w:val="0"/>
        <w:spacing w:after="0" w:line="240" w:lineRule="auto"/>
        <w:ind w:firstLine="720"/>
        <w:jc w:val="both"/>
        <w:rPr>
          <w:rFonts w:ascii="Times New Roman" w:eastAsiaTheme="majorEastAsia" w:hAnsi="Times New Roman" w:cs="Times New Roman"/>
          <w:bCs/>
          <w:iCs/>
          <w:sz w:val="26"/>
          <w:szCs w:val="26"/>
          <w:lang w:val="ro-MO"/>
        </w:rPr>
      </w:pPr>
      <w:r w:rsidRPr="00446F65">
        <w:rPr>
          <w:rFonts w:ascii="Times New Roman" w:eastAsiaTheme="majorEastAsia" w:hAnsi="Times New Roman" w:cs="Times New Roman"/>
          <w:bCs/>
          <w:iCs/>
          <w:sz w:val="26"/>
          <w:szCs w:val="26"/>
          <w:lang w:val="ro-MO"/>
        </w:rPr>
        <w:t xml:space="preserve">ANRCETI a analizat dacă există o piaţă cu amănuntul separată </w:t>
      </w:r>
      <w:r w:rsidR="00F73212" w:rsidRPr="00446F65">
        <w:rPr>
          <w:rFonts w:ascii="Times New Roman" w:eastAsiaTheme="majorEastAsia" w:hAnsi="Times New Roman" w:cs="Times New Roman"/>
          <w:bCs/>
          <w:iCs/>
          <w:sz w:val="26"/>
          <w:szCs w:val="26"/>
          <w:lang w:val="ro-MO"/>
        </w:rPr>
        <w:t>pentru pachetele de servicii.</w:t>
      </w:r>
    </w:p>
    <w:p w:rsidR="00A23C53" w:rsidRPr="00446F65" w:rsidRDefault="00A23C53"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eastAsiaTheme="majorEastAsia" w:hAnsi="Times New Roman" w:cs="Times New Roman"/>
          <w:bCs/>
          <w:iCs/>
          <w:sz w:val="26"/>
          <w:szCs w:val="26"/>
          <w:lang w:val="ro-MO"/>
        </w:rPr>
        <w:t>După cum a fost menționat</w:t>
      </w:r>
      <w:r w:rsidR="00F73212" w:rsidRPr="00446F65">
        <w:rPr>
          <w:rFonts w:ascii="Times New Roman" w:eastAsiaTheme="majorEastAsia" w:hAnsi="Times New Roman" w:cs="Times New Roman"/>
          <w:bCs/>
          <w:iCs/>
          <w:sz w:val="26"/>
          <w:szCs w:val="26"/>
          <w:lang w:val="ro-MO"/>
        </w:rPr>
        <w:t>,</w:t>
      </w:r>
      <w:r w:rsidRPr="00446F65">
        <w:rPr>
          <w:rFonts w:ascii="Times New Roman" w:eastAsiaTheme="majorEastAsia" w:hAnsi="Times New Roman" w:cs="Times New Roman"/>
          <w:bCs/>
          <w:iCs/>
          <w:sz w:val="26"/>
          <w:szCs w:val="26"/>
          <w:lang w:val="ro-MO"/>
        </w:rPr>
        <w:t xml:space="preserve"> în anului 2016 circa 40% din abonații la servicii în bandă largă </w:t>
      </w:r>
      <w:r w:rsidR="0053038C" w:rsidRPr="00446F65">
        <w:rPr>
          <w:rFonts w:ascii="Times New Roman" w:eastAsiaTheme="majorEastAsia" w:hAnsi="Times New Roman" w:cs="Times New Roman"/>
          <w:bCs/>
          <w:iCs/>
          <w:sz w:val="26"/>
          <w:szCs w:val="26"/>
          <w:lang w:val="ro-MO"/>
        </w:rPr>
        <w:t xml:space="preserve">la puncte fixe </w:t>
      </w:r>
      <w:r w:rsidRPr="00446F65">
        <w:rPr>
          <w:rFonts w:ascii="Times New Roman" w:eastAsiaTheme="majorEastAsia" w:hAnsi="Times New Roman" w:cs="Times New Roman"/>
          <w:bCs/>
          <w:iCs/>
          <w:sz w:val="26"/>
          <w:szCs w:val="26"/>
          <w:lang w:val="ro-MO"/>
        </w:rPr>
        <w:t xml:space="preserve">au achiziţionat serviciul de acces la </w:t>
      </w:r>
      <w:r w:rsidR="00F73212" w:rsidRPr="00446F65">
        <w:rPr>
          <w:rFonts w:ascii="Times New Roman" w:eastAsiaTheme="majorEastAsia" w:hAnsi="Times New Roman" w:cs="Times New Roman"/>
          <w:bCs/>
          <w:iCs/>
          <w:sz w:val="26"/>
          <w:szCs w:val="26"/>
          <w:lang w:val="ro-MO"/>
        </w:rPr>
        <w:t>I</w:t>
      </w:r>
      <w:r w:rsidRPr="00446F65">
        <w:rPr>
          <w:rFonts w:ascii="Times New Roman" w:eastAsiaTheme="majorEastAsia" w:hAnsi="Times New Roman" w:cs="Times New Roman"/>
          <w:bCs/>
          <w:iCs/>
          <w:sz w:val="26"/>
          <w:szCs w:val="26"/>
          <w:lang w:val="ro-MO"/>
        </w:rPr>
        <w:t xml:space="preserve">nternet în bandă largă la puncte fixe împreună cu serviciul de telefonie fixă și/sau serviciul </w:t>
      </w:r>
      <w:r w:rsidR="000E31ED" w:rsidRPr="00446F65">
        <w:rPr>
          <w:rFonts w:ascii="Times New Roman" w:eastAsiaTheme="majorEastAsia" w:hAnsi="Times New Roman" w:cs="Times New Roman"/>
          <w:bCs/>
          <w:iCs/>
          <w:sz w:val="26"/>
          <w:szCs w:val="26"/>
          <w:lang w:val="ro-MO"/>
        </w:rPr>
        <w:t>TV</w:t>
      </w:r>
      <w:r w:rsidRPr="00446F65">
        <w:rPr>
          <w:rFonts w:ascii="Times New Roman" w:eastAsiaTheme="majorEastAsia" w:hAnsi="Times New Roman" w:cs="Times New Roman"/>
          <w:bCs/>
          <w:iCs/>
          <w:sz w:val="26"/>
          <w:szCs w:val="26"/>
          <w:lang w:val="ro-MO"/>
        </w:rPr>
        <w:t xml:space="preserve"> (</w:t>
      </w:r>
      <w:r w:rsidR="00F73212" w:rsidRPr="00122CAE">
        <w:rPr>
          <w:rFonts w:ascii="Times New Roman" w:hAnsi="Times New Roman" w:cs="Times New Roman"/>
          <w:sz w:val="26"/>
          <w:szCs w:val="26"/>
          <w:lang w:val="ro-MO"/>
        </w:rPr>
        <w:t>“</w:t>
      </w:r>
      <w:proofErr w:type="spellStart"/>
      <w:r w:rsidR="00F73212" w:rsidRPr="00446F65">
        <w:rPr>
          <w:rFonts w:ascii="Times New Roman" w:eastAsiaTheme="majorEastAsia" w:hAnsi="Times New Roman" w:cs="Times New Roman"/>
          <w:bCs/>
          <w:i/>
          <w:iCs/>
          <w:sz w:val="26"/>
          <w:szCs w:val="26"/>
          <w:lang w:val="ro-MO"/>
        </w:rPr>
        <w:t>double</w:t>
      </w:r>
      <w:proofErr w:type="spellEnd"/>
      <w:r w:rsidR="00F73212" w:rsidRPr="00446F65">
        <w:rPr>
          <w:rFonts w:ascii="Times New Roman" w:eastAsiaTheme="majorEastAsia" w:hAnsi="Times New Roman" w:cs="Times New Roman"/>
          <w:bCs/>
          <w:i/>
          <w:iCs/>
          <w:sz w:val="26"/>
          <w:szCs w:val="26"/>
          <w:lang w:val="ro-MO"/>
        </w:rPr>
        <w:t xml:space="preserve"> play</w:t>
      </w:r>
      <w:r w:rsidR="00F73212" w:rsidRPr="00122CAE">
        <w:rPr>
          <w:rFonts w:ascii="Times New Roman" w:hAnsi="Times New Roman" w:cs="Times New Roman"/>
          <w:i/>
          <w:sz w:val="26"/>
          <w:szCs w:val="26"/>
          <w:lang w:val="ro-MO"/>
        </w:rPr>
        <w:t>” și “</w:t>
      </w:r>
      <w:r w:rsidR="00F73212" w:rsidRPr="00446F65">
        <w:rPr>
          <w:rFonts w:ascii="Times New Roman" w:eastAsiaTheme="majorEastAsia" w:hAnsi="Times New Roman" w:cs="Times New Roman"/>
          <w:bCs/>
          <w:i/>
          <w:iCs/>
          <w:sz w:val="26"/>
          <w:szCs w:val="26"/>
          <w:lang w:val="ro-MO"/>
        </w:rPr>
        <w:t>triple play</w:t>
      </w:r>
      <w:r w:rsidR="00F73212" w:rsidRPr="00122CAE">
        <w:rPr>
          <w:rFonts w:ascii="Times New Roman" w:hAnsi="Times New Roman" w:cs="Times New Roman"/>
          <w:sz w:val="26"/>
          <w:szCs w:val="26"/>
          <w:lang w:val="ro-MO"/>
        </w:rPr>
        <w:t>”</w:t>
      </w:r>
      <w:r w:rsidRPr="00446F65">
        <w:rPr>
          <w:rFonts w:ascii="Times New Roman" w:eastAsiaTheme="majorEastAsia" w:hAnsi="Times New Roman" w:cs="Times New Roman"/>
          <w:bCs/>
          <w:iCs/>
          <w:sz w:val="26"/>
          <w:szCs w:val="26"/>
          <w:lang w:val="ro-MO"/>
        </w:rPr>
        <w:t xml:space="preserve">). </w:t>
      </w:r>
    </w:p>
    <w:p w:rsidR="00A23C53" w:rsidRPr="00446F65" w:rsidRDefault="00A23C53"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Unul dintre avantajele pentru procurarea pachetelor de servicii sunt economiile de tranzacţionare pe care consumatorii le pot obţine prin contractarea şi, respectiv, tarifarea de către un singur furnizor (</w:t>
      </w:r>
      <w:proofErr w:type="spellStart"/>
      <w:r w:rsidRPr="00446F65">
        <w:rPr>
          <w:rFonts w:ascii="Times New Roman" w:hAnsi="Times New Roman" w:cs="Times New Roman"/>
          <w:i/>
          <w:sz w:val="26"/>
          <w:szCs w:val="26"/>
          <w:lang w:val="ro-MO"/>
        </w:rPr>
        <w:t>eng</w:t>
      </w:r>
      <w:proofErr w:type="spellEnd"/>
      <w:r w:rsidRPr="00446F65">
        <w:rPr>
          <w:rFonts w:ascii="Times New Roman" w:hAnsi="Times New Roman" w:cs="Times New Roman"/>
          <w:i/>
          <w:sz w:val="26"/>
          <w:szCs w:val="26"/>
          <w:lang w:val="ro-MO"/>
        </w:rPr>
        <w:t>. „</w:t>
      </w:r>
      <w:proofErr w:type="spellStart"/>
      <w:r w:rsidRPr="00446F65">
        <w:rPr>
          <w:rFonts w:ascii="Times New Roman" w:hAnsi="Times New Roman" w:cs="Times New Roman"/>
          <w:i/>
          <w:sz w:val="26"/>
          <w:szCs w:val="26"/>
          <w:lang w:val="ro-MO"/>
        </w:rPr>
        <w:t>onestop</w:t>
      </w:r>
      <w:proofErr w:type="spellEnd"/>
      <w:r w:rsidRPr="00446F65">
        <w:rPr>
          <w:rFonts w:ascii="Times New Roman" w:hAnsi="Times New Roman" w:cs="Times New Roman"/>
          <w:i/>
          <w:sz w:val="26"/>
          <w:szCs w:val="26"/>
          <w:lang w:val="ro-MO"/>
        </w:rPr>
        <w:t xml:space="preserve"> shopping</w:t>
      </w:r>
      <w:r w:rsidR="00F73212" w:rsidRPr="00122CAE">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w:t>
      </w:r>
    </w:p>
    <w:p w:rsidR="00A23C53" w:rsidRPr="00446F65" w:rsidRDefault="00A23C53"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Nivelul mai ridicat de interactivitate (prin</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disponibilitatea unei conexiuni bidirecţionale) şi un set integrat de terminale pot, de asemenea, să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fie</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identificate de către </w:t>
      </w:r>
      <w:r w:rsidR="00846E9A" w:rsidRPr="00446F65">
        <w:rPr>
          <w:rFonts w:ascii="Times New Roman" w:hAnsi="Times New Roman" w:cs="Times New Roman"/>
          <w:sz w:val="26"/>
          <w:szCs w:val="26"/>
          <w:lang w:val="ro-MO"/>
        </w:rPr>
        <w:t>utilizatori</w:t>
      </w:r>
      <w:r w:rsidRPr="00446F65">
        <w:rPr>
          <w:rFonts w:ascii="Times New Roman" w:hAnsi="Times New Roman" w:cs="Times New Roman"/>
          <w:sz w:val="26"/>
          <w:szCs w:val="26"/>
          <w:lang w:val="ro-MO"/>
        </w:rPr>
        <w:t xml:space="preserve"> ca plus valoare. </w:t>
      </w:r>
    </w:p>
    <w:p w:rsidR="00846E9A" w:rsidRPr="00446F65" w:rsidRDefault="00A23C53"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Cu toate că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există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o creştere a utilizării de pachete de servicii, acest lucru nu înseamnă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în mod necesar că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trebuie definită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o piaţă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a produsului separată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pentru</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pachete de servicii. În majoritatea cazurilor, utilizatorii au posibilitatea de a achiziţiona serviciile din pachet</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şi în mod individual, de la diferiţi furnizori</w:t>
      </w:r>
      <w:r w:rsidR="00846E9A" w:rsidRPr="00446F65">
        <w:rPr>
          <w:rFonts w:ascii="Times New Roman" w:hAnsi="Times New Roman" w:cs="Times New Roman"/>
          <w:sz w:val="26"/>
          <w:szCs w:val="26"/>
          <w:lang w:val="ro-MO"/>
        </w:rPr>
        <w:t xml:space="preserve">. </w:t>
      </w:r>
    </w:p>
    <w:p w:rsidR="00846E9A" w:rsidRPr="00446F65" w:rsidRDefault="00A23C53"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Astfel, dat fiind că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utilizatorii care cumpără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un pachet </w:t>
      </w:r>
      <w:r w:rsidR="00846E9A" w:rsidRPr="00446F65">
        <w:rPr>
          <w:rFonts w:ascii="Times New Roman" w:hAnsi="Times New Roman" w:cs="Times New Roman"/>
          <w:sz w:val="26"/>
          <w:szCs w:val="26"/>
          <w:lang w:val="ro-MO"/>
        </w:rPr>
        <w:t xml:space="preserve">de servicii </w:t>
      </w:r>
      <w:r w:rsidRPr="00446F65">
        <w:rPr>
          <w:rFonts w:ascii="Times New Roman" w:hAnsi="Times New Roman" w:cs="Times New Roman"/>
          <w:sz w:val="26"/>
          <w:szCs w:val="26"/>
          <w:lang w:val="ro-MO"/>
        </w:rPr>
        <w:t>de la un singur furnizor pot trece la achiziţionarea de servicii individuale de la alţi furnizori,</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în cazul în care preţul pachetului </w:t>
      </w:r>
      <w:r w:rsidR="00846E9A" w:rsidRPr="00446F65">
        <w:rPr>
          <w:rFonts w:ascii="Times New Roman" w:hAnsi="Times New Roman" w:cs="Times New Roman"/>
          <w:sz w:val="26"/>
          <w:szCs w:val="26"/>
          <w:lang w:val="ro-MO"/>
        </w:rPr>
        <w:t>de servicii</w:t>
      </w:r>
      <w:r w:rsidRPr="00446F65">
        <w:rPr>
          <w:rFonts w:ascii="Times New Roman" w:hAnsi="Times New Roman" w:cs="Times New Roman"/>
          <w:sz w:val="26"/>
          <w:szCs w:val="26"/>
          <w:lang w:val="ro-MO"/>
        </w:rPr>
        <w:t xml:space="preserve"> este majorat peste nivelul competitiv, nu se poate considera</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că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pachetele </w:t>
      </w:r>
      <w:r w:rsidR="00846E9A" w:rsidRPr="00446F65">
        <w:rPr>
          <w:rFonts w:ascii="Times New Roman" w:hAnsi="Times New Roman" w:cs="Times New Roman"/>
          <w:sz w:val="26"/>
          <w:szCs w:val="26"/>
          <w:lang w:val="ro-MO"/>
        </w:rPr>
        <w:t>de servicii</w:t>
      </w:r>
      <w:r w:rsidRPr="00446F65">
        <w:rPr>
          <w:rFonts w:ascii="Times New Roman" w:hAnsi="Times New Roman" w:cs="Times New Roman"/>
          <w:sz w:val="26"/>
          <w:szCs w:val="26"/>
          <w:lang w:val="ro-MO"/>
        </w:rPr>
        <w:t xml:space="preserve"> formează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o piaţă</w:t>
      </w:r>
      <w:r w:rsidR="00846E9A" w:rsidRPr="00446F65">
        <w:rPr>
          <w:rFonts w:ascii="Times New Roman" w:hAnsi="Times New Roman" w:cs="Times New Roman"/>
          <w:sz w:val="26"/>
          <w:szCs w:val="26"/>
          <w:lang w:val="ro-MO"/>
        </w:rPr>
        <w:t xml:space="preserve"> a</w:t>
      </w:r>
      <w:r w:rsidRPr="00446F65">
        <w:rPr>
          <w:rFonts w:ascii="Times New Roman" w:hAnsi="Times New Roman" w:cs="Times New Roman"/>
          <w:sz w:val="26"/>
          <w:szCs w:val="26"/>
          <w:lang w:val="ro-MO"/>
        </w:rPr>
        <w:t xml:space="preserve"> produsului separată. </w:t>
      </w:r>
    </w:p>
    <w:p w:rsidR="00A23C53" w:rsidRPr="00446F65" w:rsidRDefault="00A23C53"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Din punct de vedere al ofertei, din perspectiva </w:t>
      </w:r>
      <w:r w:rsidR="00174570" w:rsidRPr="00446F65">
        <w:rPr>
          <w:rFonts w:ascii="Times New Roman" w:hAnsi="Times New Roman" w:cs="Times New Roman"/>
          <w:sz w:val="26"/>
          <w:szCs w:val="26"/>
          <w:lang w:val="ro-MO"/>
        </w:rPr>
        <w:t>furnizorilor</w:t>
      </w:r>
      <w:r w:rsidRPr="00446F65">
        <w:rPr>
          <w:rFonts w:ascii="Times New Roman" w:hAnsi="Times New Roman" w:cs="Times New Roman"/>
          <w:sz w:val="26"/>
          <w:szCs w:val="26"/>
          <w:lang w:val="ro-MO"/>
        </w:rPr>
        <w:t xml:space="preserve"> care furnizează</w:t>
      </w:r>
      <w:r w:rsidR="00846E9A"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serviciile de acces la</w:t>
      </w:r>
      <w:r w:rsidR="00174570" w:rsidRPr="00446F65">
        <w:rPr>
          <w:rFonts w:ascii="Times New Roman" w:hAnsi="Times New Roman" w:cs="Times New Roman"/>
          <w:sz w:val="26"/>
          <w:szCs w:val="26"/>
          <w:lang w:val="ro-MO"/>
        </w:rPr>
        <w:t xml:space="preserve"> </w:t>
      </w:r>
      <w:r w:rsidR="00F73212"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 xml:space="preserve">nternet la puncte fixe la pachet cu alte servicii de comunicaţii electronice, </w:t>
      </w:r>
      <w:r w:rsidR="00174570" w:rsidRPr="00446F65">
        <w:rPr>
          <w:rFonts w:ascii="Times New Roman" w:hAnsi="Times New Roman" w:cs="Times New Roman"/>
          <w:sz w:val="26"/>
          <w:szCs w:val="26"/>
          <w:lang w:val="ro-MO"/>
        </w:rPr>
        <w:t>ANRCETI</w:t>
      </w:r>
      <w:r w:rsidRPr="00446F65">
        <w:rPr>
          <w:rFonts w:ascii="Times New Roman" w:hAnsi="Times New Roman" w:cs="Times New Roman"/>
          <w:sz w:val="26"/>
          <w:szCs w:val="26"/>
          <w:lang w:val="ro-MO"/>
        </w:rPr>
        <w:t xml:space="preserve"> admite că</w:t>
      </w:r>
      <w:r w:rsidR="00174570"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poate exista</w:t>
      </w:r>
      <w:r w:rsidR="00174570"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un avantaj economic al acestora, din punct de vedere al potenţialel</w:t>
      </w:r>
      <w:r w:rsidR="00174570" w:rsidRPr="00446F65">
        <w:rPr>
          <w:rFonts w:ascii="Times New Roman" w:hAnsi="Times New Roman" w:cs="Times New Roman"/>
          <w:sz w:val="26"/>
          <w:szCs w:val="26"/>
          <w:lang w:val="ro-MO"/>
        </w:rPr>
        <w:t>or</w:t>
      </w:r>
      <w:r w:rsidRPr="00446F65">
        <w:rPr>
          <w:rFonts w:ascii="Times New Roman" w:hAnsi="Times New Roman" w:cs="Times New Roman"/>
          <w:sz w:val="26"/>
          <w:szCs w:val="26"/>
          <w:lang w:val="ro-MO"/>
        </w:rPr>
        <w:t xml:space="preserve"> economii de </w:t>
      </w:r>
      <w:r w:rsidR="00174570" w:rsidRPr="00446F65">
        <w:rPr>
          <w:rFonts w:ascii="Times New Roman" w:hAnsi="Times New Roman" w:cs="Times New Roman"/>
          <w:sz w:val="26"/>
          <w:szCs w:val="26"/>
          <w:lang w:val="ro-MO"/>
        </w:rPr>
        <w:t>gamă</w:t>
      </w:r>
      <w:r w:rsidRPr="00446F65">
        <w:rPr>
          <w:rFonts w:ascii="Times New Roman" w:hAnsi="Times New Roman" w:cs="Times New Roman"/>
          <w:sz w:val="26"/>
          <w:szCs w:val="26"/>
          <w:lang w:val="ro-MO"/>
        </w:rPr>
        <w:t xml:space="preserve"> realizate, faţă</w:t>
      </w:r>
      <w:r w:rsidR="00174570"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de</w:t>
      </w:r>
      <w:r w:rsidR="00174570" w:rsidRPr="00446F65">
        <w:rPr>
          <w:rFonts w:ascii="Times New Roman" w:hAnsi="Times New Roman" w:cs="Times New Roman"/>
          <w:sz w:val="26"/>
          <w:szCs w:val="26"/>
          <w:lang w:val="ro-MO"/>
        </w:rPr>
        <w:t xml:space="preserve"> furnizorii</w:t>
      </w:r>
      <w:r w:rsidRPr="00446F65">
        <w:rPr>
          <w:rFonts w:ascii="Times New Roman" w:hAnsi="Times New Roman" w:cs="Times New Roman"/>
          <w:sz w:val="26"/>
          <w:szCs w:val="26"/>
          <w:lang w:val="ro-MO"/>
        </w:rPr>
        <w:t xml:space="preserve"> care furnizează</w:t>
      </w:r>
      <w:r w:rsidR="00174570"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doar servicii de acces la </w:t>
      </w:r>
      <w:r w:rsidR="000E31ED"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nternet la puncte fixe în mod individual</w:t>
      </w:r>
      <w:r w:rsidR="00174570"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Cu toate</w:t>
      </w:r>
      <w:r w:rsidR="00174570"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acestea, </w:t>
      </w:r>
      <w:r w:rsidR="00F73212"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nternetul la puncte fixe este oferit, în</w:t>
      </w:r>
      <w:r w:rsidR="00174570"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general, atât în mod individual</w:t>
      </w:r>
      <w:r w:rsidR="00861B45" w:rsidRPr="00446F65">
        <w:rPr>
          <w:rFonts w:ascii="Times New Roman" w:hAnsi="Times New Roman" w:cs="Times New Roman"/>
          <w:sz w:val="26"/>
          <w:szCs w:val="26"/>
          <w:lang w:val="ro-MO"/>
        </w:rPr>
        <w:t xml:space="preserve"> (în special în afacerea </w:t>
      </w:r>
      <w:r w:rsidR="00F73212" w:rsidRPr="00446F65">
        <w:rPr>
          <w:rFonts w:ascii="Times New Roman" w:hAnsi="Times New Roman" w:cs="Times New Roman"/>
          <w:sz w:val="26"/>
          <w:szCs w:val="26"/>
          <w:lang w:val="ro-MO"/>
        </w:rPr>
        <w:t xml:space="preserve">de </w:t>
      </w:r>
      <w:r w:rsidR="00861B45" w:rsidRPr="00446F65">
        <w:rPr>
          <w:rFonts w:ascii="Times New Roman" w:hAnsi="Times New Roman" w:cs="Times New Roman"/>
          <w:sz w:val="26"/>
          <w:szCs w:val="26"/>
          <w:lang w:val="ro-MO"/>
        </w:rPr>
        <w:t>bază</w:t>
      </w:r>
      <w:r w:rsidR="00F73212" w:rsidRPr="00446F65">
        <w:rPr>
          <w:rFonts w:ascii="Times New Roman" w:hAnsi="Times New Roman" w:cs="Times New Roman"/>
          <w:sz w:val="26"/>
          <w:szCs w:val="26"/>
          <w:lang w:val="ro-MO"/>
        </w:rPr>
        <w:t xml:space="preserve"> a furnizorilor</w:t>
      </w:r>
      <w:r w:rsidR="00861B45"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cât şi la pachet cu alte servicii de comunicaţii electronice</w:t>
      </w:r>
      <w:r w:rsidR="00174570" w:rsidRPr="00446F65">
        <w:rPr>
          <w:rFonts w:ascii="Times New Roman" w:hAnsi="Times New Roman" w:cs="Times New Roman"/>
          <w:sz w:val="26"/>
          <w:szCs w:val="26"/>
          <w:lang w:val="ro-MO"/>
        </w:rPr>
        <w:t>, astfel că</w:t>
      </w:r>
      <w:r w:rsidRPr="00446F65">
        <w:rPr>
          <w:rFonts w:ascii="Times New Roman" w:hAnsi="Times New Roman" w:cs="Times New Roman"/>
          <w:sz w:val="26"/>
          <w:szCs w:val="26"/>
          <w:lang w:val="ro-MO"/>
        </w:rPr>
        <w:t xml:space="preserve"> nu este oportună</w:t>
      </w:r>
      <w:r w:rsidR="00174570"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definirea unei</w:t>
      </w:r>
      <w:r w:rsidR="00174570"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pieţe separate corespunzătoare pachetelor de servicii de comunicaţii electronice.</w:t>
      </w:r>
    </w:p>
    <w:p w:rsidR="00861B45" w:rsidRPr="00446F65" w:rsidRDefault="00861B45" w:rsidP="00317915">
      <w:pPr>
        <w:spacing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Un alt factor important este creșterea utilizării serviciilor oferite de furnizorii OTT, care rup legătura între accesul la rețea și furnizarea serviciului, iar consumatorii care se bazează pe servicii OTT, de obicei nu au nici un stimulent real de a procura pachete de servicii, deoarece serviciul de </w:t>
      </w:r>
      <w:r w:rsidR="00C3526F"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nternet în bandă largă furnizat de sine stătător poate fi suficient pentru furnizarea unei game de servicii necesare.</w:t>
      </w:r>
    </w:p>
    <w:p w:rsidR="00A23C53" w:rsidRPr="00446F65" w:rsidRDefault="00A23C53"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eastAsiaTheme="majorEastAsia" w:hAnsi="Times New Roman" w:cs="Times New Roman"/>
          <w:bCs/>
          <w:iCs/>
          <w:sz w:val="26"/>
          <w:szCs w:val="26"/>
          <w:lang w:val="ro-MO"/>
        </w:rPr>
        <w:t xml:space="preserve">Prin urmare, </w:t>
      </w:r>
      <w:r w:rsidRPr="00446F65">
        <w:rPr>
          <w:rFonts w:ascii="Times New Roman" w:eastAsiaTheme="majorEastAsia" w:hAnsi="Times New Roman" w:cs="Times New Roman"/>
          <w:b/>
          <w:bCs/>
          <w:iCs/>
          <w:sz w:val="26"/>
          <w:szCs w:val="26"/>
          <w:lang w:val="ro-MO"/>
        </w:rPr>
        <w:t xml:space="preserve">concluzia </w:t>
      </w:r>
      <w:r w:rsidR="00174570" w:rsidRPr="00446F65">
        <w:rPr>
          <w:rFonts w:ascii="Times New Roman" w:eastAsiaTheme="majorEastAsia" w:hAnsi="Times New Roman" w:cs="Times New Roman"/>
          <w:b/>
          <w:bCs/>
          <w:iCs/>
          <w:sz w:val="26"/>
          <w:szCs w:val="26"/>
          <w:lang w:val="ro-MO"/>
        </w:rPr>
        <w:t>ANRCETI</w:t>
      </w:r>
      <w:r w:rsidR="00174570" w:rsidRPr="00446F65">
        <w:rPr>
          <w:rFonts w:ascii="Times New Roman" w:eastAsiaTheme="majorEastAsia" w:hAnsi="Times New Roman" w:cs="Times New Roman"/>
          <w:bCs/>
          <w:iCs/>
          <w:sz w:val="26"/>
          <w:szCs w:val="26"/>
          <w:lang w:val="ro-MO"/>
        </w:rPr>
        <w:t xml:space="preserve"> este că pachetele de servicii</w:t>
      </w:r>
      <w:r w:rsidRPr="00446F65">
        <w:rPr>
          <w:rFonts w:ascii="Times New Roman" w:eastAsiaTheme="majorEastAsia" w:hAnsi="Times New Roman" w:cs="Times New Roman"/>
          <w:bCs/>
          <w:iCs/>
          <w:sz w:val="26"/>
          <w:szCs w:val="26"/>
          <w:lang w:val="ro-MO"/>
        </w:rPr>
        <w:t xml:space="preserve"> nu constituie o piaţă</w:t>
      </w:r>
      <w:r w:rsidR="00174570" w:rsidRPr="00446F65">
        <w:rPr>
          <w:rFonts w:ascii="Times New Roman" w:eastAsiaTheme="majorEastAsia" w:hAnsi="Times New Roman" w:cs="Times New Roman"/>
          <w:bCs/>
          <w:iCs/>
          <w:sz w:val="26"/>
          <w:szCs w:val="26"/>
          <w:lang w:val="ro-MO"/>
        </w:rPr>
        <w:t xml:space="preserve"> a</w:t>
      </w:r>
      <w:r w:rsidRPr="00446F65">
        <w:rPr>
          <w:rFonts w:ascii="Times New Roman" w:eastAsiaTheme="majorEastAsia" w:hAnsi="Times New Roman" w:cs="Times New Roman"/>
          <w:bCs/>
          <w:iCs/>
          <w:sz w:val="26"/>
          <w:szCs w:val="26"/>
          <w:lang w:val="ro-MO"/>
        </w:rPr>
        <w:t xml:space="preserve"> produsului distinctă</w:t>
      </w:r>
      <w:r w:rsidR="00174570" w:rsidRPr="00446F65">
        <w:rPr>
          <w:rFonts w:ascii="Times New Roman" w:eastAsiaTheme="majorEastAsia" w:hAnsi="Times New Roman" w:cs="Times New Roman"/>
          <w:bCs/>
          <w:iCs/>
          <w:sz w:val="26"/>
          <w:szCs w:val="26"/>
          <w:lang w:val="ro-MO"/>
        </w:rPr>
        <w:t>.</w:t>
      </w:r>
    </w:p>
    <w:p w:rsidR="00E97326" w:rsidRPr="00446F65" w:rsidRDefault="00F73212" w:rsidP="00317915">
      <w:pPr>
        <w:pStyle w:val="Heading5"/>
        <w:spacing w:line="240" w:lineRule="auto"/>
        <w:ind w:firstLine="720"/>
        <w:rPr>
          <w:rFonts w:ascii="Times New Roman" w:hAnsi="Times New Roman" w:cs="Times New Roman"/>
          <w:color w:val="auto"/>
          <w:sz w:val="26"/>
          <w:szCs w:val="26"/>
          <w:lang w:val="ro-MO"/>
        </w:rPr>
      </w:pPr>
      <w:bookmarkStart w:id="9" w:name="_Toc492907368"/>
      <w:r w:rsidRPr="00446F65">
        <w:rPr>
          <w:rFonts w:ascii="Times New Roman" w:hAnsi="Times New Roman" w:cs="Times New Roman"/>
          <w:b/>
          <w:color w:val="auto"/>
          <w:sz w:val="26"/>
          <w:szCs w:val="26"/>
          <w:lang w:val="ro-MO"/>
        </w:rPr>
        <w:lastRenderedPageBreak/>
        <w:t xml:space="preserve">2.1.3.3  </w:t>
      </w:r>
      <w:r w:rsidR="00E97326" w:rsidRPr="00446F65">
        <w:rPr>
          <w:rFonts w:ascii="Times New Roman" w:hAnsi="Times New Roman" w:cs="Times New Roman"/>
          <w:b/>
          <w:color w:val="auto"/>
          <w:sz w:val="26"/>
          <w:szCs w:val="26"/>
          <w:lang w:val="ro-MO"/>
        </w:rPr>
        <w:t xml:space="preserve">Sumarul analizei pieţei produsului </w:t>
      </w:r>
      <w:r w:rsidR="00E70826" w:rsidRPr="00446F65">
        <w:rPr>
          <w:rFonts w:ascii="Times New Roman" w:hAnsi="Times New Roman" w:cs="Times New Roman"/>
          <w:b/>
          <w:color w:val="auto"/>
          <w:sz w:val="26"/>
          <w:szCs w:val="26"/>
          <w:lang w:val="ro-MO"/>
        </w:rPr>
        <w:t>cu amănuntul</w:t>
      </w:r>
      <w:bookmarkEnd w:id="9"/>
    </w:p>
    <w:p w:rsidR="00E70826" w:rsidRPr="00446F65" w:rsidRDefault="00E9732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a identificat că produsul focal </w:t>
      </w:r>
      <w:r w:rsidR="00E70826" w:rsidRPr="00446F65">
        <w:rPr>
          <w:rFonts w:ascii="Times New Roman" w:hAnsi="Times New Roman" w:cs="Times New Roman"/>
          <w:sz w:val="26"/>
          <w:szCs w:val="26"/>
          <w:lang w:val="ro-MO"/>
        </w:rPr>
        <w:t xml:space="preserve">pentru piaţa serviciilor cu amănuntul în bandă largă reprezintă </w:t>
      </w:r>
      <w:r w:rsidR="00E70826" w:rsidRPr="00446F65">
        <w:rPr>
          <w:rFonts w:ascii="Times New Roman" w:hAnsi="Times New Roman" w:cs="Times New Roman"/>
          <w:b/>
          <w:i/>
          <w:sz w:val="26"/>
          <w:szCs w:val="26"/>
          <w:lang w:val="ro-MO"/>
        </w:rPr>
        <w:t>serviciile în bandă largă furnizate prin intermediul rețelelor de cupru (xDSL) și rețelelor de fibră optică (FTTx)</w:t>
      </w:r>
      <w:r w:rsidR="00E70826" w:rsidRPr="00446F65">
        <w:rPr>
          <w:rFonts w:ascii="Times New Roman" w:hAnsi="Times New Roman" w:cs="Times New Roman"/>
          <w:sz w:val="26"/>
          <w:szCs w:val="26"/>
          <w:lang w:val="ro-MO"/>
        </w:rPr>
        <w:t>.</w:t>
      </w:r>
    </w:p>
    <w:p w:rsidR="00E97326" w:rsidRPr="00446F65" w:rsidDel="00552211" w:rsidRDefault="00E9732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Aplicarea testului monopolistului ipotetic nu a indic</w:t>
      </w:r>
      <w:r w:rsidR="005E5813" w:rsidRPr="00446F65">
        <w:rPr>
          <w:rFonts w:ascii="Times New Roman" w:hAnsi="Times New Roman" w:cs="Times New Roman"/>
          <w:sz w:val="26"/>
          <w:szCs w:val="26"/>
          <w:lang w:val="ro-MO"/>
        </w:rPr>
        <w:t>at</w:t>
      </w:r>
      <w:r w:rsidRPr="00446F65">
        <w:rPr>
          <w:rFonts w:ascii="Times New Roman" w:hAnsi="Times New Roman" w:cs="Times New Roman"/>
          <w:sz w:val="26"/>
          <w:szCs w:val="26"/>
          <w:lang w:val="ro-MO"/>
        </w:rPr>
        <w:t xml:space="preserve"> asupra altor produse care ar putea fi substituente produsului focal.</w:t>
      </w:r>
    </w:p>
    <w:p w:rsidR="00F30B68" w:rsidRPr="00446F65" w:rsidRDefault="00F30B68"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E97326" w:rsidRPr="00446F65" w:rsidRDefault="00E97326"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concluzionează că piaţa produsului </w:t>
      </w:r>
      <w:r w:rsidR="00E70826" w:rsidRPr="00446F65">
        <w:rPr>
          <w:rFonts w:ascii="Times New Roman" w:hAnsi="Times New Roman" w:cs="Times New Roman"/>
          <w:sz w:val="26"/>
          <w:szCs w:val="26"/>
          <w:lang w:val="ro-MO"/>
        </w:rPr>
        <w:t xml:space="preserve">cu amănuntul </w:t>
      </w:r>
      <w:r w:rsidRPr="00446F65">
        <w:rPr>
          <w:rFonts w:ascii="Times New Roman" w:hAnsi="Times New Roman" w:cs="Times New Roman"/>
          <w:sz w:val="26"/>
          <w:szCs w:val="26"/>
          <w:lang w:val="ro-MO"/>
        </w:rPr>
        <w:t xml:space="preserve">este următoarea: </w:t>
      </w:r>
    </w:p>
    <w:p w:rsidR="00F73212" w:rsidRPr="00446F65" w:rsidRDefault="00F73212" w:rsidP="00317915">
      <w:pPr>
        <w:autoSpaceDE w:val="0"/>
        <w:autoSpaceDN w:val="0"/>
        <w:adjustRightInd w:val="0"/>
        <w:spacing w:after="0" w:line="240" w:lineRule="auto"/>
        <w:ind w:firstLine="567"/>
        <w:jc w:val="both"/>
        <w:rPr>
          <w:rFonts w:ascii="Times New Roman" w:hAnsi="Times New Roman" w:cs="Times New Roman"/>
          <w:b/>
          <w:bCs/>
          <w:i/>
          <w:sz w:val="26"/>
          <w:szCs w:val="26"/>
          <w:lang w:val="ro-MO"/>
        </w:rPr>
      </w:pPr>
    </w:p>
    <w:p w:rsidR="001770EA" w:rsidRPr="00446F65" w:rsidRDefault="00E97326" w:rsidP="00317915">
      <w:pPr>
        <w:autoSpaceDE w:val="0"/>
        <w:autoSpaceDN w:val="0"/>
        <w:adjustRightInd w:val="0"/>
        <w:spacing w:after="0" w:line="240" w:lineRule="auto"/>
        <w:ind w:firstLine="567"/>
        <w:jc w:val="both"/>
        <w:rPr>
          <w:rFonts w:ascii="Times New Roman" w:hAnsi="Times New Roman" w:cs="Times New Roman"/>
          <w:b/>
          <w:bCs/>
          <w:i/>
          <w:sz w:val="26"/>
          <w:szCs w:val="26"/>
          <w:lang w:val="ro-MO"/>
        </w:rPr>
      </w:pPr>
      <w:r w:rsidRPr="00446F65">
        <w:rPr>
          <w:rFonts w:ascii="Times New Roman" w:hAnsi="Times New Roman" w:cs="Times New Roman"/>
          <w:b/>
          <w:bCs/>
          <w:i/>
          <w:sz w:val="26"/>
          <w:szCs w:val="26"/>
          <w:lang w:val="ro-MO"/>
        </w:rPr>
        <w:t xml:space="preserve">Piaţa </w:t>
      </w:r>
      <w:r w:rsidR="00E70826" w:rsidRPr="00446F65">
        <w:rPr>
          <w:rFonts w:ascii="Times New Roman" w:hAnsi="Times New Roman" w:cs="Times New Roman"/>
          <w:b/>
          <w:bCs/>
          <w:i/>
          <w:sz w:val="26"/>
          <w:szCs w:val="26"/>
          <w:lang w:val="ro-MO"/>
        </w:rPr>
        <w:t xml:space="preserve">serviciilor cu amănuntul în bandă largă </w:t>
      </w:r>
      <w:r w:rsidRPr="00446F65">
        <w:rPr>
          <w:rFonts w:ascii="Times New Roman" w:hAnsi="Times New Roman" w:cs="Times New Roman"/>
          <w:b/>
          <w:bCs/>
          <w:i/>
          <w:sz w:val="26"/>
          <w:szCs w:val="26"/>
          <w:lang w:val="ro-MO"/>
        </w:rPr>
        <w:t xml:space="preserve">cuprinde </w:t>
      </w:r>
      <w:r w:rsidR="00E70826" w:rsidRPr="00446F65">
        <w:rPr>
          <w:rFonts w:ascii="Times New Roman" w:hAnsi="Times New Roman" w:cs="Times New Roman"/>
          <w:b/>
          <w:bCs/>
          <w:i/>
          <w:sz w:val="26"/>
          <w:szCs w:val="26"/>
          <w:lang w:val="ro-MO"/>
        </w:rPr>
        <w:t>serviciile în bandă largă furnizate prin intermediul rețelelor de cupru (xDSL) și rețelelor de fibră optică (FTTx)</w:t>
      </w:r>
      <w:r w:rsidRPr="00446F65">
        <w:rPr>
          <w:rFonts w:ascii="Times New Roman" w:hAnsi="Times New Roman" w:cs="Times New Roman"/>
          <w:b/>
          <w:bCs/>
          <w:i/>
          <w:sz w:val="26"/>
          <w:szCs w:val="26"/>
          <w:lang w:val="ro-MO"/>
        </w:rPr>
        <w:t xml:space="preserve">. </w:t>
      </w:r>
    </w:p>
    <w:p w:rsidR="001770EA" w:rsidRPr="00446F65" w:rsidRDefault="001770EA" w:rsidP="00317915">
      <w:pPr>
        <w:spacing w:line="240" w:lineRule="auto"/>
        <w:rPr>
          <w:rFonts w:ascii="Times New Roman" w:hAnsi="Times New Roman" w:cs="Times New Roman"/>
          <w:b/>
          <w:bCs/>
          <w:i/>
          <w:sz w:val="26"/>
          <w:szCs w:val="26"/>
          <w:lang w:val="ro-MO"/>
        </w:rPr>
      </w:pPr>
      <w:r w:rsidRPr="00446F65">
        <w:rPr>
          <w:rFonts w:ascii="Times New Roman" w:hAnsi="Times New Roman" w:cs="Times New Roman"/>
          <w:b/>
          <w:bCs/>
          <w:i/>
          <w:sz w:val="26"/>
          <w:szCs w:val="26"/>
          <w:lang w:val="ro-MO"/>
        </w:rPr>
        <w:br w:type="page"/>
      </w:r>
    </w:p>
    <w:p w:rsidR="00EE710A" w:rsidRPr="00446F65" w:rsidRDefault="005F0B9E" w:rsidP="00317915">
      <w:pPr>
        <w:pStyle w:val="Heading1"/>
        <w:numPr>
          <w:ilvl w:val="0"/>
          <w:numId w:val="9"/>
        </w:numPr>
        <w:spacing w:line="240" w:lineRule="auto"/>
        <w:ind w:left="0" w:firstLine="720"/>
        <w:jc w:val="both"/>
        <w:rPr>
          <w:rFonts w:eastAsiaTheme="minorHAnsi" w:cs="Times New Roman"/>
          <w:bCs w:val="0"/>
          <w:color w:val="auto"/>
          <w:sz w:val="26"/>
          <w:szCs w:val="26"/>
          <w:lang w:val="ro-MO"/>
        </w:rPr>
      </w:pPr>
      <w:bookmarkStart w:id="10" w:name="_Toc492907369"/>
      <w:r w:rsidRPr="00446F65">
        <w:rPr>
          <w:rFonts w:eastAsiaTheme="minorHAnsi" w:cs="Times New Roman"/>
          <w:bCs w:val="0"/>
          <w:color w:val="auto"/>
          <w:sz w:val="26"/>
          <w:szCs w:val="26"/>
          <w:lang w:val="ro-MO"/>
        </w:rPr>
        <w:lastRenderedPageBreak/>
        <w:t>P</w:t>
      </w:r>
      <w:r w:rsidR="0044494F" w:rsidRPr="00446F65">
        <w:rPr>
          <w:rFonts w:eastAsiaTheme="minorHAnsi" w:cs="Times New Roman"/>
          <w:bCs w:val="0"/>
          <w:color w:val="auto"/>
          <w:sz w:val="26"/>
          <w:szCs w:val="26"/>
          <w:lang w:val="ro-MO"/>
        </w:rPr>
        <w:t>i</w:t>
      </w:r>
      <w:r w:rsidR="00C123B6" w:rsidRPr="00446F65">
        <w:rPr>
          <w:rFonts w:eastAsiaTheme="minorHAnsi" w:cs="Times New Roman"/>
          <w:bCs w:val="0"/>
          <w:color w:val="auto"/>
          <w:sz w:val="26"/>
          <w:szCs w:val="26"/>
          <w:lang w:val="ro-MO"/>
        </w:rPr>
        <w:t>ețele cu ridicata</w:t>
      </w:r>
      <w:bookmarkEnd w:id="10"/>
    </w:p>
    <w:p w:rsidR="00575CD7" w:rsidRPr="00446F65" w:rsidRDefault="00575CD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Pentru furnizarea accesului în bandă largă la puncte fixe utilizatorilor finali este necesar un canal de transmisie potrivit, capabil să transmită date bidirecțional la rate potrivite serviciului solicitat. Prin urmare, orice furnizor care intenționează să furnizeze servicii în bandă largă utilizatorilor finali, are posibilitatea de a alege fie să-și construiască rețeaua proprie, fie să obțină acces la o rețea deja existentă pentru a ajunge la locația utilizatorului final deservit. </w:t>
      </w:r>
    </w:p>
    <w:p w:rsidR="00575CD7" w:rsidRPr="00446F65" w:rsidRDefault="00575CD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Accesul la rețea poate fi teoretic acordat la câteva nivele ale rețelei și prin urmare infrastructurile de rețea sunt, de obicei segmentate în produse de acces la rețea, care pot fi fiecare eventual replicate de solicitanții de acces. Replicarea completă a accesului la rețea presupune construirea/stabilirea întregului canal de transmisiuni până la locația utilizatorului final, adică accesul local sau bucla locală. Ca urmare a analizei substituibilității cererii și ofertei, produsele de acces la rețea pot cădea în diferite piețe cu ridicata de acces. </w:t>
      </w:r>
    </w:p>
    <w:p w:rsidR="00575CD7" w:rsidRPr="00446F65" w:rsidRDefault="00575CD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De la ultima revizuire a Recomandării cu privire la piețele relevante</w:t>
      </w:r>
      <w:r w:rsidR="00B778DF" w:rsidRPr="00446F65">
        <w:rPr>
          <w:rFonts w:ascii="Times New Roman" w:hAnsi="Times New Roman" w:cs="Times New Roman"/>
          <w:sz w:val="26"/>
          <w:szCs w:val="26"/>
          <w:lang w:val="ro-MO"/>
        </w:rPr>
        <w:t xml:space="preserve"> (Recomandarea 2007/879/EC)</w:t>
      </w:r>
      <w:r w:rsidRPr="00446F65">
        <w:rPr>
          <w:rFonts w:ascii="Times New Roman" w:hAnsi="Times New Roman" w:cs="Times New Roman"/>
          <w:sz w:val="26"/>
          <w:szCs w:val="26"/>
          <w:lang w:val="ro-MO"/>
        </w:rPr>
        <w:t xml:space="preserve">, înlocuirea rețelelor tradiționale de acces prin cupru cu rețele bazate pe fibră optică a accelerat considerabil și este de așteptat ca acest proces să continue. Tranziția de la </w:t>
      </w:r>
      <w:r w:rsidR="00F1674F" w:rsidRPr="00446F65">
        <w:rPr>
          <w:rFonts w:ascii="Times New Roman" w:hAnsi="Times New Roman" w:cs="Times New Roman"/>
          <w:sz w:val="26"/>
          <w:szCs w:val="26"/>
          <w:lang w:val="ro-MO"/>
        </w:rPr>
        <w:t xml:space="preserve">rețele bazate pe </w:t>
      </w:r>
      <w:r w:rsidRPr="00446F65">
        <w:rPr>
          <w:rFonts w:ascii="Times New Roman" w:hAnsi="Times New Roman" w:cs="Times New Roman"/>
          <w:sz w:val="26"/>
          <w:szCs w:val="26"/>
          <w:lang w:val="ro-MO"/>
        </w:rPr>
        <w:t xml:space="preserve">cupru la </w:t>
      </w:r>
      <w:r w:rsidR="00F1674F" w:rsidRPr="00446F65">
        <w:rPr>
          <w:rFonts w:ascii="Times New Roman" w:hAnsi="Times New Roman" w:cs="Times New Roman"/>
          <w:sz w:val="26"/>
          <w:szCs w:val="26"/>
          <w:lang w:val="ro-MO"/>
        </w:rPr>
        <w:t xml:space="preserve">rețele bazate pe </w:t>
      </w:r>
      <w:r w:rsidRPr="00446F65">
        <w:rPr>
          <w:rFonts w:ascii="Times New Roman" w:hAnsi="Times New Roman" w:cs="Times New Roman"/>
          <w:sz w:val="26"/>
          <w:szCs w:val="26"/>
          <w:lang w:val="ro-MO"/>
        </w:rPr>
        <w:t>fibră optică deja a introdus schimbări semnificative în design-ul produselor de acces la rețea și, prin urmare, are un impact notabil asupra granițelor și alegerea produselor de acces cu ridicata relevante.</w:t>
      </w:r>
      <w:r w:rsidR="00FB09EA" w:rsidRPr="00446F65">
        <w:rPr>
          <w:rFonts w:ascii="Times New Roman" w:hAnsi="Times New Roman" w:cs="Times New Roman"/>
          <w:sz w:val="26"/>
          <w:szCs w:val="26"/>
          <w:lang w:val="ro-MO"/>
        </w:rPr>
        <w:t xml:space="preserve"> </w:t>
      </w:r>
    </w:p>
    <w:p w:rsidR="00575CD7" w:rsidRPr="00446F65" w:rsidRDefault="00575CD7" w:rsidP="00317915">
      <w:pPr>
        <w:spacing w:after="0" w:line="240" w:lineRule="auto"/>
        <w:ind w:firstLine="720"/>
        <w:rPr>
          <w:rFonts w:ascii="Times New Roman" w:hAnsi="Times New Roman" w:cs="Times New Roman"/>
          <w:i/>
          <w:sz w:val="26"/>
          <w:szCs w:val="26"/>
          <w:lang w:val="ro-MO"/>
        </w:rPr>
      </w:pPr>
      <w:r w:rsidRPr="00446F65">
        <w:rPr>
          <w:rFonts w:ascii="Times New Roman" w:hAnsi="Times New Roman" w:cs="Times New Roman"/>
          <w:i/>
          <w:sz w:val="26"/>
          <w:szCs w:val="26"/>
          <w:lang w:val="ro-MO"/>
        </w:rPr>
        <w:t>Desfășurarea NGA</w:t>
      </w:r>
    </w:p>
    <w:p w:rsidR="00575CD7" w:rsidRPr="00446F65" w:rsidRDefault="00575CD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Recomandarea din 2003 a identificat două piețe cu ridicata aferente pieței cu amănuntul de acces la </w:t>
      </w:r>
      <w:r w:rsidR="00B778DF"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 xml:space="preserve">nternet în bandă largă: accesul cu ridicata necondiționat (total și partajat) la buclele și sub-buclele metalice și accesul cu ridicata în bandă largă. </w:t>
      </w:r>
      <w:r w:rsidR="00A15DCD" w:rsidRPr="00446F65">
        <w:rPr>
          <w:rFonts w:ascii="Times New Roman" w:hAnsi="Times New Roman" w:cs="Times New Roman"/>
          <w:sz w:val="26"/>
          <w:szCs w:val="26"/>
          <w:lang w:val="ro-MO"/>
        </w:rPr>
        <w:t>Recomandarea 2007/879/EC</w:t>
      </w:r>
      <w:r w:rsidRPr="00446F65">
        <w:rPr>
          <w:rFonts w:ascii="Times New Roman" w:hAnsi="Times New Roman" w:cs="Times New Roman"/>
          <w:sz w:val="26"/>
          <w:szCs w:val="26"/>
          <w:lang w:val="ro-MO"/>
        </w:rPr>
        <w:t xml:space="preserve"> a urmat aceeași logică în diferențierea celor două piețe cu ridicata, bazate pe caracteristicile acestora și în virtutea analizei substituibilității cererii și ofertei. Aceste produse sunt în primul rând diferențiate în funcție de natura lor fizică și non-fizică, a nivelului diferit de flexibilitate pe care îl oferă pentru furnizarea serviciilor cu amănuntul și a locului unde este obținut accesul. Deci, accesul necondițional la bucla și sub-bucla locală este furnizat la MDF (</w:t>
      </w:r>
      <w:r w:rsidRPr="00122CAE">
        <w:rPr>
          <w:rFonts w:ascii="Times New Roman" w:hAnsi="Times New Roman" w:cs="Times New Roman"/>
          <w:i/>
          <w:sz w:val="26"/>
          <w:szCs w:val="26"/>
          <w:lang w:val="ro-MO"/>
        </w:rPr>
        <w:t xml:space="preserve">Main Distribution </w:t>
      </w:r>
      <w:proofErr w:type="spellStart"/>
      <w:r w:rsidRPr="00122CAE">
        <w:rPr>
          <w:rFonts w:ascii="Times New Roman" w:hAnsi="Times New Roman" w:cs="Times New Roman"/>
          <w:i/>
          <w:sz w:val="26"/>
          <w:szCs w:val="26"/>
          <w:lang w:val="ro-MO"/>
        </w:rPr>
        <w:t>Frame</w:t>
      </w:r>
      <w:proofErr w:type="spellEnd"/>
      <w:r w:rsidRPr="00446F65">
        <w:rPr>
          <w:rFonts w:ascii="Times New Roman" w:hAnsi="Times New Roman" w:cs="Times New Roman"/>
          <w:sz w:val="26"/>
          <w:szCs w:val="26"/>
          <w:lang w:val="ro-MO"/>
        </w:rPr>
        <w:t>) și la cabinetele stradale (</w:t>
      </w:r>
      <w:r w:rsidRPr="00122CAE">
        <w:rPr>
          <w:rFonts w:ascii="Times New Roman" w:hAnsi="Times New Roman" w:cs="Times New Roman"/>
          <w:i/>
          <w:sz w:val="26"/>
          <w:szCs w:val="26"/>
          <w:lang w:val="ro-MO"/>
        </w:rPr>
        <w:t>SC –</w:t>
      </w:r>
      <w:proofErr w:type="spellStart"/>
      <w:r w:rsidRPr="00122CAE">
        <w:rPr>
          <w:rFonts w:ascii="Times New Roman" w:hAnsi="Times New Roman" w:cs="Times New Roman"/>
          <w:i/>
          <w:sz w:val="26"/>
          <w:szCs w:val="26"/>
          <w:lang w:val="ro-MO"/>
        </w:rPr>
        <w:t>street</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cabinets</w:t>
      </w:r>
      <w:proofErr w:type="spellEnd"/>
      <w:r w:rsidRPr="00446F65">
        <w:rPr>
          <w:rFonts w:ascii="Times New Roman" w:hAnsi="Times New Roman" w:cs="Times New Roman"/>
          <w:sz w:val="26"/>
          <w:szCs w:val="26"/>
          <w:lang w:val="ro-MO"/>
        </w:rPr>
        <w:t xml:space="preserve">) și este un produs de acces fizic la rețea oferind solicitanților de acces o flexibilitate și un control mai mare asupra serviciilor cu amănuntul de acces la </w:t>
      </w:r>
      <w:r w:rsidR="00A15DCD"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nternet în bandă largă furnizat utilizatorilor finali, iar accesul cu ridicata în bandă largă furnizate sub forma serviciilor non-fizice de bitstream care pot fi furnizate la MDF sau la puncte mai înalte a rețelei (la puncte de interconectare regionale sau naționale). Cu toate acestea, în ultimii ani, a avut loc dezvoltare semnificativă tehnologică cu un impact puternic asupra disponibilității celor mai potrivite produse de acces la rețea și, ca rezultat asupra granițelor piețelor cu ridicata de acces la rețea. Odată cu implementarea arhitecturilor de rețea NGA, diferențierea dintre accesul tradițional fizic necondiționat și accesul tradițional non-fizic de acces cu ridicata în bandă largă a devenit tot mai puțin evidentă.</w:t>
      </w:r>
    </w:p>
    <w:p w:rsidR="00575CD7" w:rsidRPr="00446F65" w:rsidRDefault="00575CD7" w:rsidP="00317915">
      <w:pPr>
        <w:spacing w:after="0" w:line="240" w:lineRule="auto"/>
        <w:ind w:firstLine="720"/>
        <w:rPr>
          <w:rFonts w:ascii="Times New Roman" w:hAnsi="Times New Roman" w:cs="Times New Roman"/>
          <w:i/>
          <w:sz w:val="26"/>
          <w:szCs w:val="26"/>
          <w:lang w:val="ro-MO"/>
        </w:rPr>
      </w:pPr>
      <w:r w:rsidRPr="00446F65">
        <w:rPr>
          <w:rFonts w:ascii="Times New Roman" w:hAnsi="Times New Roman" w:cs="Times New Roman"/>
          <w:i/>
          <w:sz w:val="26"/>
          <w:szCs w:val="26"/>
          <w:lang w:val="ro-MO"/>
        </w:rPr>
        <w:t>Dezvoltarea FTTx și tehnicile accelerate ale DSL</w:t>
      </w:r>
    </w:p>
    <w:p w:rsidR="00575CD7" w:rsidRPr="00446F65" w:rsidRDefault="00575CD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NGA poate fi definit ca acces la rețea care constă în totalitate sau în parte din elemente de fibră optică și care este capabil să furnizeze servicii în bandă largă cu caracteristici îmbunătățite comparativ cu cele prin rețele deja existente. Rețelele de cupru și cablu coaxial (CATV) au fost treptat modernizate și permit furnizarea serviciilor bandă largă îmbunătățite. Sunt posibile mai multe arhitecturi de rețea NGA. </w:t>
      </w:r>
    </w:p>
    <w:p w:rsidR="000C1725" w:rsidRPr="00446F65" w:rsidRDefault="00575CD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cazul </w:t>
      </w:r>
      <w:r w:rsidR="000C1725" w:rsidRPr="00446F65">
        <w:rPr>
          <w:rFonts w:ascii="Times New Roman" w:hAnsi="Times New Roman" w:cs="Times New Roman"/>
          <w:sz w:val="26"/>
          <w:szCs w:val="26"/>
          <w:lang w:val="ro-MO"/>
        </w:rPr>
        <w:t>dezvoltării</w:t>
      </w:r>
      <w:r w:rsidRPr="00446F65">
        <w:rPr>
          <w:rFonts w:ascii="Times New Roman" w:hAnsi="Times New Roman" w:cs="Times New Roman"/>
          <w:sz w:val="26"/>
          <w:szCs w:val="26"/>
          <w:lang w:val="ro-MO"/>
        </w:rPr>
        <w:t xml:space="preserve"> de rețele FTTH/B </w:t>
      </w:r>
      <w:r w:rsidRPr="00122CAE">
        <w:rPr>
          <w:rFonts w:ascii="Times New Roman" w:hAnsi="Times New Roman" w:cs="Times New Roman"/>
          <w:i/>
          <w:sz w:val="26"/>
          <w:szCs w:val="26"/>
          <w:lang w:val="ro-MO"/>
        </w:rPr>
        <w:t>(</w:t>
      </w:r>
      <w:proofErr w:type="spellStart"/>
      <w:r w:rsidRPr="00122CAE">
        <w:rPr>
          <w:rFonts w:ascii="Times New Roman" w:hAnsi="Times New Roman" w:cs="Times New Roman"/>
          <w:i/>
          <w:sz w:val="26"/>
          <w:szCs w:val="26"/>
          <w:lang w:val="ro-MO"/>
        </w:rPr>
        <w:t>Fibreto-the-Home</w:t>
      </w:r>
      <w:proofErr w:type="spellEnd"/>
      <w:r w:rsidRPr="00122CAE">
        <w:rPr>
          <w:rFonts w:ascii="Times New Roman" w:hAnsi="Times New Roman" w:cs="Times New Roman"/>
          <w:i/>
          <w:sz w:val="26"/>
          <w:szCs w:val="26"/>
          <w:lang w:val="ro-MO"/>
        </w:rPr>
        <w:t>/</w:t>
      </w:r>
      <w:proofErr w:type="spellStart"/>
      <w:r w:rsidRPr="00122CAE">
        <w:rPr>
          <w:rFonts w:ascii="Times New Roman" w:hAnsi="Times New Roman" w:cs="Times New Roman"/>
          <w:i/>
          <w:sz w:val="26"/>
          <w:szCs w:val="26"/>
          <w:lang w:val="ro-MO"/>
        </w:rPr>
        <w:t>Fibre-to-the-Building</w:t>
      </w:r>
      <w:proofErr w:type="spellEnd"/>
      <w:r w:rsidRPr="00446F65">
        <w:rPr>
          <w:rFonts w:ascii="Times New Roman" w:hAnsi="Times New Roman" w:cs="Times New Roman"/>
          <w:sz w:val="26"/>
          <w:szCs w:val="26"/>
          <w:lang w:val="ro-MO"/>
        </w:rPr>
        <w:t>) bucla de cupru este înlăturată, iar fibra optică este extinsă de la MDF sau cel mai apropiat ODF (</w:t>
      </w:r>
      <w:proofErr w:type="spellStart"/>
      <w:r w:rsidRPr="00122CAE">
        <w:rPr>
          <w:rFonts w:ascii="Times New Roman" w:hAnsi="Times New Roman" w:cs="Times New Roman"/>
          <w:i/>
          <w:sz w:val="26"/>
          <w:szCs w:val="26"/>
          <w:lang w:val="ro-MO"/>
        </w:rPr>
        <w:t>Optical</w:t>
      </w:r>
      <w:proofErr w:type="spellEnd"/>
      <w:r w:rsidRPr="00122CAE">
        <w:rPr>
          <w:rFonts w:ascii="Times New Roman" w:hAnsi="Times New Roman" w:cs="Times New Roman"/>
          <w:i/>
          <w:sz w:val="26"/>
          <w:szCs w:val="26"/>
          <w:lang w:val="ro-MO"/>
        </w:rPr>
        <w:t xml:space="preserve"> </w:t>
      </w:r>
      <w:r w:rsidRPr="00122CAE">
        <w:rPr>
          <w:rFonts w:ascii="Times New Roman" w:hAnsi="Times New Roman" w:cs="Times New Roman"/>
          <w:i/>
          <w:sz w:val="26"/>
          <w:szCs w:val="26"/>
          <w:lang w:val="ro-MO"/>
        </w:rPr>
        <w:lastRenderedPageBreak/>
        <w:t xml:space="preserve">Distribution </w:t>
      </w:r>
      <w:proofErr w:type="spellStart"/>
      <w:r w:rsidRPr="00122CAE">
        <w:rPr>
          <w:rFonts w:ascii="Times New Roman" w:hAnsi="Times New Roman" w:cs="Times New Roman"/>
          <w:i/>
          <w:sz w:val="26"/>
          <w:szCs w:val="26"/>
          <w:lang w:val="ro-MO"/>
        </w:rPr>
        <w:t>Frame</w:t>
      </w:r>
      <w:proofErr w:type="spellEnd"/>
      <w:r w:rsidRPr="00446F65">
        <w:rPr>
          <w:rFonts w:ascii="Times New Roman" w:hAnsi="Times New Roman" w:cs="Times New Roman"/>
          <w:sz w:val="26"/>
          <w:szCs w:val="26"/>
          <w:lang w:val="ro-MO"/>
        </w:rPr>
        <w:t xml:space="preserve">) construit până la sediul utilizatorului final sau în vecinătatea acestuia și unde unicul segment de cupru este în interiorul clădirii. </w:t>
      </w:r>
    </w:p>
    <w:p w:rsidR="00575CD7" w:rsidRPr="00446F65" w:rsidRDefault="00575CD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Două tipuri de topologii principale sunt utilizate utilizând FTTH: </w:t>
      </w:r>
    </w:p>
    <w:p w:rsidR="00575CD7" w:rsidRPr="00446F65" w:rsidRDefault="00575CD7" w:rsidP="00317915">
      <w:pPr>
        <w:pStyle w:val="ListParagraph"/>
        <w:numPr>
          <w:ilvl w:val="0"/>
          <w:numId w:val="15"/>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Topologia </w:t>
      </w:r>
      <w:proofErr w:type="spellStart"/>
      <w:r w:rsidRPr="00122CAE">
        <w:rPr>
          <w:rFonts w:ascii="Times New Roman" w:hAnsi="Times New Roman" w:cs="Times New Roman"/>
          <w:i/>
          <w:sz w:val="26"/>
          <w:szCs w:val="26"/>
          <w:lang w:val="ro-MO"/>
        </w:rPr>
        <w:t>Point-to-Point</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PtP</w:t>
      </w:r>
      <w:proofErr w:type="spellEnd"/>
      <w:r w:rsidRPr="00122CAE">
        <w:rPr>
          <w:rFonts w:ascii="Times New Roman" w:hAnsi="Times New Roman" w:cs="Times New Roman"/>
          <w:i/>
          <w:sz w:val="26"/>
          <w:szCs w:val="26"/>
          <w:lang w:val="ro-MO"/>
        </w:rPr>
        <w:t>)</w:t>
      </w:r>
      <w:r w:rsidRPr="00446F65">
        <w:rPr>
          <w:rFonts w:ascii="Times New Roman" w:hAnsi="Times New Roman" w:cs="Times New Roman"/>
          <w:sz w:val="26"/>
          <w:szCs w:val="26"/>
          <w:lang w:val="ro-MO"/>
        </w:rPr>
        <w:t xml:space="preserve"> care presupune extinderea fibrei optice dedicate până la fiecare casă de la un punct de agregare (</w:t>
      </w:r>
      <w:proofErr w:type="spellStart"/>
      <w:r w:rsidRPr="00122CAE">
        <w:rPr>
          <w:rFonts w:ascii="Times New Roman" w:hAnsi="Times New Roman" w:cs="Times New Roman"/>
          <w:i/>
          <w:sz w:val="26"/>
          <w:szCs w:val="26"/>
          <w:lang w:val="ro-MO"/>
        </w:rPr>
        <w:t>aggregated</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exchange</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point</w:t>
      </w:r>
      <w:proofErr w:type="spellEnd"/>
      <w:r w:rsidRPr="00446F65">
        <w:rPr>
          <w:rFonts w:ascii="Times New Roman" w:hAnsi="Times New Roman" w:cs="Times New Roman"/>
          <w:sz w:val="26"/>
          <w:szCs w:val="26"/>
          <w:lang w:val="ro-MO"/>
        </w:rPr>
        <w:t xml:space="preserve">) care permite solicitantului de acces să procure un produs de acces necondiționat fizic la MDF/ODF.  </w:t>
      </w:r>
    </w:p>
    <w:p w:rsidR="00575CD7" w:rsidRPr="00446F65" w:rsidRDefault="00575CD7" w:rsidP="00317915">
      <w:pPr>
        <w:pStyle w:val="ListParagraph"/>
        <w:numPr>
          <w:ilvl w:val="0"/>
          <w:numId w:val="15"/>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Topologia </w:t>
      </w:r>
      <w:proofErr w:type="spellStart"/>
      <w:r w:rsidRPr="00122CAE">
        <w:rPr>
          <w:rFonts w:ascii="Times New Roman" w:hAnsi="Times New Roman" w:cs="Times New Roman"/>
          <w:i/>
          <w:sz w:val="26"/>
          <w:szCs w:val="26"/>
          <w:lang w:val="ro-MO"/>
        </w:rPr>
        <w:t>Point-to-Multipoint</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PtMP</w:t>
      </w:r>
      <w:proofErr w:type="spellEnd"/>
      <w:r w:rsidRPr="00446F65">
        <w:rPr>
          <w:rFonts w:ascii="Times New Roman" w:hAnsi="Times New Roman" w:cs="Times New Roman"/>
          <w:sz w:val="26"/>
          <w:szCs w:val="26"/>
          <w:lang w:val="ro-MO"/>
        </w:rPr>
        <w:t>) este de obicei utilizată de tehnologii bazate pe PON (</w:t>
      </w:r>
      <w:proofErr w:type="spellStart"/>
      <w:r w:rsidRPr="00122CAE">
        <w:rPr>
          <w:rFonts w:ascii="Times New Roman" w:hAnsi="Times New Roman" w:cs="Times New Roman"/>
          <w:i/>
          <w:sz w:val="26"/>
          <w:szCs w:val="26"/>
          <w:lang w:val="ro-MO"/>
        </w:rPr>
        <w:t>Passive</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Optical</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Network</w:t>
      </w:r>
      <w:proofErr w:type="spellEnd"/>
      <w:r w:rsidRPr="00122CAE">
        <w:rPr>
          <w:rFonts w:ascii="Times New Roman" w:hAnsi="Times New Roman" w:cs="Times New Roman"/>
          <w:i/>
          <w:sz w:val="26"/>
          <w:szCs w:val="26"/>
          <w:lang w:val="ro-MO"/>
        </w:rPr>
        <w:t>)</w:t>
      </w:r>
      <w:r w:rsidRPr="00446F65">
        <w:rPr>
          <w:rFonts w:ascii="Times New Roman" w:hAnsi="Times New Roman" w:cs="Times New Roman"/>
          <w:sz w:val="26"/>
          <w:szCs w:val="26"/>
          <w:lang w:val="ro-MO"/>
        </w:rPr>
        <w:t xml:space="preserve"> și presupune partajarea capacității unei linii de fibră optică între mai multe gospodării. </w:t>
      </w:r>
    </w:p>
    <w:p w:rsidR="00575CD7" w:rsidRPr="00446F65" w:rsidRDefault="00575CD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cazul desfășurării de rețele FTTC/VDSL (</w:t>
      </w:r>
      <w:r w:rsidRPr="00122CAE">
        <w:rPr>
          <w:rFonts w:ascii="Times New Roman" w:hAnsi="Times New Roman" w:cs="Times New Roman"/>
          <w:i/>
          <w:sz w:val="26"/>
          <w:szCs w:val="26"/>
          <w:lang w:val="ro-MO"/>
        </w:rPr>
        <w:t>Fibre-to-the-Cabinet/Very-high-datarate-Digital-Subscriber-Line</w:t>
      </w:r>
      <w:r w:rsidRPr="00446F65">
        <w:rPr>
          <w:rFonts w:ascii="Times New Roman" w:hAnsi="Times New Roman" w:cs="Times New Roman"/>
          <w:sz w:val="26"/>
          <w:szCs w:val="26"/>
          <w:lang w:val="ro-MO"/>
        </w:rPr>
        <w:t xml:space="preserve">) fibra optică se extinde de la centrala locală până la cabinetul stradal cel mai apropiat de sediul utilizatorului final, iar partea rămasă a rețelei de acces de la cabinetul stradal până la utilizator rămâne de obicei din cablu de cupru. Suplimentar, pentru sporirea desfășurării FTTC/VDSL sunt dezvoltate și implementate așa-numite tehnici de accelerare </w:t>
      </w:r>
      <w:r w:rsidR="005470B9"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V)DSL. Acestea au scopul de a mări viteza maximă prin cablu torsadat din cupru și de a furniza servicii îmbunătățite de acces la </w:t>
      </w:r>
      <w:r w:rsidR="005470B9"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nternet în bandă largă, comparabile cu cele furnizate prin alte infrastructuri NGA (Tehnologii ca VDSL “</w:t>
      </w:r>
      <w:proofErr w:type="spellStart"/>
      <w:r w:rsidRPr="00122CAE">
        <w:rPr>
          <w:rFonts w:ascii="Times New Roman" w:hAnsi="Times New Roman" w:cs="Times New Roman"/>
          <w:i/>
          <w:sz w:val="26"/>
          <w:szCs w:val="26"/>
          <w:lang w:val="ro-MO"/>
        </w:rPr>
        <w:t>vectoring</w:t>
      </w:r>
      <w:proofErr w:type="spellEnd"/>
      <w:r w:rsidRPr="00122CAE">
        <w:rPr>
          <w:rFonts w:ascii="Times New Roman" w:hAnsi="Times New Roman" w:cs="Times New Roman"/>
          <w:i/>
          <w:sz w:val="26"/>
          <w:szCs w:val="26"/>
          <w:lang w:val="ro-MO"/>
        </w:rPr>
        <w:t xml:space="preserve">”, “pair  </w:t>
      </w:r>
      <w:proofErr w:type="spellStart"/>
      <w:r w:rsidRPr="00122CAE">
        <w:rPr>
          <w:rFonts w:ascii="Times New Roman" w:hAnsi="Times New Roman" w:cs="Times New Roman"/>
          <w:i/>
          <w:sz w:val="26"/>
          <w:szCs w:val="26"/>
          <w:lang w:val="ro-MO"/>
        </w:rPr>
        <w:t>bonding</w:t>
      </w:r>
      <w:proofErr w:type="spellEnd"/>
      <w:r w:rsidRPr="00122CAE">
        <w:rPr>
          <w:rFonts w:ascii="Times New Roman" w:hAnsi="Times New Roman" w:cs="Times New Roman"/>
          <w:i/>
          <w:sz w:val="26"/>
          <w:szCs w:val="26"/>
          <w:lang w:val="ro-MO"/>
        </w:rPr>
        <w:t>” sau “</w:t>
      </w:r>
      <w:proofErr w:type="spellStart"/>
      <w:r w:rsidRPr="00122CAE">
        <w:rPr>
          <w:rFonts w:ascii="Times New Roman" w:hAnsi="Times New Roman" w:cs="Times New Roman"/>
          <w:i/>
          <w:sz w:val="26"/>
          <w:szCs w:val="26"/>
          <w:lang w:val="ro-MO"/>
        </w:rPr>
        <w:t>phantoming</w:t>
      </w:r>
      <w:proofErr w:type="spellEnd"/>
      <w:r w:rsidRPr="00122CAE">
        <w:rPr>
          <w:rFonts w:ascii="Times New Roman" w:hAnsi="Times New Roman" w:cs="Times New Roman"/>
          <w:i/>
          <w:sz w:val="26"/>
          <w:szCs w:val="26"/>
          <w:lang w:val="ro-MO"/>
        </w:rPr>
        <w:t>”</w:t>
      </w:r>
      <w:r w:rsidRPr="00446F65">
        <w:rPr>
          <w:rFonts w:ascii="Times New Roman" w:hAnsi="Times New Roman" w:cs="Times New Roman"/>
          <w:sz w:val="26"/>
          <w:szCs w:val="26"/>
          <w:lang w:val="ro-MO"/>
        </w:rPr>
        <w:t xml:space="preserve"> pot permite viteze </w:t>
      </w:r>
      <w:proofErr w:type="spellStart"/>
      <w:r w:rsidRPr="00122CAE">
        <w:rPr>
          <w:rFonts w:ascii="Times New Roman" w:hAnsi="Times New Roman" w:cs="Times New Roman"/>
          <w:i/>
          <w:sz w:val="26"/>
          <w:szCs w:val="26"/>
          <w:lang w:val="ro-MO"/>
        </w:rPr>
        <w:t>download</w:t>
      </w:r>
      <w:proofErr w:type="spellEnd"/>
      <w:r w:rsidRPr="00446F65">
        <w:rPr>
          <w:rFonts w:ascii="Times New Roman" w:hAnsi="Times New Roman" w:cs="Times New Roman"/>
          <w:sz w:val="26"/>
          <w:szCs w:val="26"/>
          <w:lang w:val="ro-MO"/>
        </w:rPr>
        <w:t xml:space="preserve"> mai mari de 100 Mbps. </w:t>
      </w:r>
      <w:r w:rsidR="00FB09EA" w:rsidRPr="00446F65">
        <w:rPr>
          <w:rFonts w:ascii="Times New Roman" w:hAnsi="Times New Roman" w:cs="Times New Roman"/>
          <w:sz w:val="26"/>
          <w:szCs w:val="26"/>
          <w:lang w:val="ro-MO"/>
        </w:rPr>
        <w:t>V</w:t>
      </w:r>
      <w:r w:rsidRPr="00446F65">
        <w:rPr>
          <w:rFonts w:ascii="Times New Roman" w:hAnsi="Times New Roman" w:cs="Times New Roman"/>
          <w:sz w:val="26"/>
          <w:szCs w:val="26"/>
          <w:lang w:val="ro-MO"/>
        </w:rPr>
        <w:t xml:space="preserve">DSL </w:t>
      </w:r>
      <w:r w:rsidRPr="00122CAE">
        <w:rPr>
          <w:rFonts w:ascii="Times New Roman" w:hAnsi="Times New Roman" w:cs="Times New Roman"/>
          <w:i/>
          <w:sz w:val="26"/>
          <w:szCs w:val="26"/>
          <w:lang w:val="ro-MO"/>
        </w:rPr>
        <w:t>vectoring</w:t>
      </w:r>
      <w:r w:rsidRPr="00446F65">
        <w:rPr>
          <w:rFonts w:ascii="Times New Roman" w:hAnsi="Times New Roman" w:cs="Times New Roman"/>
          <w:sz w:val="26"/>
          <w:szCs w:val="26"/>
          <w:lang w:val="ro-MO"/>
        </w:rPr>
        <w:t xml:space="preserve"> are scopul de reducere a diafoniei în cazul transmiterii semnalelor prin buclele vecine). Tehnologia VDSL </w:t>
      </w:r>
      <w:r w:rsidRPr="00122CAE">
        <w:rPr>
          <w:rFonts w:ascii="Times New Roman" w:hAnsi="Times New Roman" w:cs="Times New Roman"/>
          <w:i/>
          <w:sz w:val="26"/>
          <w:szCs w:val="26"/>
          <w:lang w:val="ro-MO"/>
        </w:rPr>
        <w:t>vectoring</w:t>
      </w:r>
      <w:r w:rsidRPr="00446F65">
        <w:rPr>
          <w:rFonts w:ascii="Times New Roman" w:hAnsi="Times New Roman" w:cs="Times New Roman"/>
          <w:sz w:val="26"/>
          <w:szCs w:val="26"/>
          <w:lang w:val="ro-MO"/>
        </w:rPr>
        <w:t xml:space="preserve"> este de așteptat să devină disponibilă pe cară largă și să joace un rol major în viitorul previzibil la nivel internațional.</w:t>
      </w:r>
    </w:p>
    <w:p w:rsidR="00575CD7" w:rsidRPr="00446F65" w:rsidRDefault="00575CD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Implementarea tehnicilor de accelerare (V)DSL poate avea însă un impact asupra disponibilității produselor de acces cu ridicata. În special, din cauza limitărilor tehnice ale generației actuale a VDSL, tehnologia </w:t>
      </w:r>
      <w:r w:rsidRPr="00122CAE">
        <w:rPr>
          <w:rFonts w:ascii="Times New Roman" w:hAnsi="Times New Roman" w:cs="Times New Roman"/>
          <w:i/>
          <w:sz w:val="26"/>
          <w:szCs w:val="26"/>
          <w:lang w:val="ro-MO"/>
        </w:rPr>
        <w:t>vectoring</w:t>
      </w:r>
      <w:r w:rsidRPr="00446F65">
        <w:rPr>
          <w:rFonts w:ascii="Times New Roman" w:hAnsi="Times New Roman" w:cs="Times New Roman"/>
          <w:sz w:val="26"/>
          <w:szCs w:val="26"/>
          <w:lang w:val="ro-MO"/>
        </w:rPr>
        <w:t xml:space="preserve"> nu-și atinge ținta de a furniza lățimi de bandă semnificativ mai înalte când accesul la sub-bucla de cupru se acordă în paralel la cabinetul stradal, ceea ce ar putea duce la retragerea obligației de oferire a accesului la sub-bucla locala de cupru, retragere care ar putea fi găsită potrivită, justificată și proporțională, în special acolo unde cerere pentru serviciile de acces la sub-bucla de cupru nu există sau este scăzută și ținând cont de performanțele mai mari de care ar beneficia utilizatorii finali (și solicitanții de acces) de la implementarea VDSL </w:t>
      </w:r>
      <w:r w:rsidRPr="00122CAE">
        <w:rPr>
          <w:rFonts w:ascii="Times New Roman" w:hAnsi="Times New Roman" w:cs="Times New Roman"/>
          <w:i/>
          <w:sz w:val="26"/>
          <w:szCs w:val="26"/>
          <w:lang w:val="ro-MO"/>
        </w:rPr>
        <w:t>vectoring</w:t>
      </w:r>
      <w:r w:rsidRPr="00446F65">
        <w:rPr>
          <w:rFonts w:ascii="Times New Roman" w:hAnsi="Times New Roman" w:cs="Times New Roman"/>
          <w:sz w:val="26"/>
          <w:szCs w:val="26"/>
          <w:lang w:val="ro-MO"/>
        </w:rPr>
        <w:t>. Cu toate acestea trebuie să se țină cont de dezvoltarea tehnologică care ar putea în viitor să permită depășirea limitărilor tehnice menționate, astfel încât să fie posibilă prezența mai multor furnizori la sub-bucla locală a cabinetului stradal. Cu toate acestea, în circumstanțele în care accesul fizic necondiționat nu este fezabil din punct de vedere tehnic sau economic, în vederea garantării unei concurenț</w:t>
      </w:r>
      <w:r w:rsidR="00484AA6" w:rsidRPr="00446F65">
        <w:rPr>
          <w:rFonts w:ascii="Times New Roman" w:hAnsi="Times New Roman" w:cs="Times New Roman"/>
          <w:sz w:val="26"/>
          <w:szCs w:val="26"/>
          <w:lang w:val="ro-MO"/>
        </w:rPr>
        <w:t>e</w:t>
      </w:r>
      <w:r w:rsidRPr="00446F65">
        <w:rPr>
          <w:rFonts w:ascii="Times New Roman" w:hAnsi="Times New Roman" w:cs="Times New Roman"/>
          <w:sz w:val="26"/>
          <w:szCs w:val="26"/>
          <w:lang w:val="ro-MO"/>
        </w:rPr>
        <w:t xml:space="preserve"> puternic</w:t>
      </w:r>
      <w:r w:rsidR="00484AA6" w:rsidRPr="00446F65">
        <w:rPr>
          <w:rFonts w:ascii="Times New Roman" w:hAnsi="Times New Roman" w:cs="Times New Roman"/>
          <w:sz w:val="26"/>
          <w:szCs w:val="26"/>
          <w:lang w:val="ro-MO"/>
        </w:rPr>
        <w:t>e</w:t>
      </w:r>
      <w:r w:rsidRPr="00446F65">
        <w:rPr>
          <w:rFonts w:ascii="Times New Roman" w:hAnsi="Times New Roman" w:cs="Times New Roman"/>
          <w:sz w:val="26"/>
          <w:szCs w:val="26"/>
          <w:lang w:val="ro-MO"/>
        </w:rPr>
        <w:t xml:space="preserve"> bazată pe servicii, în cazurile în care reglementarea este încă necesară și pentru a evita situații de costuri irecuperabile, autoritatea de reglementare poate considera oportun ca produsele de acces cu ridicata non-fizice (ca accesul virtual), care oferă funcționalități echivalente ca accesul necondiționat la sub-bucla locală de cupru, să fie furnizate prin VDSL </w:t>
      </w:r>
      <w:r w:rsidRPr="00122CAE">
        <w:rPr>
          <w:rFonts w:ascii="Times New Roman" w:hAnsi="Times New Roman" w:cs="Times New Roman"/>
          <w:i/>
          <w:sz w:val="26"/>
          <w:szCs w:val="26"/>
          <w:lang w:val="ro-MO"/>
        </w:rPr>
        <w:t>vectoring</w:t>
      </w:r>
      <w:r w:rsidRPr="00446F65">
        <w:rPr>
          <w:rFonts w:ascii="Times New Roman" w:hAnsi="Times New Roman" w:cs="Times New Roman"/>
          <w:sz w:val="26"/>
          <w:szCs w:val="26"/>
          <w:lang w:val="ro-MO"/>
        </w:rPr>
        <w:t xml:space="preserve"> la MDF sau cabinetul stradal. </w:t>
      </w:r>
    </w:p>
    <w:p w:rsidR="00575CD7" w:rsidRPr="00446F65" w:rsidRDefault="00575CD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Prin urmare implementarea tehnicilor de accelerare a DSL au impact atât asupra identificării componentelor relevante de acces la rețea utilizate pentru furnizarea serviciilor de </w:t>
      </w:r>
      <w:r w:rsidR="005470B9"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nternet în bandă largă, cât și asupra delimitării piețelor de acces cu ridicata.</w:t>
      </w:r>
    </w:p>
    <w:p w:rsidR="00575CD7" w:rsidRPr="00446F65" w:rsidRDefault="00575CD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ce privește definirea pieței, analizele </w:t>
      </w:r>
      <w:r w:rsidR="00484AA6" w:rsidRPr="00446F65">
        <w:rPr>
          <w:rFonts w:ascii="Times New Roman" w:hAnsi="Times New Roman" w:cs="Times New Roman"/>
          <w:sz w:val="26"/>
          <w:szCs w:val="26"/>
          <w:lang w:val="ro-MO"/>
        </w:rPr>
        <w:t>anterioare</w:t>
      </w:r>
      <w:r w:rsidRPr="00446F65">
        <w:rPr>
          <w:rFonts w:ascii="Times New Roman" w:hAnsi="Times New Roman" w:cs="Times New Roman"/>
          <w:sz w:val="26"/>
          <w:szCs w:val="26"/>
          <w:lang w:val="ro-MO"/>
        </w:rPr>
        <w:t xml:space="preserve"> nu au arătat diferențe semnificative din punct de vedere </w:t>
      </w:r>
      <w:r w:rsidR="00484AA6" w:rsidRPr="00446F65">
        <w:rPr>
          <w:rFonts w:ascii="Times New Roman" w:hAnsi="Times New Roman" w:cs="Times New Roman"/>
          <w:sz w:val="26"/>
          <w:szCs w:val="26"/>
          <w:lang w:val="ro-MO"/>
        </w:rPr>
        <w:t xml:space="preserve">a </w:t>
      </w:r>
      <w:r w:rsidRPr="00446F65">
        <w:rPr>
          <w:rFonts w:ascii="Times New Roman" w:hAnsi="Times New Roman" w:cs="Times New Roman"/>
          <w:sz w:val="26"/>
          <w:szCs w:val="26"/>
          <w:lang w:val="ro-MO"/>
        </w:rPr>
        <w:t xml:space="preserve">substituibilității dintre serviciile de </w:t>
      </w:r>
      <w:r w:rsidR="005470B9"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nternet în bandă largă furnizate prin cupru și cele furnizate prin fibră optică. Prin urmare, produsele de acces prin fibră optică (FTT</w:t>
      </w:r>
      <w:r w:rsidR="00734A05" w:rsidRPr="00446F65">
        <w:rPr>
          <w:rFonts w:ascii="Times New Roman" w:hAnsi="Times New Roman" w:cs="Times New Roman"/>
          <w:sz w:val="26"/>
          <w:szCs w:val="26"/>
          <w:lang w:val="ro-MO"/>
        </w:rPr>
        <w:t>C</w:t>
      </w:r>
      <w:r w:rsidRPr="00446F65">
        <w:rPr>
          <w:rFonts w:ascii="Times New Roman" w:hAnsi="Times New Roman" w:cs="Times New Roman"/>
          <w:sz w:val="26"/>
          <w:szCs w:val="26"/>
          <w:lang w:val="ro-MO"/>
        </w:rPr>
        <w:t xml:space="preserve">/VDSL și FTTH/B) sunt incluse în piețele de acces necondiționat fizic la bucla și sub-bucla locală și de acces cu ridicata în bandă largă, având în vedere creșterea disponibilităților rețelelor de fibră </w:t>
      </w:r>
      <w:r w:rsidRPr="00446F65">
        <w:rPr>
          <w:rFonts w:ascii="Times New Roman" w:hAnsi="Times New Roman" w:cs="Times New Roman"/>
          <w:sz w:val="26"/>
          <w:szCs w:val="26"/>
          <w:lang w:val="ro-MO"/>
        </w:rPr>
        <w:lastRenderedPageBreak/>
        <w:t>optică și planurile de perspectivă ale furnizorilor. Totodată, trebuie atrasă atenția asupra naturii produselor de acces la realizarea analizei substituibilității. Alegerea lăsată la latitudinea furnizorilor de a desfășura o topologie sau alta (în conformitate cu principiul neutralității tehnologice) are consecințe importante. În timp ce autoritățile de reglementare au putu</w:t>
      </w:r>
      <w:r w:rsidR="00484AA6" w:rsidRPr="00446F65">
        <w:rPr>
          <w:rFonts w:ascii="Times New Roman" w:hAnsi="Times New Roman" w:cs="Times New Roman"/>
          <w:sz w:val="26"/>
          <w:szCs w:val="26"/>
          <w:lang w:val="ro-MO"/>
        </w:rPr>
        <w:t>t</w:t>
      </w:r>
      <w:r w:rsidRPr="00446F65">
        <w:rPr>
          <w:rFonts w:ascii="Times New Roman" w:hAnsi="Times New Roman" w:cs="Times New Roman"/>
          <w:sz w:val="26"/>
          <w:szCs w:val="26"/>
          <w:lang w:val="ro-MO"/>
        </w:rPr>
        <w:t xml:space="preserve"> pune obligații furnizorilor cu putere semnificativă, care operează rețele </w:t>
      </w:r>
      <w:proofErr w:type="spellStart"/>
      <w:r w:rsidRPr="00446F65">
        <w:rPr>
          <w:rFonts w:ascii="Times New Roman" w:hAnsi="Times New Roman" w:cs="Times New Roman"/>
          <w:sz w:val="26"/>
          <w:szCs w:val="26"/>
          <w:lang w:val="ro-MO"/>
        </w:rPr>
        <w:t>PtP</w:t>
      </w:r>
      <w:proofErr w:type="spellEnd"/>
      <w:r w:rsidRPr="00446F65">
        <w:rPr>
          <w:rFonts w:ascii="Times New Roman" w:hAnsi="Times New Roman" w:cs="Times New Roman"/>
          <w:sz w:val="26"/>
          <w:szCs w:val="26"/>
          <w:lang w:val="ro-MO"/>
        </w:rPr>
        <w:t xml:space="preserve">, de dezagregare a buclei locale, capacitățile de dezagregare pentru rețele </w:t>
      </w:r>
      <w:proofErr w:type="spellStart"/>
      <w:r w:rsidRPr="00446F65">
        <w:rPr>
          <w:rFonts w:ascii="Times New Roman" w:hAnsi="Times New Roman" w:cs="Times New Roman"/>
          <w:sz w:val="26"/>
          <w:szCs w:val="26"/>
          <w:lang w:val="ro-MO"/>
        </w:rPr>
        <w:t>PtMP</w:t>
      </w:r>
      <w:proofErr w:type="spellEnd"/>
      <w:r w:rsidRPr="00446F65">
        <w:rPr>
          <w:rFonts w:ascii="Times New Roman" w:hAnsi="Times New Roman" w:cs="Times New Roman"/>
          <w:sz w:val="26"/>
          <w:szCs w:val="26"/>
          <w:lang w:val="ro-MO"/>
        </w:rPr>
        <w:t xml:space="preserve"> sunt limitate. În special, este cunoscut faptul că tehnologiile bazate pe PON nu permit la momentul actual accesul fizic, rămânând incert momentul când aceste produse de acces (divizarea lungimii de undă prin multiplexare sau WDM) vor putea fi utilizate la scară comercială, acestea fiind în proces de standardizare. Mai mult, furnizarea accesului necondiționat la bucla sau sub-bucla locală poate să nu fie, în anumite circumstanțe, fezabil din punct de vedere economic (din cauza densității scăzute și din cauza lipsei economiilor de scară și de gamă). Prin urmare, atâta timp cât dezagregarea fizică nu este posibila sau nu este fezabil</w:t>
      </w:r>
      <w:r w:rsidR="00484AA6" w:rsidRPr="00446F65">
        <w:rPr>
          <w:rFonts w:ascii="Times New Roman" w:hAnsi="Times New Roman" w:cs="Times New Roman"/>
          <w:sz w:val="26"/>
          <w:szCs w:val="26"/>
          <w:lang w:val="ro-MO"/>
        </w:rPr>
        <w:t>ă</w:t>
      </w:r>
      <w:r w:rsidRPr="00446F65">
        <w:rPr>
          <w:rFonts w:ascii="Times New Roman" w:hAnsi="Times New Roman" w:cs="Times New Roman"/>
          <w:sz w:val="26"/>
          <w:szCs w:val="26"/>
          <w:lang w:val="ro-MO"/>
        </w:rPr>
        <w:t xml:space="preserve"> economic în anumite situații, </w:t>
      </w:r>
      <w:r w:rsidR="00484AA6" w:rsidRPr="00446F65">
        <w:rPr>
          <w:rFonts w:ascii="Times New Roman" w:hAnsi="Times New Roman" w:cs="Times New Roman"/>
          <w:sz w:val="26"/>
          <w:szCs w:val="26"/>
          <w:lang w:val="ro-MO"/>
        </w:rPr>
        <w:t>autoritatea de reglementare</w:t>
      </w:r>
      <w:r w:rsidRPr="00446F65">
        <w:rPr>
          <w:rFonts w:ascii="Times New Roman" w:hAnsi="Times New Roman" w:cs="Times New Roman"/>
          <w:sz w:val="26"/>
          <w:szCs w:val="26"/>
          <w:lang w:val="ro-MO"/>
        </w:rPr>
        <w:t xml:space="preserve"> poate impune obligația de acces non-fizic sau virtual funcțional echivalent cu accesul necondiționat la bucla locală, ca substituent la accesul fizic local cu ridicata.</w:t>
      </w:r>
    </w:p>
    <w:p w:rsidR="00575CD7" w:rsidRPr="00446F65" w:rsidRDefault="00575CD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concluzie, într-un mediu NGA, delimitarea piețelor de acces cu ridicata în funcție de natura lor fizică și non-fizică au devenit tot mai puțin evidente, iar caracteristicile produselor utilizate de obicei pentru a diferenția piețele accesului necondiționat la bucla și sub-bucla locală  și accesului cu ridicata în bandă largă trebuie reevaluate. </w:t>
      </w:r>
    </w:p>
    <w:p w:rsidR="00F72AD6" w:rsidRPr="00446F65" w:rsidRDefault="006161E5"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Odată cu dezvoltarea și extinderea rețelelor de acces NGA, are loc și modificarea substanțială a structurii pieței cu ridicata de acces în bandă largă</w:t>
      </w:r>
      <w:r w:rsidR="00B36811"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w:t>
      </w:r>
      <w:r w:rsidR="00F72AD6" w:rsidRPr="00446F65">
        <w:rPr>
          <w:rFonts w:ascii="Times New Roman" w:hAnsi="Times New Roman" w:cs="Times New Roman"/>
          <w:sz w:val="26"/>
          <w:szCs w:val="26"/>
          <w:lang w:val="ro-MO"/>
        </w:rPr>
        <w:t>Totodată, tehnologiile bazate pe cupru vor juca încă un rol important în furnizarea serviciilor de acces în bandă largă.</w:t>
      </w:r>
    </w:p>
    <w:p w:rsidR="00F72AD6" w:rsidRPr="00446F65" w:rsidRDefault="00F72AD6"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acest context, solicitanții de acces încă se vor baza pe două imput-uri cu ridicata integrate pe verticală pentru a furniza servicii cu amănuntul în bandă largă. Serviciile de acces necondiționat cu ridicata la bucla locală și serviciile de tip </w:t>
      </w:r>
      <w:r w:rsidR="005470B9" w:rsidRPr="00122CAE">
        <w:rPr>
          <w:rFonts w:ascii="Times New Roman" w:hAnsi="Times New Roman" w:cs="Times New Roman"/>
          <w:i/>
          <w:sz w:val="26"/>
          <w:szCs w:val="26"/>
          <w:lang w:val="ro-MO"/>
        </w:rPr>
        <w:t>b</w:t>
      </w:r>
      <w:r w:rsidRPr="00122CAE">
        <w:rPr>
          <w:rFonts w:ascii="Times New Roman" w:hAnsi="Times New Roman" w:cs="Times New Roman"/>
          <w:i/>
          <w:sz w:val="26"/>
          <w:szCs w:val="26"/>
          <w:lang w:val="ro-MO"/>
        </w:rPr>
        <w:t>itstream</w:t>
      </w:r>
      <w:r w:rsidRPr="00446F65">
        <w:rPr>
          <w:rFonts w:ascii="Times New Roman" w:hAnsi="Times New Roman" w:cs="Times New Roman"/>
          <w:sz w:val="26"/>
          <w:szCs w:val="26"/>
          <w:lang w:val="ro-MO"/>
        </w:rPr>
        <w:t xml:space="preserve">, care sunt mai degrabă servicii complementare decât substituente. </w:t>
      </w:r>
    </w:p>
    <w:p w:rsidR="00F72AD6" w:rsidRPr="00446F65" w:rsidRDefault="00F72AD6"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Prin urmare, delimitările dintre piața accesului fizic necondiționat la bucla și sub-bucla locală și piața accesului cu ridicata în bandă largă (Piețele 4 și 5 din </w:t>
      </w:r>
      <w:r w:rsidR="005470B9" w:rsidRPr="00446F65">
        <w:rPr>
          <w:rFonts w:ascii="Times New Roman" w:hAnsi="Times New Roman" w:cs="Times New Roman"/>
          <w:sz w:val="26"/>
          <w:szCs w:val="26"/>
          <w:lang w:val="ro-MO"/>
        </w:rPr>
        <w:t>Recomandarea 2007/879/EC</w:t>
      </w:r>
      <w:r w:rsidRPr="00446F65">
        <w:rPr>
          <w:rFonts w:ascii="Times New Roman" w:hAnsi="Times New Roman" w:cs="Times New Roman"/>
          <w:sz w:val="26"/>
          <w:szCs w:val="26"/>
          <w:lang w:val="ro-MO"/>
        </w:rPr>
        <w:t xml:space="preserve">) sunt susceptibile modificărilor, care vor depinde de tipul, gradul, viteza realizării investițiilor în rețea, astfel că caracteristicile cererii și ofertei piețelor de acces cu ridicata la </w:t>
      </w:r>
      <w:r w:rsidR="005470B9"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nternet în bandă largă trebuie reevaluate.</w:t>
      </w:r>
    </w:p>
    <w:p w:rsidR="00F72AD6" w:rsidRPr="00446F65" w:rsidRDefault="00F72AD6"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Totodată, ținând cont de apariția de produse de acces non-fizice (sau virtuale), pare să nu mai fie potrivită distincția dintre accesul fizic și non-fizic pentru delimitarea diferitor produse cu ridicata de acces necesare pentru furnizarea serviciilor de </w:t>
      </w:r>
      <w:r w:rsidR="00A21731"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nternet în bandă largă. Ținând cont de dezvoltările tehnologice, pare să fie mai potrivit de a face diferența între acele produse care pot replica caracteristicile funcționale ale accesului local necondiționat tradițional fizic (cu astfel de produse care pot fi furnizate non-fizic sau virtual) de alte forme de acces. Pentru diferențierea celor două produse cu ridicata trebuie evaluate câteva caracteristici principale ale acestora</w:t>
      </w:r>
      <w:r w:rsidR="006161E5"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w:t>
      </w:r>
    </w:p>
    <w:p w:rsidR="00F72AD6" w:rsidRPr="00446F65" w:rsidRDefault="00F35178" w:rsidP="00317915">
      <w:pPr>
        <w:pStyle w:val="ListParagraph"/>
        <w:numPr>
          <w:ilvl w:val="0"/>
          <w:numId w:val="12"/>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w:t>
      </w:r>
      <w:r w:rsidR="00F72AD6" w:rsidRPr="00446F65">
        <w:rPr>
          <w:rFonts w:ascii="Times New Roman" w:hAnsi="Times New Roman" w:cs="Times New Roman"/>
          <w:sz w:val="26"/>
          <w:szCs w:val="26"/>
          <w:lang w:val="ro-MO"/>
        </w:rPr>
        <w:t xml:space="preserve">rima caracteristică se referă la localizarea punctului de </w:t>
      </w:r>
      <w:r w:rsidR="000C1725" w:rsidRPr="00446F65">
        <w:rPr>
          <w:rFonts w:ascii="Times New Roman" w:hAnsi="Times New Roman" w:cs="Times New Roman"/>
          <w:sz w:val="26"/>
          <w:szCs w:val="26"/>
          <w:lang w:val="ro-MO"/>
        </w:rPr>
        <w:t>predare</w:t>
      </w:r>
      <w:r w:rsidR="00F72AD6" w:rsidRPr="00446F65">
        <w:rPr>
          <w:rFonts w:ascii="Times New Roman" w:hAnsi="Times New Roman" w:cs="Times New Roman"/>
          <w:sz w:val="26"/>
          <w:szCs w:val="26"/>
          <w:lang w:val="ro-MO"/>
        </w:rPr>
        <w:t xml:space="preserve"> (</w:t>
      </w:r>
      <w:proofErr w:type="spellStart"/>
      <w:r w:rsidR="00F72AD6" w:rsidRPr="00122CAE">
        <w:rPr>
          <w:rFonts w:ascii="Times New Roman" w:hAnsi="Times New Roman" w:cs="Times New Roman"/>
          <w:i/>
          <w:sz w:val="26"/>
          <w:szCs w:val="26"/>
          <w:lang w:val="ro-MO"/>
        </w:rPr>
        <w:t>PoH</w:t>
      </w:r>
      <w:proofErr w:type="spellEnd"/>
      <w:r w:rsidR="00F72AD6" w:rsidRPr="00122CAE">
        <w:rPr>
          <w:rFonts w:ascii="Times New Roman" w:hAnsi="Times New Roman" w:cs="Times New Roman"/>
          <w:i/>
          <w:sz w:val="26"/>
          <w:szCs w:val="26"/>
          <w:lang w:val="ro-MO"/>
        </w:rPr>
        <w:t xml:space="preserve"> – </w:t>
      </w:r>
      <w:proofErr w:type="spellStart"/>
      <w:r w:rsidR="00F72AD6" w:rsidRPr="00122CAE">
        <w:rPr>
          <w:rFonts w:ascii="Times New Roman" w:hAnsi="Times New Roman" w:cs="Times New Roman"/>
          <w:i/>
          <w:sz w:val="26"/>
          <w:szCs w:val="26"/>
          <w:lang w:val="ro-MO"/>
        </w:rPr>
        <w:t>point</w:t>
      </w:r>
      <w:proofErr w:type="spellEnd"/>
      <w:r w:rsidR="00F72AD6" w:rsidRPr="00122CAE">
        <w:rPr>
          <w:rFonts w:ascii="Times New Roman" w:hAnsi="Times New Roman" w:cs="Times New Roman"/>
          <w:i/>
          <w:sz w:val="26"/>
          <w:szCs w:val="26"/>
          <w:lang w:val="ro-MO"/>
        </w:rPr>
        <w:t xml:space="preserve"> of handover</w:t>
      </w:r>
      <w:r w:rsidR="00F72AD6" w:rsidRPr="00446F65">
        <w:rPr>
          <w:rFonts w:ascii="Times New Roman" w:hAnsi="Times New Roman" w:cs="Times New Roman"/>
          <w:sz w:val="26"/>
          <w:szCs w:val="26"/>
          <w:lang w:val="ro-MO"/>
        </w:rPr>
        <w:t xml:space="preserve">). Accesul cu ridicata furnizat la nivel local (când traficul este </w:t>
      </w:r>
      <w:r w:rsidR="000C1725" w:rsidRPr="00446F65">
        <w:rPr>
          <w:rFonts w:ascii="Times New Roman" w:hAnsi="Times New Roman" w:cs="Times New Roman"/>
          <w:sz w:val="26"/>
          <w:szCs w:val="26"/>
          <w:lang w:val="ro-MO"/>
        </w:rPr>
        <w:t>predat</w:t>
      </w:r>
      <w:r w:rsidR="00F72AD6" w:rsidRPr="00446F65">
        <w:rPr>
          <w:rFonts w:ascii="Times New Roman" w:hAnsi="Times New Roman" w:cs="Times New Roman"/>
          <w:sz w:val="26"/>
          <w:szCs w:val="26"/>
          <w:lang w:val="ro-MO"/>
        </w:rPr>
        <w:t xml:space="preserve"> la un nivel mai apropiat de sediul utilizatorului final decât nivelul regional sau național) poate fi diferențiat de accesul furnizat solicitanților de acces la un nivel mai înalt al rețelei, adică un nivel mai central în arhitectura rețelei (la puncte de </w:t>
      </w:r>
      <w:r w:rsidR="00585B73" w:rsidRPr="00446F65">
        <w:rPr>
          <w:rFonts w:ascii="Times New Roman" w:hAnsi="Times New Roman" w:cs="Times New Roman"/>
          <w:sz w:val="26"/>
          <w:szCs w:val="26"/>
          <w:lang w:val="ro-MO"/>
        </w:rPr>
        <w:t>transfer</w:t>
      </w:r>
      <w:r w:rsidR="00F72AD6" w:rsidRPr="00446F65">
        <w:rPr>
          <w:rFonts w:ascii="Times New Roman" w:hAnsi="Times New Roman" w:cs="Times New Roman"/>
          <w:sz w:val="26"/>
          <w:szCs w:val="26"/>
          <w:lang w:val="ro-MO"/>
        </w:rPr>
        <w:t xml:space="preserve"> regionale și/sau naționale). </w:t>
      </w:r>
    </w:p>
    <w:p w:rsidR="00F72AD6" w:rsidRPr="00446F65" w:rsidRDefault="00F35178" w:rsidP="00317915">
      <w:pPr>
        <w:pStyle w:val="ListParagraph"/>
        <w:numPr>
          <w:ilvl w:val="0"/>
          <w:numId w:val="12"/>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w:t>
      </w:r>
      <w:r w:rsidR="00F72AD6" w:rsidRPr="00446F65">
        <w:rPr>
          <w:rFonts w:ascii="Times New Roman" w:hAnsi="Times New Roman" w:cs="Times New Roman"/>
          <w:sz w:val="26"/>
          <w:szCs w:val="26"/>
          <w:lang w:val="ro-MO"/>
        </w:rPr>
        <w:t xml:space="preserve"> doua caracteristică se referă la topologia și caracteristicile de baza ale transmisi</w:t>
      </w:r>
      <w:r w:rsidR="00B36811" w:rsidRPr="00446F65">
        <w:rPr>
          <w:rFonts w:ascii="Times New Roman" w:hAnsi="Times New Roman" w:cs="Times New Roman"/>
          <w:sz w:val="26"/>
          <w:szCs w:val="26"/>
          <w:lang w:val="ro-MO"/>
        </w:rPr>
        <w:t>uni</w:t>
      </w:r>
      <w:r w:rsidR="00F72AD6" w:rsidRPr="00446F65">
        <w:rPr>
          <w:rFonts w:ascii="Times New Roman" w:hAnsi="Times New Roman" w:cs="Times New Roman"/>
          <w:sz w:val="26"/>
          <w:szCs w:val="26"/>
          <w:lang w:val="ro-MO"/>
        </w:rPr>
        <w:t>i (</w:t>
      </w:r>
      <w:proofErr w:type="spellStart"/>
      <w:r w:rsidR="00F72AD6" w:rsidRPr="00122CAE">
        <w:rPr>
          <w:rFonts w:ascii="Times New Roman" w:hAnsi="Times New Roman" w:cs="Times New Roman"/>
          <w:i/>
          <w:sz w:val="26"/>
          <w:szCs w:val="26"/>
          <w:lang w:val="ro-MO"/>
        </w:rPr>
        <w:t>core</w:t>
      </w:r>
      <w:proofErr w:type="spellEnd"/>
      <w:r w:rsidR="00F72AD6" w:rsidRPr="00122CAE">
        <w:rPr>
          <w:rFonts w:ascii="Times New Roman" w:hAnsi="Times New Roman" w:cs="Times New Roman"/>
          <w:i/>
          <w:sz w:val="26"/>
          <w:szCs w:val="26"/>
          <w:lang w:val="ro-MO"/>
        </w:rPr>
        <w:t xml:space="preserve"> </w:t>
      </w:r>
      <w:proofErr w:type="spellStart"/>
      <w:r w:rsidR="00F72AD6" w:rsidRPr="00122CAE">
        <w:rPr>
          <w:rFonts w:ascii="Times New Roman" w:hAnsi="Times New Roman" w:cs="Times New Roman"/>
          <w:i/>
          <w:sz w:val="26"/>
          <w:szCs w:val="26"/>
          <w:lang w:val="ro-MO"/>
        </w:rPr>
        <w:t>transmission</w:t>
      </w:r>
      <w:proofErr w:type="spellEnd"/>
      <w:r w:rsidR="00F72AD6" w:rsidRPr="00122CAE">
        <w:rPr>
          <w:rFonts w:ascii="Times New Roman" w:hAnsi="Times New Roman" w:cs="Times New Roman"/>
          <w:i/>
          <w:sz w:val="26"/>
          <w:szCs w:val="26"/>
          <w:lang w:val="ro-MO"/>
        </w:rPr>
        <w:t xml:space="preserve"> </w:t>
      </w:r>
      <w:proofErr w:type="spellStart"/>
      <w:r w:rsidR="00F72AD6" w:rsidRPr="00122CAE">
        <w:rPr>
          <w:rFonts w:ascii="Times New Roman" w:hAnsi="Times New Roman" w:cs="Times New Roman"/>
          <w:i/>
          <w:sz w:val="26"/>
          <w:szCs w:val="26"/>
          <w:lang w:val="ro-MO"/>
        </w:rPr>
        <w:t>features</w:t>
      </w:r>
      <w:proofErr w:type="spellEnd"/>
      <w:r w:rsidR="00F72AD6" w:rsidRPr="00446F65">
        <w:rPr>
          <w:rFonts w:ascii="Times New Roman" w:hAnsi="Times New Roman" w:cs="Times New Roman"/>
          <w:sz w:val="26"/>
          <w:szCs w:val="26"/>
          <w:lang w:val="ro-MO"/>
        </w:rPr>
        <w:t xml:space="preserve">) produselor cu ridicata, în special cu privire la partajarea rețelei. Unele produse sunt partajate și permit solicitanților de acces furnizarea serviciilor cu </w:t>
      </w:r>
      <w:r w:rsidR="00F72AD6" w:rsidRPr="00446F65">
        <w:rPr>
          <w:rFonts w:ascii="Times New Roman" w:hAnsi="Times New Roman" w:cs="Times New Roman"/>
          <w:sz w:val="26"/>
          <w:szCs w:val="26"/>
          <w:lang w:val="ro-MO"/>
        </w:rPr>
        <w:lastRenderedPageBreak/>
        <w:t xml:space="preserve">amănuntul standardizate cu caracteristici limitate, în timp ce altele prezintă caracteristici apropiate celor ale produselor </w:t>
      </w:r>
      <w:r w:rsidR="00585B73" w:rsidRPr="00446F65">
        <w:rPr>
          <w:rFonts w:ascii="Times New Roman" w:hAnsi="Times New Roman" w:cs="Times New Roman"/>
          <w:sz w:val="26"/>
          <w:szCs w:val="26"/>
          <w:lang w:val="ro-MO"/>
        </w:rPr>
        <w:t>de acces necondiționat la bucla locală</w:t>
      </w:r>
      <w:r w:rsidR="00F72AD6" w:rsidRPr="00446F65">
        <w:rPr>
          <w:rFonts w:ascii="Times New Roman" w:hAnsi="Times New Roman" w:cs="Times New Roman"/>
          <w:sz w:val="26"/>
          <w:szCs w:val="26"/>
          <w:lang w:val="ro-MO"/>
        </w:rPr>
        <w:t>, care este generic un serviciu furnizat solicitanților de acces cu o capacitate de transmisi</w:t>
      </w:r>
      <w:r w:rsidR="00585B73" w:rsidRPr="00446F65">
        <w:rPr>
          <w:rFonts w:ascii="Times New Roman" w:hAnsi="Times New Roman" w:cs="Times New Roman"/>
          <w:sz w:val="26"/>
          <w:szCs w:val="26"/>
          <w:lang w:val="ro-MO"/>
        </w:rPr>
        <w:t>une</w:t>
      </w:r>
      <w:r w:rsidR="00F72AD6" w:rsidRPr="00446F65">
        <w:rPr>
          <w:rFonts w:ascii="Times New Roman" w:hAnsi="Times New Roman" w:cs="Times New Roman"/>
          <w:sz w:val="26"/>
          <w:szCs w:val="26"/>
          <w:lang w:val="ro-MO"/>
        </w:rPr>
        <w:t xml:space="preserve"> nepartajată în practică, adică furnizarea lățimilor de bandă garantate în funcție de necesitățile solicitanților de acces, aceste solicitări fiind în conformitate cu principiul proporționalității, adică nu ar cere furnizorului cu putere semnificativă de piață să dezvolte noi infrastructuri fizice.</w:t>
      </w:r>
    </w:p>
    <w:p w:rsidR="00F72AD6" w:rsidRPr="00446F65" w:rsidRDefault="00F35178" w:rsidP="00317915">
      <w:pPr>
        <w:pStyle w:val="ListParagraph"/>
        <w:numPr>
          <w:ilvl w:val="0"/>
          <w:numId w:val="12"/>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w:t>
      </w:r>
      <w:r w:rsidR="00F72AD6" w:rsidRPr="00446F65">
        <w:rPr>
          <w:rFonts w:ascii="Times New Roman" w:hAnsi="Times New Roman" w:cs="Times New Roman"/>
          <w:sz w:val="26"/>
          <w:szCs w:val="26"/>
          <w:lang w:val="ro-MO"/>
        </w:rPr>
        <w:t xml:space="preserve"> treia caracteristică se referă la flexibilitatea controlului asupra rețelei oferită solicitanților de acces pentru a-și putea diferenția ofertele sale cu amănuntul. În acest sens, este important să se evalueze pentru fiecare tip de acces cu ridicata ce elemente de rețea și servicii conexe (ca echipamentele de la sediul utilizatorului) rămân sub controlul total al furnizorului cu putere semnificativă și care sub controlul solicitantului de acces.  </w:t>
      </w:r>
    </w:p>
    <w:p w:rsidR="00585B73" w:rsidRPr="00446F65" w:rsidRDefault="00F72AD6"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Pentru a reflecta cele menționate, </w:t>
      </w:r>
      <w:r w:rsidR="00585B73" w:rsidRPr="00446F65">
        <w:rPr>
          <w:rFonts w:ascii="Times New Roman" w:hAnsi="Times New Roman" w:cs="Times New Roman"/>
          <w:sz w:val="26"/>
          <w:szCs w:val="26"/>
          <w:lang w:val="ro-MO"/>
        </w:rPr>
        <w:t>Recomandarea 2014/710/EU</w:t>
      </w:r>
      <w:r w:rsidRPr="00446F65">
        <w:rPr>
          <w:rFonts w:ascii="Times New Roman" w:hAnsi="Times New Roman" w:cs="Times New Roman"/>
          <w:sz w:val="26"/>
          <w:szCs w:val="26"/>
          <w:lang w:val="ro-MO"/>
        </w:rPr>
        <w:t xml:space="preserve"> face diferențiere între: </w:t>
      </w:r>
    </w:p>
    <w:p w:rsidR="00585B73" w:rsidRPr="00446F65" w:rsidRDefault="00F72AD6" w:rsidP="00317915">
      <w:pPr>
        <w:pStyle w:val="ListParagraph"/>
        <w:numPr>
          <w:ilvl w:val="0"/>
          <w:numId w:val="19"/>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Piața de furnizare cu ridicata de servicii de acces local la puncte fixe (</w:t>
      </w:r>
      <w:r w:rsidRPr="00122CAE">
        <w:rPr>
          <w:rFonts w:ascii="Times New Roman" w:hAnsi="Times New Roman" w:cs="Times New Roman"/>
          <w:i/>
          <w:sz w:val="26"/>
          <w:szCs w:val="26"/>
          <w:lang w:val="ro-MO"/>
        </w:rPr>
        <w:t xml:space="preserve">WLA - </w:t>
      </w:r>
      <w:proofErr w:type="spellStart"/>
      <w:r w:rsidRPr="00122CAE">
        <w:rPr>
          <w:rFonts w:ascii="Times New Roman" w:hAnsi="Times New Roman" w:cs="Times New Roman"/>
          <w:i/>
          <w:sz w:val="26"/>
          <w:szCs w:val="26"/>
          <w:lang w:val="ro-MO"/>
        </w:rPr>
        <w:t>Wholesale</w:t>
      </w:r>
      <w:proofErr w:type="spellEnd"/>
      <w:r w:rsidRPr="00122CAE">
        <w:rPr>
          <w:rFonts w:ascii="Times New Roman" w:hAnsi="Times New Roman" w:cs="Times New Roman"/>
          <w:i/>
          <w:sz w:val="26"/>
          <w:szCs w:val="26"/>
          <w:lang w:val="ro-MO"/>
        </w:rPr>
        <w:t xml:space="preserve"> Local Access at a </w:t>
      </w:r>
      <w:proofErr w:type="spellStart"/>
      <w:r w:rsidRPr="00122CAE">
        <w:rPr>
          <w:rFonts w:ascii="Times New Roman" w:hAnsi="Times New Roman" w:cs="Times New Roman"/>
          <w:i/>
          <w:sz w:val="26"/>
          <w:szCs w:val="26"/>
          <w:lang w:val="ro-MO"/>
        </w:rPr>
        <w:t>fixed</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location</w:t>
      </w:r>
      <w:proofErr w:type="spellEnd"/>
      <w:r w:rsidRPr="00446F65">
        <w:rPr>
          <w:rFonts w:ascii="Times New Roman" w:hAnsi="Times New Roman" w:cs="Times New Roman"/>
          <w:sz w:val="26"/>
          <w:szCs w:val="26"/>
          <w:lang w:val="ro-MO"/>
        </w:rPr>
        <w:t>), care include produsele de acces care permit solicitanților de acces controlul mai mare și mai flexibil asupra liniilor de acces</w:t>
      </w:r>
      <w:r w:rsidR="00585B73"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și</w:t>
      </w:r>
    </w:p>
    <w:p w:rsidR="00F72AD6" w:rsidRPr="00446F65" w:rsidRDefault="00F72AD6" w:rsidP="00317915">
      <w:pPr>
        <w:pStyle w:val="ListParagraph"/>
        <w:numPr>
          <w:ilvl w:val="0"/>
          <w:numId w:val="19"/>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Piața de furnizare cu ridicata de servicii de acces central la puncte fixe pentru produse de larg consum (</w:t>
      </w:r>
      <w:r w:rsidRPr="00122CAE">
        <w:rPr>
          <w:rFonts w:ascii="Times New Roman" w:hAnsi="Times New Roman" w:cs="Times New Roman"/>
          <w:i/>
          <w:sz w:val="26"/>
          <w:szCs w:val="26"/>
          <w:lang w:val="ro-MO"/>
        </w:rPr>
        <w:t xml:space="preserve">WCA - </w:t>
      </w:r>
      <w:proofErr w:type="spellStart"/>
      <w:r w:rsidRPr="00122CAE">
        <w:rPr>
          <w:rFonts w:ascii="Times New Roman" w:hAnsi="Times New Roman" w:cs="Times New Roman"/>
          <w:i/>
          <w:sz w:val="26"/>
          <w:szCs w:val="26"/>
          <w:lang w:val="ro-MO"/>
        </w:rPr>
        <w:t>Wholesale</w:t>
      </w:r>
      <w:proofErr w:type="spellEnd"/>
      <w:r w:rsidRPr="00122CAE">
        <w:rPr>
          <w:rFonts w:ascii="Times New Roman" w:hAnsi="Times New Roman" w:cs="Times New Roman"/>
          <w:i/>
          <w:sz w:val="26"/>
          <w:szCs w:val="26"/>
          <w:lang w:val="ro-MO"/>
        </w:rPr>
        <w:t xml:space="preserve"> Central Access at  a </w:t>
      </w:r>
      <w:proofErr w:type="spellStart"/>
      <w:r w:rsidRPr="00122CAE">
        <w:rPr>
          <w:rFonts w:ascii="Times New Roman" w:hAnsi="Times New Roman" w:cs="Times New Roman"/>
          <w:i/>
          <w:sz w:val="26"/>
          <w:szCs w:val="26"/>
          <w:lang w:val="ro-MO"/>
        </w:rPr>
        <w:t>fixed</w:t>
      </w:r>
      <w:proofErr w:type="spellEnd"/>
      <w:r w:rsidRPr="00122CAE">
        <w:rPr>
          <w:rFonts w:ascii="Times New Roman" w:hAnsi="Times New Roman" w:cs="Times New Roman"/>
          <w:i/>
          <w:sz w:val="26"/>
          <w:szCs w:val="26"/>
          <w:lang w:val="ro-MO"/>
        </w:rPr>
        <w:t xml:space="preserve"> </w:t>
      </w:r>
      <w:proofErr w:type="spellStart"/>
      <w:r w:rsidRPr="00122CAE">
        <w:rPr>
          <w:rFonts w:ascii="Times New Roman" w:hAnsi="Times New Roman" w:cs="Times New Roman"/>
          <w:i/>
          <w:sz w:val="26"/>
          <w:szCs w:val="26"/>
          <w:lang w:val="ro-MO"/>
        </w:rPr>
        <w:t>location</w:t>
      </w:r>
      <w:proofErr w:type="spellEnd"/>
      <w:r w:rsidRPr="00446F65">
        <w:rPr>
          <w:rFonts w:ascii="Times New Roman" w:hAnsi="Times New Roman" w:cs="Times New Roman"/>
          <w:sz w:val="26"/>
          <w:szCs w:val="26"/>
          <w:lang w:val="ro-MO"/>
        </w:rPr>
        <w:t xml:space="preserve">), care include produsele de acces care permit solicitanților de acces un control direct mai scăzut și mai standardizat asupra liniilor de acces. </w:t>
      </w:r>
    </w:p>
    <w:p w:rsidR="00F35178" w:rsidRPr="00446F65" w:rsidRDefault="00392BB5" w:rsidP="00317915">
      <w:pPr>
        <w:pStyle w:val="Heading2"/>
        <w:spacing w:line="240" w:lineRule="auto"/>
        <w:ind w:firstLine="720"/>
        <w:rPr>
          <w:rFonts w:eastAsiaTheme="minorHAnsi" w:cs="Times New Roman"/>
          <w:bCs w:val="0"/>
          <w:color w:val="auto"/>
          <w:sz w:val="26"/>
          <w:lang w:val="ro-MO"/>
        </w:rPr>
      </w:pPr>
      <w:bookmarkStart w:id="11" w:name="_Toc492907370"/>
      <w:r w:rsidRPr="00446F65">
        <w:rPr>
          <w:rFonts w:eastAsiaTheme="minorHAnsi" w:cs="Times New Roman"/>
          <w:bCs w:val="0"/>
          <w:color w:val="auto"/>
          <w:sz w:val="26"/>
          <w:lang w:val="ro-MO"/>
        </w:rPr>
        <w:t xml:space="preserve">3.1 </w:t>
      </w:r>
      <w:r w:rsidR="00720375" w:rsidRPr="00446F65">
        <w:rPr>
          <w:rFonts w:eastAsiaTheme="minorHAnsi" w:cs="Times New Roman"/>
          <w:bCs w:val="0"/>
          <w:color w:val="auto"/>
          <w:sz w:val="26"/>
          <w:lang w:val="ro-MO"/>
        </w:rPr>
        <w:t xml:space="preserve">Identificarea </w:t>
      </w:r>
      <w:r w:rsidR="00F35178" w:rsidRPr="00446F65">
        <w:rPr>
          <w:rFonts w:eastAsiaTheme="minorHAnsi" w:cs="Times New Roman"/>
          <w:bCs w:val="0"/>
          <w:color w:val="auto"/>
          <w:sz w:val="26"/>
          <w:lang w:val="ro-MO"/>
        </w:rPr>
        <w:t>Pi</w:t>
      </w:r>
      <w:r w:rsidR="00720375" w:rsidRPr="00446F65">
        <w:rPr>
          <w:rFonts w:eastAsiaTheme="minorHAnsi" w:cs="Times New Roman"/>
          <w:bCs w:val="0"/>
          <w:color w:val="auto"/>
          <w:sz w:val="26"/>
          <w:lang w:val="ro-MO"/>
        </w:rPr>
        <w:t>e</w:t>
      </w:r>
      <w:r w:rsidR="00F35178" w:rsidRPr="00446F65">
        <w:rPr>
          <w:rFonts w:eastAsiaTheme="minorHAnsi" w:cs="Times New Roman"/>
          <w:bCs w:val="0"/>
          <w:color w:val="auto"/>
          <w:sz w:val="26"/>
          <w:lang w:val="ro-MO"/>
        </w:rPr>
        <w:t>ț</w:t>
      </w:r>
      <w:r w:rsidR="00720375" w:rsidRPr="00446F65">
        <w:rPr>
          <w:rFonts w:eastAsiaTheme="minorHAnsi" w:cs="Times New Roman"/>
          <w:bCs w:val="0"/>
          <w:color w:val="auto"/>
          <w:sz w:val="26"/>
          <w:lang w:val="ro-MO"/>
        </w:rPr>
        <w:t>ei</w:t>
      </w:r>
      <w:r w:rsidR="00F35178" w:rsidRPr="00446F65">
        <w:rPr>
          <w:rFonts w:eastAsiaTheme="minorHAnsi" w:cs="Times New Roman"/>
          <w:bCs w:val="0"/>
          <w:color w:val="auto"/>
          <w:sz w:val="26"/>
          <w:lang w:val="ro-MO"/>
        </w:rPr>
        <w:t xml:space="preserve"> furniz</w:t>
      </w:r>
      <w:r w:rsidR="000270E0" w:rsidRPr="00446F65">
        <w:rPr>
          <w:rFonts w:eastAsiaTheme="minorHAnsi" w:cs="Times New Roman"/>
          <w:bCs w:val="0"/>
          <w:color w:val="auto"/>
          <w:sz w:val="26"/>
          <w:lang w:val="ro-MO"/>
        </w:rPr>
        <w:t>ă</w:t>
      </w:r>
      <w:r w:rsidR="00F35178" w:rsidRPr="00446F65">
        <w:rPr>
          <w:rFonts w:eastAsiaTheme="minorHAnsi" w:cs="Times New Roman"/>
          <w:bCs w:val="0"/>
          <w:color w:val="auto"/>
          <w:sz w:val="26"/>
          <w:lang w:val="ro-MO"/>
        </w:rPr>
        <w:t>r</w:t>
      </w:r>
      <w:r w:rsidR="000270E0" w:rsidRPr="00446F65">
        <w:rPr>
          <w:rFonts w:eastAsiaTheme="minorHAnsi" w:cs="Times New Roman"/>
          <w:bCs w:val="0"/>
          <w:color w:val="auto"/>
          <w:sz w:val="26"/>
          <w:lang w:val="ro-MO"/>
        </w:rPr>
        <w:t>ii</w:t>
      </w:r>
      <w:r w:rsidR="00F35178" w:rsidRPr="00446F65">
        <w:rPr>
          <w:rFonts w:eastAsiaTheme="minorHAnsi" w:cs="Times New Roman"/>
          <w:bCs w:val="0"/>
          <w:color w:val="auto"/>
          <w:sz w:val="26"/>
          <w:lang w:val="ro-MO"/>
        </w:rPr>
        <w:t xml:space="preserve"> cu ridicata de servicii de acces local la puncte fixe (WLA)</w:t>
      </w:r>
      <w:bookmarkEnd w:id="11"/>
    </w:p>
    <w:p w:rsidR="00C123B6" w:rsidRPr="00446F65" w:rsidRDefault="00C123B6" w:rsidP="00317915">
      <w:pPr>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compartimentele ce urmează, ANRCETI desfășoară o analiză care stabilește:</w:t>
      </w:r>
    </w:p>
    <w:p w:rsidR="00C123B6" w:rsidRPr="00446F65" w:rsidRDefault="00C123B6" w:rsidP="00317915">
      <w:pPr>
        <w:pStyle w:val="ListParagraph"/>
        <w:numPr>
          <w:ilvl w:val="1"/>
          <w:numId w:val="1"/>
        </w:numPr>
        <w:tabs>
          <w:tab w:val="left" w:pos="540"/>
        </w:tabs>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limitele pieței produsului și pieţei geografice ale pieței WLA, utilizând raționamentele Testului Monopolistului Ipotetic;</w:t>
      </w:r>
    </w:p>
    <w:p w:rsidR="00C123B6" w:rsidRPr="00446F65" w:rsidRDefault="00C123B6" w:rsidP="00317915">
      <w:pPr>
        <w:pStyle w:val="ListParagraph"/>
        <w:numPr>
          <w:ilvl w:val="1"/>
          <w:numId w:val="1"/>
        </w:numPr>
        <w:tabs>
          <w:tab w:val="left" w:pos="540"/>
        </w:tabs>
        <w:spacing w:after="0" w:line="240" w:lineRule="auto"/>
        <w:ind w:left="0" w:firstLine="720"/>
        <w:jc w:val="both"/>
        <w:rPr>
          <w:rFonts w:ascii="Times New Roman" w:hAnsi="Times New Roman" w:cs="Times New Roman"/>
          <w:sz w:val="26"/>
          <w:szCs w:val="26"/>
          <w:lang w:val="ro-MO"/>
        </w:rPr>
      </w:pPr>
      <w:r w:rsidRPr="00446F65">
        <w:rPr>
          <w:rStyle w:val="hps"/>
          <w:rFonts w:ascii="Times New Roman" w:hAnsi="Times New Roman" w:cs="Times New Roman"/>
          <w:sz w:val="26"/>
          <w:szCs w:val="26"/>
          <w:lang w:val="ro-MO"/>
        </w:rPr>
        <w:t>situaţia concurenţială şi evoluţia viitoare a acestei pieţe în scopul de a desemna</w:t>
      </w:r>
      <w:r w:rsidRPr="00446F65">
        <w:rPr>
          <w:rFonts w:ascii="Times New Roman" w:hAnsi="Times New Roman" w:cs="Times New Roman"/>
          <w:sz w:val="26"/>
          <w:szCs w:val="26"/>
          <w:lang w:val="ro-MO"/>
        </w:rPr>
        <w:t xml:space="preserve">, </w:t>
      </w:r>
      <w:r w:rsidRPr="00446F65">
        <w:rPr>
          <w:rStyle w:val="hps"/>
          <w:rFonts w:ascii="Times New Roman" w:hAnsi="Times New Roman" w:cs="Times New Roman"/>
          <w:sz w:val="26"/>
          <w:szCs w:val="26"/>
          <w:lang w:val="ro-MO"/>
        </w:rPr>
        <w:t>după caz</w:t>
      </w:r>
      <w:r w:rsidRPr="00446F65">
        <w:rPr>
          <w:rFonts w:ascii="Times New Roman" w:hAnsi="Times New Roman" w:cs="Times New Roman"/>
          <w:sz w:val="26"/>
          <w:szCs w:val="26"/>
          <w:lang w:val="ro-MO"/>
        </w:rPr>
        <w:t xml:space="preserve">, </w:t>
      </w:r>
      <w:r w:rsidRPr="00446F65">
        <w:rPr>
          <w:rStyle w:val="hps"/>
          <w:rFonts w:ascii="Times New Roman" w:hAnsi="Times New Roman" w:cs="Times New Roman"/>
          <w:sz w:val="26"/>
          <w:szCs w:val="26"/>
          <w:lang w:val="ro-MO"/>
        </w:rPr>
        <w:t>furnizorul sau furnizorii cu putere semnificativă</w:t>
      </w:r>
      <w:r w:rsidRPr="00446F65">
        <w:rPr>
          <w:rFonts w:ascii="Times New Roman" w:hAnsi="Times New Roman" w:cs="Times New Roman"/>
          <w:sz w:val="26"/>
          <w:szCs w:val="26"/>
          <w:lang w:val="ro-MO"/>
        </w:rPr>
        <w:t>;</w:t>
      </w:r>
    </w:p>
    <w:p w:rsidR="00C123B6" w:rsidRPr="00446F65" w:rsidRDefault="00C123B6" w:rsidP="00317915">
      <w:pPr>
        <w:pStyle w:val="ListParagraph"/>
        <w:numPr>
          <w:ilvl w:val="1"/>
          <w:numId w:val="1"/>
        </w:numPr>
        <w:tabs>
          <w:tab w:val="left" w:pos="540"/>
        </w:tabs>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identificarea obligaţiilor ce urmează a fi impuse furnizorului determinat cu putere semnificativă pe piața dată.</w:t>
      </w:r>
    </w:p>
    <w:p w:rsidR="00703194" w:rsidRPr="00446F65" w:rsidRDefault="00392BB5" w:rsidP="00317915">
      <w:pPr>
        <w:pStyle w:val="Heading4"/>
        <w:spacing w:line="240" w:lineRule="auto"/>
        <w:ind w:firstLine="720"/>
        <w:rPr>
          <w:rFonts w:eastAsiaTheme="minorHAnsi" w:cs="Times New Roman"/>
          <w:i w:val="0"/>
          <w:color w:val="auto"/>
          <w:szCs w:val="26"/>
          <w:lang w:val="ro-MO"/>
        </w:rPr>
      </w:pPr>
      <w:bookmarkStart w:id="12" w:name="_Toc492907371"/>
      <w:r w:rsidRPr="00446F65">
        <w:rPr>
          <w:rFonts w:eastAsiaTheme="minorHAnsi" w:cs="Times New Roman"/>
          <w:i w:val="0"/>
          <w:color w:val="auto"/>
          <w:szCs w:val="26"/>
          <w:lang w:val="ro-MO"/>
        </w:rPr>
        <w:t xml:space="preserve">3.1.1 </w:t>
      </w:r>
      <w:r w:rsidR="0068406E" w:rsidRPr="00446F65">
        <w:rPr>
          <w:rFonts w:eastAsiaTheme="minorHAnsi" w:cs="Times New Roman"/>
          <w:i w:val="0"/>
          <w:color w:val="auto"/>
          <w:szCs w:val="26"/>
          <w:lang w:val="ro-MO"/>
        </w:rPr>
        <w:t>Definirea p</w:t>
      </w:r>
      <w:r w:rsidR="00703194" w:rsidRPr="00446F65">
        <w:rPr>
          <w:rFonts w:eastAsiaTheme="minorHAnsi" w:cs="Times New Roman"/>
          <w:i w:val="0"/>
          <w:color w:val="auto"/>
          <w:szCs w:val="26"/>
          <w:lang w:val="ro-MO"/>
        </w:rPr>
        <w:t>i</w:t>
      </w:r>
      <w:r w:rsidR="0068406E" w:rsidRPr="00446F65">
        <w:rPr>
          <w:rFonts w:eastAsiaTheme="minorHAnsi" w:cs="Times New Roman"/>
          <w:i w:val="0"/>
          <w:color w:val="auto"/>
          <w:szCs w:val="26"/>
          <w:lang w:val="ro-MO"/>
        </w:rPr>
        <w:t>e</w:t>
      </w:r>
      <w:r w:rsidR="00703194" w:rsidRPr="00446F65">
        <w:rPr>
          <w:rFonts w:eastAsiaTheme="minorHAnsi" w:cs="Times New Roman"/>
          <w:i w:val="0"/>
          <w:color w:val="auto"/>
          <w:szCs w:val="26"/>
          <w:lang w:val="ro-MO"/>
        </w:rPr>
        <w:t>ț</w:t>
      </w:r>
      <w:r w:rsidR="0068406E" w:rsidRPr="00446F65">
        <w:rPr>
          <w:rFonts w:eastAsiaTheme="minorHAnsi" w:cs="Times New Roman"/>
          <w:i w:val="0"/>
          <w:color w:val="auto"/>
          <w:szCs w:val="26"/>
          <w:lang w:val="ro-MO"/>
        </w:rPr>
        <w:t>ei</w:t>
      </w:r>
      <w:r w:rsidR="00703194" w:rsidRPr="00446F65">
        <w:rPr>
          <w:rFonts w:eastAsiaTheme="minorHAnsi" w:cs="Times New Roman"/>
          <w:i w:val="0"/>
          <w:color w:val="auto"/>
          <w:szCs w:val="26"/>
          <w:lang w:val="ro-MO"/>
        </w:rPr>
        <w:t xml:space="preserve"> produsului</w:t>
      </w:r>
      <w:bookmarkEnd w:id="12"/>
      <w:r w:rsidR="00703194" w:rsidRPr="00446F65">
        <w:rPr>
          <w:rFonts w:eastAsiaTheme="minorHAnsi" w:cs="Times New Roman"/>
          <w:i w:val="0"/>
          <w:color w:val="auto"/>
          <w:szCs w:val="26"/>
          <w:lang w:val="ro-MO"/>
        </w:rPr>
        <w:t xml:space="preserve"> </w:t>
      </w:r>
    </w:p>
    <w:p w:rsidR="0068406E" w:rsidRPr="00446F65" w:rsidRDefault="0068406E" w:rsidP="00317915">
      <w:pPr>
        <w:spacing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Piața WLA constă în primul rând din produse de acces fizic sau pasiv care permit furnizarea serviciilor cu amănuntul în bandă largă.</w:t>
      </w:r>
    </w:p>
    <w:p w:rsidR="0068406E" w:rsidRPr="00446F65" w:rsidRDefault="0068406E"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Tradiţional, infrastructura de reţea numită buclă locală de cupru, a servit pentru furnizarea către utilizatori a serviciilor de telefonie fixă, aceasta conectând facilităţile terminale ale utilizatorilor cu centrala telefonică locală. În figura de mai jos este prezentată relaţia structurală dintre infrastructura dată şi serviciile de telefonie oferite:</w:t>
      </w: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b/>
          <w:sz w:val="26"/>
          <w:szCs w:val="26"/>
          <w:lang w:val="ro-MO"/>
        </w:rPr>
      </w:pPr>
      <w:r w:rsidRPr="00446F65">
        <w:rPr>
          <w:rFonts w:ascii="Times New Roman" w:hAnsi="Times New Roman" w:cs="Times New Roman"/>
          <w:b/>
          <w:noProof/>
          <w:sz w:val="26"/>
          <w:szCs w:val="26"/>
        </w:rPr>
        <mc:AlternateContent>
          <mc:Choice Requires="wps">
            <w:drawing>
              <wp:anchor distT="0" distB="0" distL="114300" distR="114300" simplePos="0" relativeHeight="251689984" behindDoc="0" locked="0" layoutInCell="1" allowOverlap="1" wp14:anchorId="2DDB1760" wp14:editId="491C9850">
                <wp:simplePos x="0" y="0"/>
                <wp:positionH relativeFrom="column">
                  <wp:posOffset>1376128</wp:posOffset>
                </wp:positionH>
                <wp:positionV relativeFrom="paragraph">
                  <wp:posOffset>125107</wp:posOffset>
                </wp:positionV>
                <wp:extent cx="2578771" cy="707019"/>
                <wp:effectExtent l="0" t="0" r="12065" b="171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771" cy="707019"/>
                        </a:xfrm>
                        <a:prstGeom prst="rect">
                          <a:avLst/>
                        </a:prstGeom>
                        <a:solidFill>
                          <a:schemeClr val="lt1"/>
                        </a:solidFill>
                        <a:ln w="254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D79DD" w:rsidRPr="00D17B56" w:rsidRDefault="00FD79DD" w:rsidP="0068406E">
                            <w:pPr>
                              <w:rPr>
                                <w:b/>
                                <w:sz w:val="26"/>
                                <w:szCs w:val="26"/>
                                <w:lang w:val="ro-RO"/>
                              </w:rPr>
                            </w:pPr>
                            <w:r w:rsidRPr="00D17B56">
                              <w:rPr>
                                <w:b/>
                                <w:sz w:val="26"/>
                                <w:szCs w:val="26"/>
                                <w:lang w:val="ro-RO"/>
                              </w:rPr>
                              <w:t>Infrastructura de acces la un punct fix (bucla locală de cupru)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08.35pt;margin-top:9.85pt;width:203.05pt;height:5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" fillcolor="white [3201]" strokecolor="#1f497d [3215]" strokeweight="2pt">
                <v:path arrowok="t"/>
                <v:textbox>
                  <w:txbxContent>
                    <w:p w:rsidR="00FD79DD" w:rsidRPr="00D17B56" w:rsidRDefault="00FD79DD" w:rsidP="0068406E">
                      <w:pPr>
                        <w:rPr>
                          <w:b/>
                          <w:sz w:val="26"/>
                          <w:szCs w:val="26"/>
                          <w:lang w:val="ro-RO"/>
                        </w:rPr>
                      </w:pPr>
                      <w:r w:rsidRPr="00D17B56">
                        <w:rPr>
                          <w:b/>
                          <w:sz w:val="26"/>
                          <w:szCs w:val="26"/>
                          <w:lang w:val="ro-RO"/>
                        </w:rPr>
                        <w:t>Infrastructura de acces la un punct fix (bucla locală de cupru)</w:t>
                      </w:r>
                    </w:p>
                  </w:txbxContent>
                </v:textbox>
              </v:shape>
            </w:pict>
          </mc:Fallback>
        </mc:AlternateContent>
      </w:r>
      <w:r w:rsidRPr="00446F65">
        <w:rPr>
          <w:rFonts w:ascii="Times New Roman" w:hAnsi="Times New Roman" w:cs="Times New Roman"/>
          <w:b/>
          <w:noProof/>
          <w:sz w:val="26"/>
          <w:szCs w:val="26"/>
        </w:rPr>
        <mc:AlternateContent>
          <mc:Choice Requires="wps">
            <w:drawing>
              <wp:anchor distT="0" distB="0" distL="114300" distR="114300" simplePos="0" relativeHeight="251691008" behindDoc="0" locked="0" layoutInCell="1" allowOverlap="1" wp14:anchorId="690C181E" wp14:editId="100615B0">
                <wp:simplePos x="0" y="0"/>
                <wp:positionH relativeFrom="column">
                  <wp:posOffset>4145208</wp:posOffset>
                </wp:positionH>
                <wp:positionV relativeFrom="paragraph">
                  <wp:posOffset>116481</wp:posOffset>
                </wp:positionV>
                <wp:extent cx="2365950" cy="715992"/>
                <wp:effectExtent l="0" t="0" r="15875" b="273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950" cy="715992"/>
                        </a:xfrm>
                        <a:prstGeom prst="rect">
                          <a:avLst/>
                        </a:prstGeom>
                        <a:solidFill>
                          <a:schemeClr val="lt1"/>
                        </a:solidFill>
                        <a:ln w="952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D79DD" w:rsidRPr="002C2BBF" w:rsidRDefault="00FD79DD" w:rsidP="0068406E">
                            <w:pPr>
                              <w:spacing w:line="240" w:lineRule="auto"/>
                              <w:rPr>
                                <w:b/>
                                <w:color w:val="808080" w:themeColor="background1" w:themeShade="80"/>
                                <w:sz w:val="26"/>
                                <w:szCs w:val="26"/>
                                <w:lang w:val="ro-RO"/>
                              </w:rPr>
                            </w:pPr>
                            <w:r w:rsidRPr="002C2BBF">
                              <w:rPr>
                                <w:b/>
                                <w:color w:val="808080" w:themeColor="background1" w:themeShade="80"/>
                                <w:sz w:val="26"/>
                                <w:szCs w:val="26"/>
                                <w:lang w:val="ro-RO"/>
                              </w:rPr>
                              <w:t>Infrastructura reţelei de bază (centrale telefonice şi legăturile de transmisiuni)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7" o:spid="_x0000_s1027" type="#_x0000_t202" style="position:absolute;left:0;text-align:left;margin-left:326.4pt;margin-top:9.15pt;width:186.3pt;height:56.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" fillcolor="white [3201]" strokecolor="#1f497d [3215]">
                <v:path arrowok="t"/>
                <v:textbox>
                  <w:txbxContent>
                    <w:p w:rsidR="00FD79DD" w:rsidRPr="002C2BBF" w:rsidRDefault="00FD79DD" w:rsidP="0068406E">
                      <w:pPr>
                        <w:spacing w:line="240" w:lineRule="auto"/>
                        <w:rPr>
                          <w:b/>
                          <w:color w:val="808080" w:themeColor="background1" w:themeShade="80"/>
                          <w:sz w:val="26"/>
                          <w:szCs w:val="26"/>
                          <w:lang w:val="ro-RO"/>
                        </w:rPr>
                      </w:pPr>
                      <w:r w:rsidRPr="002C2BBF">
                        <w:rPr>
                          <w:b/>
                          <w:color w:val="808080" w:themeColor="background1" w:themeShade="80"/>
                          <w:sz w:val="26"/>
                          <w:szCs w:val="26"/>
                          <w:lang w:val="ro-RO"/>
                        </w:rPr>
                        <w:t>Infrastructura reţelei de bază (centrale telefonice şi legăturile de transmisiuni)</w:t>
                      </w:r>
                    </w:p>
                  </w:txbxContent>
                </v:textbox>
              </v:shape>
            </w:pict>
          </mc:Fallback>
        </mc:AlternateContent>
      </w: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b/>
          <w:sz w:val="26"/>
          <w:szCs w:val="26"/>
          <w:lang w:val="ro-MO"/>
        </w:rPr>
      </w:pPr>
      <w:r w:rsidRPr="00446F65">
        <w:rPr>
          <w:rFonts w:ascii="Times New Roman" w:hAnsi="Times New Roman" w:cs="Times New Roman"/>
          <w:b/>
          <w:noProof/>
          <w:sz w:val="26"/>
          <w:szCs w:val="26"/>
        </w:rPr>
        <mc:AlternateContent>
          <mc:Choice Requires="wps">
            <w:drawing>
              <wp:anchor distT="0" distB="0" distL="114300" distR="114300" simplePos="0" relativeHeight="251698176" behindDoc="0" locked="0" layoutInCell="1" allowOverlap="1" wp14:anchorId="547AABCC" wp14:editId="011D870E">
                <wp:simplePos x="0" y="0"/>
                <wp:positionH relativeFrom="column">
                  <wp:posOffset>-90362</wp:posOffset>
                </wp:positionH>
                <wp:positionV relativeFrom="paragraph">
                  <wp:posOffset>59295</wp:posOffset>
                </wp:positionV>
                <wp:extent cx="896417" cy="7239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417"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79DD" w:rsidRPr="00D17B56" w:rsidRDefault="00FD79DD" w:rsidP="0068406E">
                            <w:pPr>
                              <w:rPr>
                                <w:b/>
                                <w:color w:val="1F497D" w:themeColor="text2"/>
                                <w:lang w:val="ro-RO"/>
                              </w:rPr>
                            </w:pPr>
                            <w:r w:rsidRPr="00D17B56">
                              <w:rPr>
                                <w:b/>
                                <w:color w:val="1F497D" w:themeColor="text2"/>
                                <w:lang w:val="ro-RO"/>
                              </w:rPr>
                              <w:t>Servicii oferite cu ridicata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8" o:spid="_x0000_s1028" type="#_x0000_t202" style="position:absolute;left:0;text-align:left;margin-left:-7.1pt;margin-top:4.65pt;width:70.6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" fillcolor="white [3201]" stroked="f" strokeweight=".5pt">
                <v:path arrowok="t"/>
                <v:textbox>
                  <w:txbxContent>
                    <w:p w:rsidR="00FD79DD" w:rsidRPr="00D17B56" w:rsidRDefault="00FD79DD" w:rsidP="0068406E">
                      <w:pPr>
                        <w:rPr>
                          <w:b/>
                          <w:color w:val="1F497D" w:themeColor="text2"/>
                          <w:lang w:val="ro-RO"/>
                        </w:rPr>
                      </w:pPr>
                      <w:r w:rsidRPr="00D17B56">
                        <w:rPr>
                          <w:b/>
                          <w:color w:val="1F497D" w:themeColor="text2"/>
                          <w:lang w:val="ro-RO"/>
                        </w:rPr>
                        <w:t>Servicii oferite cu ridicata</w:t>
                      </w:r>
                    </w:p>
                  </w:txbxContent>
                </v:textbox>
              </v:shape>
            </w:pict>
          </mc:Fallback>
        </mc:AlternateContent>
      </w:r>
      <w:r w:rsidRPr="00446F65">
        <w:rPr>
          <w:rFonts w:ascii="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64D2E4AC" wp14:editId="099B8A5B">
                <wp:simplePos x="0" y="0"/>
                <wp:positionH relativeFrom="column">
                  <wp:posOffset>809697</wp:posOffset>
                </wp:positionH>
                <wp:positionV relativeFrom="paragraph">
                  <wp:posOffset>158115</wp:posOffset>
                </wp:positionV>
                <wp:extent cx="514350" cy="247650"/>
                <wp:effectExtent l="0" t="19050" r="38100" b="38100"/>
                <wp:wrapNone/>
                <wp:docPr id="39" name="Right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9" o:spid="_x0000_s1026" type="#_x0000_t13" style="position:absolute;margin-left:63.75pt;margin-top:12.45pt;width:40.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" adj="16400" fillcolor="#4f81bd [3204]" strokecolor="#243f60 [1604]" strokeweight="2pt">
                <v:path arrowok="t"/>
              </v:shape>
            </w:pict>
          </mc:Fallback>
        </mc:AlternateContent>
      </w: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2F178B45" wp14:editId="3546911C">
                <wp:simplePos x="0" y="0"/>
                <wp:positionH relativeFrom="column">
                  <wp:posOffset>3905251</wp:posOffset>
                </wp:positionH>
                <wp:positionV relativeFrom="paragraph">
                  <wp:posOffset>15875</wp:posOffset>
                </wp:positionV>
                <wp:extent cx="1409699" cy="276860"/>
                <wp:effectExtent l="38100" t="0" r="19685" b="8509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9699" cy="27686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0" o:spid="_x0000_s1026" type="#_x0000_t32" style="position:absolute;margin-left:307.5pt;margin-top:1.25pt;width:111pt;height:21.8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" strokecolor="#4579b8 [3044]" strokeweight="1pt">
                <v:stroke endarrow="open"/>
                <o:lock v:ext="edit" shapetype="f"/>
              </v:shape>
            </w:pict>
          </mc:Fallback>
        </mc:AlternateContent>
      </w:r>
      <w:r w:rsidRPr="00446F65">
        <w:rPr>
          <w:rFonts w:ascii="Times New Roman" w:hAnsi="Times New Roman" w:cs="Times New Roman"/>
          <w:noProof/>
          <w:sz w:val="26"/>
          <w:szCs w:val="26"/>
        </w:rPr>
        <mc:AlternateContent>
          <mc:Choice Requires="wps">
            <w:drawing>
              <wp:anchor distT="0" distB="0" distL="114300" distR="114300" simplePos="0" relativeHeight="251694080" behindDoc="0" locked="0" layoutInCell="1" allowOverlap="1" wp14:anchorId="6F39BE1A" wp14:editId="153EF0F8">
                <wp:simplePos x="0" y="0"/>
                <wp:positionH relativeFrom="column">
                  <wp:posOffset>2462530</wp:posOffset>
                </wp:positionH>
                <wp:positionV relativeFrom="paragraph">
                  <wp:posOffset>14605</wp:posOffset>
                </wp:positionV>
                <wp:extent cx="1276350" cy="276860"/>
                <wp:effectExtent l="0" t="0" r="76200" b="8509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27686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193.9pt;margin-top:1.15pt;width:100.5pt;height:2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" strokecolor="#4579b8 [3044]" strokeweight="2pt">
                <v:stroke endarrow="open"/>
                <o:lock v:ext="edit" shapetype="f"/>
              </v:shape>
            </w:pict>
          </mc:Fallback>
        </mc:AlternateContent>
      </w: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noProof/>
          <w:sz w:val="26"/>
          <w:szCs w:val="26"/>
        </w:rPr>
        <mc:AlternateContent>
          <mc:Choice Requires="wps">
            <w:drawing>
              <wp:anchor distT="0" distB="0" distL="114300" distR="114300" simplePos="0" relativeHeight="251692032" behindDoc="0" locked="0" layoutInCell="1" allowOverlap="1" wp14:anchorId="2AAF27F2" wp14:editId="1C9C3E31">
                <wp:simplePos x="0" y="0"/>
                <wp:positionH relativeFrom="column">
                  <wp:posOffset>2954020</wp:posOffset>
                </wp:positionH>
                <wp:positionV relativeFrom="paragraph">
                  <wp:posOffset>140335</wp:posOffset>
                </wp:positionV>
                <wp:extent cx="1704975" cy="879475"/>
                <wp:effectExtent l="0" t="0" r="28575" b="15875"/>
                <wp:wrapNone/>
                <wp:docPr id="42" name="Dodecagon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879475"/>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decagon 42" o:spid="_x0000_s1026" style="position:absolute;margin-left:232.6pt;margin-top:11.05pt;width:134.25pt;height:6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4975,87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" path="m,321904l228435,117833,624052,r456871,l1476540,117833r228435,204071l1704975,557571,1476540,761642,1080923,879475r-456871,l228435,761642,,557571,,321904xe" fillcolor="#4f81bd [3204]" strokecolor="#243f60 [1604]" strokeweight="2pt">
                <v:path arrowok="t" o:connecttype="custom" o:connectlocs="0,321904;228435,117833;624052,0;1080923,0;1476540,117833;1704975,321904;1704975,557571;1476540,761642;1080923,879475;624052,879475;228435,761642;0,557571;0,321904" o:connectangles="0,0,0,0,0,0,0,0,0,0,0,0,0"/>
              </v:shape>
            </w:pict>
          </mc:Fallback>
        </mc:AlternateContent>
      </w: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b/>
          <w:noProof/>
          <w:sz w:val="26"/>
          <w:szCs w:val="26"/>
        </w:rPr>
        <mc:AlternateContent>
          <mc:Choice Requires="wps">
            <w:drawing>
              <wp:anchor distT="0" distB="0" distL="114300" distR="114300" simplePos="0" relativeHeight="251699200" behindDoc="0" locked="0" layoutInCell="1" allowOverlap="1" wp14:anchorId="310A9805" wp14:editId="7E76D6D2">
                <wp:simplePos x="0" y="0"/>
                <wp:positionH relativeFrom="column">
                  <wp:posOffset>-90170</wp:posOffset>
                </wp:positionH>
                <wp:positionV relativeFrom="paragraph">
                  <wp:posOffset>74650</wp:posOffset>
                </wp:positionV>
                <wp:extent cx="895782" cy="72453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782" cy="724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79DD" w:rsidRPr="00D17B56" w:rsidRDefault="00FD79DD" w:rsidP="0068406E">
                            <w:pPr>
                              <w:rPr>
                                <w:b/>
                                <w:color w:val="1F497D" w:themeColor="text2"/>
                                <w:lang w:val="ro-RO"/>
                              </w:rPr>
                            </w:pPr>
                            <w:r w:rsidRPr="00D17B56">
                              <w:rPr>
                                <w:b/>
                                <w:color w:val="1F497D" w:themeColor="text2"/>
                                <w:lang w:val="ro-RO"/>
                              </w:rPr>
                              <w:t xml:space="preserve">Servicii oferite cu </w:t>
                            </w:r>
                            <w:r>
                              <w:rPr>
                                <w:b/>
                                <w:color w:val="1F497D" w:themeColor="text2"/>
                                <w:lang w:val="ro-RO"/>
                              </w:rPr>
                              <w:t>amănuntul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3" o:spid="_x0000_s1029" type="#_x0000_t202" style="position:absolute;left:0;text-align:left;margin-left:-7.1pt;margin-top:5.9pt;width:70.55pt;height:5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" fillcolor="white [3201]" stroked="f" strokeweight=".5pt">
                <v:path arrowok="t"/>
                <v:textbox>
                  <w:txbxContent>
                    <w:p w:rsidR="00FD79DD" w:rsidRPr="00D17B56" w:rsidRDefault="00FD79DD" w:rsidP="0068406E">
                      <w:pPr>
                        <w:rPr>
                          <w:b/>
                          <w:color w:val="1F497D" w:themeColor="text2"/>
                          <w:lang w:val="ro-RO"/>
                        </w:rPr>
                      </w:pPr>
                      <w:r w:rsidRPr="00D17B56">
                        <w:rPr>
                          <w:b/>
                          <w:color w:val="1F497D" w:themeColor="text2"/>
                          <w:lang w:val="ro-RO"/>
                        </w:rPr>
                        <w:t xml:space="preserve">Servicii oferite cu </w:t>
                      </w:r>
                      <w:r>
                        <w:rPr>
                          <w:b/>
                          <w:color w:val="1F497D" w:themeColor="text2"/>
                          <w:lang w:val="ro-RO"/>
                        </w:rPr>
                        <w:t>amănuntul</w:t>
                      </w:r>
                    </w:p>
                  </w:txbxContent>
                </v:textbox>
              </v:shape>
            </w:pict>
          </mc:Fallback>
        </mc:AlternateContent>
      </w:r>
      <w:r w:rsidRPr="00446F65">
        <w:rPr>
          <w:rFonts w:ascii="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301C42C8" wp14:editId="473ABC50">
                <wp:simplePos x="0" y="0"/>
                <wp:positionH relativeFrom="column">
                  <wp:posOffset>3169920</wp:posOffset>
                </wp:positionH>
                <wp:positionV relativeFrom="paragraph">
                  <wp:posOffset>37465</wp:posOffset>
                </wp:positionV>
                <wp:extent cx="1258570" cy="697865"/>
                <wp:effectExtent l="0" t="0" r="0" b="698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8570" cy="697865"/>
                        </a:xfrm>
                        <a:prstGeom prst="rect">
                          <a:avLst/>
                        </a:prstGeom>
                        <a:noFill/>
                        <a:ln w="6350">
                          <a:noFill/>
                        </a:ln>
                        <a:effectLst>
                          <a:outerShdw blurRad="50800" dist="50800" dir="5400000" algn="ctr" rotWithShape="0">
                            <a:srgbClr val="000000">
                              <a:alpha val="0"/>
                            </a:srgbClr>
                          </a:outerShdw>
                        </a:effectLst>
                      </wps:spPr>
                      <wps:style>
                        <a:lnRef idx="0">
                          <a:schemeClr val="accent1"/>
                        </a:lnRef>
                        <a:fillRef idx="0">
                          <a:schemeClr val="accent1"/>
                        </a:fillRef>
                        <a:effectRef idx="0">
                          <a:schemeClr val="accent1"/>
                        </a:effectRef>
                        <a:fontRef idx="minor">
                          <a:schemeClr val="dk1"/>
                        </a:fontRef>
                      </wps:style>
                      <wps:txbx>
                        <w:txbxContent>
                          <w:p w:rsidR="00FD79DD" w:rsidRPr="00D17B56" w:rsidRDefault="00FD79DD" w:rsidP="0068406E">
                            <w:pPr>
                              <w:jc w:val="center"/>
                              <w:rPr>
                                <w:b/>
                                <w:sz w:val="28"/>
                                <w:szCs w:val="28"/>
                                <w:lang w:val="ro-RO"/>
                              </w:rPr>
                            </w:pPr>
                            <w:r w:rsidRPr="00D17B56">
                              <w:rPr>
                                <w:b/>
                                <w:sz w:val="28"/>
                                <w:szCs w:val="28"/>
                                <w:lang w:val="ro-RO"/>
                              </w:rPr>
                              <w:t>Servicii de telefonie fixă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0" type="#_x0000_t202" style="position:absolute;left:0;text-align:left;margin-left:249.6pt;margin-top:2.95pt;width:99.1pt;height:5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" filled="f" stroked="f" strokeweight=".5pt">
                <v:shadow on="t" color="black" opacity="0" offset="0,4pt"/>
                <v:path arrowok="t"/>
                <v:textbox>
                  <w:txbxContent>
                    <w:p w:rsidR="00FD79DD" w:rsidRPr="00D17B56" w:rsidRDefault="00FD79DD" w:rsidP="0068406E">
                      <w:pPr>
                        <w:jc w:val="center"/>
                        <w:rPr>
                          <w:b/>
                          <w:sz w:val="28"/>
                          <w:szCs w:val="28"/>
                          <w:lang w:val="ro-RO"/>
                        </w:rPr>
                      </w:pPr>
                      <w:r w:rsidRPr="00D17B56">
                        <w:rPr>
                          <w:b/>
                          <w:sz w:val="28"/>
                          <w:szCs w:val="28"/>
                          <w:lang w:val="ro-RO"/>
                        </w:rPr>
                        <w:t>Servicii de telefonie fixă</w:t>
                      </w:r>
                    </w:p>
                  </w:txbxContent>
                </v:textbox>
              </v:shape>
            </w:pict>
          </mc:Fallback>
        </mc:AlternateContent>
      </w:r>
    </w:p>
    <w:p w:rsidR="0068406E" w:rsidRPr="00446F65" w:rsidRDefault="0068406E" w:rsidP="00317915">
      <w:pPr>
        <w:tabs>
          <w:tab w:val="left" w:pos="1276"/>
          <w:tab w:val="left" w:pos="1418"/>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noProof/>
          <w:sz w:val="26"/>
          <w:szCs w:val="26"/>
        </w:rPr>
        <mc:AlternateContent>
          <mc:Choice Requires="wps">
            <w:drawing>
              <wp:anchor distT="0" distB="0" distL="114300" distR="114300" simplePos="0" relativeHeight="251697152" behindDoc="0" locked="0" layoutInCell="1" allowOverlap="1" wp14:anchorId="335711BE" wp14:editId="2E508735">
                <wp:simplePos x="0" y="0"/>
                <wp:positionH relativeFrom="column">
                  <wp:posOffset>805180</wp:posOffset>
                </wp:positionH>
                <wp:positionV relativeFrom="paragraph">
                  <wp:posOffset>74870</wp:posOffset>
                </wp:positionV>
                <wp:extent cx="1028700" cy="247650"/>
                <wp:effectExtent l="0" t="19050" r="38100" b="38100"/>
                <wp:wrapNone/>
                <wp:docPr id="45" name="Right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ight Arrow 45" o:spid="_x0000_s1026" type="#_x0000_t13" style="position:absolute;margin-left:63.4pt;margin-top:5.9pt;width:81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" adj="19000" fillcolor="#4f81bd [3204]" strokecolor="#243f60 [1604]" strokeweight="2pt">
                <v:path arrowok="t"/>
              </v:shape>
            </w:pict>
          </mc:Fallback>
        </mc:AlternateContent>
      </w:r>
    </w:p>
    <w:p w:rsidR="0068406E" w:rsidRPr="00446F65" w:rsidRDefault="0068406E" w:rsidP="00317915">
      <w:pPr>
        <w:autoSpaceDE w:val="0"/>
        <w:autoSpaceDN w:val="0"/>
        <w:adjustRightInd w:val="0"/>
        <w:spacing w:after="0" w:line="240" w:lineRule="auto"/>
        <w:ind w:firstLine="567"/>
        <w:jc w:val="center"/>
        <w:rPr>
          <w:rFonts w:ascii="Times New Roman" w:hAnsi="Times New Roman" w:cs="Times New Roman"/>
          <w:b/>
          <w:sz w:val="26"/>
          <w:szCs w:val="26"/>
          <w:lang w:val="ro-MO"/>
        </w:rPr>
      </w:pPr>
      <w:r w:rsidRPr="00446F65">
        <w:rPr>
          <w:rFonts w:ascii="Times New Roman" w:hAnsi="Times New Roman" w:cs="Times New Roman"/>
          <w:b/>
          <w:sz w:val="26"/>
          <w:szCs w:val="26"/>
          <w:lang w:val="ro-MO"/>
        </w:rPr>
        <w:lastRenderedPageBreak/>
        <w:t xml:space="preserve">Figura </w:t>
      </w:r>
      <w:r w:rsidR="00091D87" w:rsidRPr="00446F65">
        <w:rPr>
          <w:rFonts w:ascii="Times New Roman" w:hAnsi="Times New Roman" w:cs="Times New Roman"/>
          <w:b/>
          <w:sz w:val="26"/>
          <w:szCs w:val="26"/>
          <w:lang w:val="ro-MO"/>
        </w:rPr>
        <w:t>4</w:t>
      </w:r>
      <w:r w:rsidRPr="00446F65">
        <w:rPr>
          <w:rFonts w:ascii="Times New Roman" w:hAnsi="Times New Roman" w:cs="Times New Roman"/>
          <w:b/>
          <w:sz w:val="26"/>
          <w:szCs w:val="26"/>
          <w:lang w:val="ro-MO"/>
        </w:rPr>
        <w:t>. Participarea infrastructurii de buclă locală în furnizarea serviciilor de telefonie fixă</w:t>
      </w: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68406E" w:rsidRPr="00446F65" w:rsidRDefault="0068406E"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Odată cu dezvoltarea serviciilor de acces la Internet a fost posibilă reutilizarea infrastructurii de acces date, iniţial prin acelaşi spectru al buclei de 30KHz destinat serviciilor vocale (acces de tip Dial-Up), iar ulterior a fost posibilă utilizarea frecvenţelor mai înalte ale spectrului de frecvenţe, separat de serviciile de telefonie şi la viteze mai înalte (numite acces în bandă largă, iar tehnologiile date au căpătat denumirea xDSL).</w:t>
      </w:r>
    </w:p>
    <w:p w:rsidR="0068406E" w:rsidRPr="00446F65" w:rsidRDefault="0068406E"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figura de mai jos este prezentată relaţia structurală dintre infrastructura dată şi serviciile cu amănuntul oferite prin ea:</w:t>
      </w:r>
    </w:p>
    <w:p w:rsidR="0068406E" w:rsidRPr="00446F65" w:rsidRDefault="0068406E"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b/>
          <w:noProof/>
          <w:sz w:val="26"/>
          <w:szCs w:val="26"/>
        </w:rPr>
        <mc:AlternateContent>
          <mc:Choice Requires="wps">
            <w:drawing>
              <wp:anchor distT="0" distB="0" distL="114300" distR="114300" simplePos="0" relativeHeight="251700224" behindDoc="0" locked="0" layoutInCell="1" allowOverlap="1" wp14:anchorId="625FC648" wp14:editId="0F46A3AF">
                <wp:simplePos x="0" y="0"/>
                <wp:positionH relativeFrom="column">
                  <wp:posOffset>1876017</wp:posOffset>
                </wp:positionH>
                <wp:positionV relativeFrom="paragraph">
                  <wp:posOffset>171186</wp:posOffset>
                </wp:positionV>
                <wp:extent cx="2590800" cy="534837"/>
                <wp:effectExtent l="0" t="0" r="19050" b="1778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34837"/>
                        </a:xfrm>
                        <a:prstGeom prst="rect">
                          <a:avLst/>
                        </a:prstGeom>
                        <a:solidFill>
                          <a:schemeClr val="lt1"/>
                        </a:solidFill>
                        <a:ln w="254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D79DD" w:rsidRPr="00D17B56" w:rsidRDefault="00FD79DD" w:rsidP="0068406E">
                            <w:pPr>
                              <w:jc w:val="center"/>
                              <w:rPr>
                                <w:b/>
                                <w:sz w:val="26"/>
                                <w:szCs w:val="26"/>
                                <w:lang w:val="ro-RO"/>
                              </w:rPr>
                            </w:pPr>
                            <w:r w:rsidRPr="00D17B56">
                              <w:rPr>
                                <w:b/>
                                <w:sz w:val="26"/>
                                <w:szCs w:val="26"/>
                                <w:lang w:val="ro-RO"/>
                              </w:rPr>
                              <w:t>Infrastructura de acces la un punct fix (bucla locală de cupru)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6" o:spid="_x0000_s1031" type="#_x0000_t202" style="position:absolute;left:0;text-align:left;margin-left:147.7pt;margin-top:13.5pt;width:204pt;height:4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" fillcolor="white [3201]" strokecolor="#1f497d [3215]" strokeweight="2pt">
                <v:path arrowok="t"/>
                <v:textbox>
                  <w:txbxContent>
                    <w:p w:rsidR="00FD79DD" w:rsidRPr="00D17B56" w:rsidRDefault="00FD79DD" w:rsidP="0068406E">
                      <w:pPr>
                        <w:jc w:val="center"/>
                        <w:rPr>
                          <w:b/>
                          <w:sz w:val="26"/>
                          <w:szCs w:val="26"/>
                          <w:lang w:val="ro-RO"/>
                        </w:rPr>
                      </w:pPr>
                      <w:r w:rsidRPr="00D17B56">
                        <w:rPr>
                          <w:b/>
                          <w:sz w:val="26"/>
                          <w:szCs w:val="26"/>
                          <w:lang w:val="ro-RO"/>
                        </w:rPr>
                        <w:t>Infrastructura de acces la un punct fix (bucla locală de cupru)</w:t>
                      </w:r>
                    </w:p>
                  </w:txbxContent>
                </v:textbox>
              </v:shape>
            </w:pict>
          </mc:Fallback>
        </mc:AlternateContent>
      </w: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noProof/>
          <w:sz w:val="26"/>
          <w:szCs w:val="26"/>
        </w:rPr>
        <mc:AlternateContent>
          <mc:Choice Requires="wps">
            <w:drawing>
              <wp:anchor distT="0" distB="0" distL="114300" distR="114300" simplePos="0" relativeHeight="251703296" behindDoc="0" locked="0" layoutInCell="1" allowOverlap="1" wp14:anchorId="240216CA" wp14:editId="7F310F48">
                <wp:simplePos x="0" y="0"/>
                <wp:positionH relativeFrom="column">
                  <wp:posOffset>3135630</wp:posOffset>
                </wp:positionH>
                <wp:positionV relativeFrom="paragraph">
                  <wp:posOffset>92710</wp:posOffset>
                </wp:positionV>
                <wp:extent cx="1192530" cy="292100"/>
                <wp:effectExtent l="0" t="0" r="64770" b="889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2530" cy="29210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246.9pt;margin-top:7.3pt;width:93.9pt;height:2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" strokecolor="#4579b8 [3044]" strokeweight="2pt">
                <v:stroke endarrow="open"/>
                <o:lock v:ext="edit" shapetype="f"/>
              </v:shape>
            </w:pict>
          </mc:Fallback>
        </mc:AlternateContent>
      </w:r>
      <w:r w:rsidRPr="00446F65">
        <w:rPr>
          <w:rFonts w:ascii="Times New Roman" w:hAnsi="Times New Roman" w:cs="Times New Roman"/>
          <w:noProof/>
          <w:sz w:val="26"/>
          <w:szCs w:val="26"/>
        </w:rPr>
        <mc:AlternateContent>
          <mc:Choice Requires="wps">
            <w:drawing>
              <wp:anchor distT="0" distB="0" distL="114300" distR="114300" simplePos="0" relativeHeight="251704320" behindDoc="0" locked="0" layoutInCell="1" allowOverlap="1" wp14:anchorId="18243D70" wp14:editId="4155A3F7">
                <wp:simplePos x="0" y="0"/>
                <wp:positionH relativeFrom="column">
                  <wp:posOffset>1918970</wp:posOffset>
                </wp:positionH>
                <wp:positionV relativeFrom="paragraph">
                  <wp:posOffset>92710</wp:posOffset>
                </wp:positionV>
                <wp:extent cx="1163955" cy="292100"/>
                <wp:effectExtent l="38100" t="0" r="17145" b="889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63955" cy="29210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151.1pt;margin-top:7.3pt;width:91.65pt;height:23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" strokecolor="#4579b8 [3044]" strokeweight="2pt">
                <v:stroke endarrow="open"/>
                <o:lock v:ext="edit" shapetype="f"/>
              </v:shape>
            </w:pict>
          </mc:Fallback>
        </mc:AlternateContent>
      </w: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0D801001" wp14:editId="04F29E9B">
                <wp:simplePos x="0" y="0"/>
                <wp:positionH relativeFrom="column">
                  <wp:posOffset>3662129</wp:posOffset>
                </wp:positionH>
                <wp:positionV relativeFrom="paragraph">
                  <wp:posOffset>181957</wp:posOffset>
                </wp:positionV>
                <wp:extent cx="1630392" cy="853440"/>
                <wp:effectExtent l="0" t="0" r="27305" b="22860"/>
                <wp:wrapNone/>
                <wp:docPr id="49" name="Dodecagon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392" cy="853440"/>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decagon 49" o:spid="_x0000_s1026" style="position:absolute;margin-left:288.35pt;margin-top:14.35pt;width:128.4pt;height:6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0392,85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" path="m,312375l218442,114345,596754,r436884,l1411950,114345r218442,198030l1630392,541065,1411950,739095,1033638,853440r-436884,l218442,739095,,541065,,312375xe" fillcolor="#4f81bd [3204]" strokecolor="#243f60 [1604]" strokeweight="2pt">
                <v:path arrowok="t" o:connecttype="custom" o:connectlocs="0,312375;218442,114345;596754,0;1033638,0;1411950,114345;1630392,312375;1630392,541065;1411950,739095;1033638,853440;596754,853440;218442,739095;0,541065;0,312375" o:connectangles="0,0,0,0,0,0,0,0,0,0,0,0,0"/>
              </v:shape>
            </w:pict>
          </mc:Fallback>
        </mc:AlternateContent>
      </w:r>
      <w:r w:rsidRPr="00446F65">
        <w:rPr>
          <w:rFonts w:ascii="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6ABB422D" wp14:editId="2CE69616">
                <wp:simplePos x="0" y="0"/>
                <wp:positionH relativeFrom="column">
                  <wp:posOffset>1065579</wp:posOffset>
                </wp:positionH>
                <wp:positionV relativeFrom="paragraph">
                  <wp:posOffset>190584</wp:posOffset>
                </wp:positionV>
                <wp:extent cx="1621766" cy="845185"/>
                <wp:effectExtent l="0" t="0" r="17145" b="12065"/>
                <wp:wrapNone/>
                <wp:docPr id="50" name="Dodecagon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66" cy="845185"/>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decagon 50" o:spid="_x0000_s1026" style="position:absolute;margin-left:83.9pt;margin-top:15pt;width:127.7pt;height:6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1766,84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" path="m,309353l217287,113239,593596,r434574,l1404479,113239r217287,196114l1621766,535832,1404479,731946,1028170,845185r-434574,l217287,731946,,535832,,309353xe" fillcolor="#4f81bd [3204]" strokecolor="#243f60 [1604]" strokeweight="2pt">
                <v:path arrowok="t" o:connecttype="custom" o:connectlocs="0,309353;217287,113239;593596,0;1028170,0;1404479,113239;1621766,309353;1621766,535832;1404479,731946;1028170,845185;593596,845185;217287,731946;0,535832;0,309353" o:connectangles="0,0,0,0,0,0,0,0,0,0,0,0,0"/>
              </v:shape>
            </w:pict>
          </mc:Fallback>
        </mc:AlternateContent>
      </w: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noProof/>
          <w:sz w:val="26"/>
          <w:szCs w:val="26"/>
        </w:rPr>
        <mc:AlternateContent>
          <mc:Choice Requires="wps">
            <w:drawing>
              <wp:anchor distT="0" distB="0" distL="114300" distR="114300" simplePos="0" relativeHeight="251705344" behindDoc="0" locked="0" layoutInCell="1" allowOverlap="1" wp14:anchorId="25188663" wp14:editId="38E846E0">
                <wp:simplePos x="0" y="0"/>
                <wp:positionH relativeFrom="column">
                  <wp:posOffset>1254760</wp:posOffset>
                </wp:positionH>
                <wp:positionV relativeFrom="paragraph">
                  <wp:posOffset>29210</wp:posOffset>
                </wp:positionV>
                <wp:extent cx="1123950" cy="965835"/>
                <wp:effectExtent l="0" t="0" r="0" b="571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965835"/>
                        </a:xfrm>
                        <a:prstGeom prst="rect">
                          <a:avLst/>
                        </a:prstGeom>
                        <a:noFill/>
                        <a:ln w="6350">
                          <a:noFill/>
                        </a:ln>
                        <a:effectLst>
                          <a:outerShdw blurRad="50800" dist="50800" dir="5400000" algn="ctr" rotWithShape="0">
                            <a:srgbClr val="000000">
                              <a:alpha val="0"/>
                            </a:srgbClr>
                          </a:outerShdw>
                        </a:effectLst>
                      </wps:spPr>
                      <wps:style>
                        <a:lnRef idx="0">
                          <a:schemeClr val="accent1"/>
                        </a:lnRef>
                        <a:fillRef idx="0">
                          <a:schemeClr val="accent1"/>
                        </a:fillRef>
                        <a:effectRef idx="0">
                          <a:schemeClr val="accent1"/>
                        </a:effectRef>
                        <a:fontRef idx="minor">
                          <a:schemeClr val="dk1"/>
                        </a:fontRef>
                      </wps:style>
                      <wps:txbx>
                        <w:txbxContent>
                          <w:p w:rsidR="00FD79DD" w:rsidRPr="00D17B56" w:rsidRDefault="00FD79DD" w:rsidP="0068406E">
                            <w:pPr>
                              <w:spacing w:line="240" w:lineRule="auto"/>
                              <w:jc w:val="center"/>
                              <w:rPr>
                                <w:b/>
                                <w:sz w:val="28"/>
                                <w:szCs w:val="28"/>
                                <w:lang w:val="ro-RO"/>
                              </w:rPr>
                            </w:pPr>
                            <w:r w:rsidRPr="00D17B56">
                              <w:rPr>
                                <w:b/>
                                <w:sz w:val="28"/>
                                <w:szCs w:val="28"/>
                                <w:lang w:val="ro-RO"/>
                              </w:rPr>
                              <w:t>Servicii de telefonie fixă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2" type="#_x0000_t202" style="position:absolute;left:0;text-align:left;margin-left:98.8pt;margin-top:2.3pt;width:88.5pt;height:76.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" filled="f" stroked="f" strokeweight=".5pt">
                <v:shadow on="t" color="black" opacity="0" offset="0,4pt"/>
                <v:path arrowok="t"/>
                <v:textbox>
                  <w:txbxContent>
                    <w:p w:rsidR="00FD79DD" w:rsidRPr="00D17B56" w:rsidRDefault="00FD79DD" w:rsidP="0068406E">
                      <w:pPr>
                        <w:spacing w:line="240" w:lineRule="auto"/>
                        <w:jc w:val="center"/>
                        <w:rPr>
                          <w:b/>
                          <w:sz w:val="28"/>
                          <w:szCs w:val="28"/>
                          <w:lang w:val="ro-RO"/>
                        </w:rPr>
                      </w:pPr>
                      <w:r w:rsidRPr="00D17B56">
                        <w:rPr>
                          <w:b/>
                          <w:sz w:val="28"/>
                          <w:szCs w:val="28"/>
                          <w:lang w:val="ro-RO"/>
                        </w:rPr>
                        <w:t>Servicii de telefonie fixă</w:t>
                      </w:r>
                    </w:p>
                  </w:txbxContent>
                </v:textbox>
              </v:shape>
            </w:pict>
          </mc:Fallback>
        </mc:AlternateContent>
      </w:r>
      <w:r w:rsidRPr="00446F65">
        <w:rPr>
          <w:rFonts w:ascii="Times New Roman" w:hAnsi="Times New Roman" w:cs="Times New Roman"/>
          <w:noProof/>
          <w:sz w:val="26"/>
          <w:szCs w:val="26"/>
        </w:rPr>
        <mc:AlternateContent>
          <mc:Choice Requires="wps">
            <w:drawing>
              <wp:anchor distT="0" distB="0" distL="114300" distR="114300" simplePos="0" relativeHeight="251706368" behindDoc="0" locked="0" layoutInCell="1" allowOverlap="1" wp14:anchorId="41F3E115" wp14:editId="440EB713">
                <wp:simplePos x="0" y="0"/>
                <wp:positionH relativeFrom="column">
                  <wp:posOffset>3929548</wp:posOffset>
                </wp:positionH>
                <wp:positionV relativeFrom="paragraph">
                  <wp:posOffset>29246</wp:posOffset>
                </wp:positionV>
                <wp:extent cx="1123950" cy="965583"/>
                <wp:effectExtent l="0" t="0" r="0" b="63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965583"/>
                        </a:xfrm>
                        <a:prstGeom prst="rect">
                          <a:avLst/>
                        </a:prstGeom>
                        <a:noFill/>
                        <a:ln w="6350">
                          <a:noFill/>
                        </a:ln>
                        <a:effectLst>
                          <a:outerShdw blurRad="50800" dist="50800" dir="5400000" algn="ctr" rotWithShape="0">
                            <a:srgbClr val="000000">
                              <a:alpha val="0"/>
                            </a:srgbClr>
                          </a:outerShdw>
                        </a:effectLst>
                      </wps:spPr>
                      <wps:style>
                        <a:lnRef idx="0">
                          <a:schemeClr val="accent1"/>
                        </a:lnRef>
                        <a:fillRef idx="0">
                          <a:schemeClr val="accent1"/>
                        </a:fillRef>
                        <a:effectRef idx="0">
                          <a:schemeClr val="accent1"/>
                        </a:effectRef>
                        <a:fontRef idx="minor">
                          <a:schemeClr val="dk1"/>
                        </a:fontRef>
                      </wps:style>
                      <wps:txbx>
                        <w:txbxContent>
                          <w:p w:rsidR="00FD79DD" w:rsidRPr="00D17B56" w:rsidRDefault="00FD79DD" w:rsidP="0068406E">
                            <w:pPr>
                              <w:spacing w:line="240" w:lineRule="auto"/>
                              <w:jc w:val="center"/>
                              <w:rPr>
                                <w:b/>
                                <w:sz w:val="28"/>
                                <w:szCs w:val="28"/>
                                <w:lang w:val="ro-RO"/>
                              </w:rPr>
                            </w:pPr>
                            <w:r w:rsidRPr="00D17B56">
                              <w:rPr>
                                <w:b/>
                                <w:sz w:val="28"/>
                                <w:szCs w:val="28"/>
                                <w:lang w:val="ro-RO"/>
                              </w:rPr>
                              <w:t xml:space="preserve">Servicii de </w:t>
                            </w:r>
                            <w:r>
                              <w:rPr>
                                <w:b/>
                                <w:sz w:val="28"/>
                                <w:szCs w:val="28"/>
                                <w:lang w:val="ro-RO"/>
                              </w:rPr>
                              <w:t>acces în bandă largă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3" type="#_x0000_t202" style="position:absolute;left:0;text-align:left;margin-left:309.4pt;margin-top:2.3pt;width:88.5pt;height:76.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" filled="f" stroked="f" strokeweight=".5pt">
                <v:shadow on="t" color="black" opacity="0" offset="0,4pt"/>
                <v:path arrowok="t"/>
                <v:textbox>
                  <w:txbxContent>
                    <w:p w:rsidR="00FD79DD" w:rsidRPr="00D17B56" w:rsidRDefault="00FD79DD" w:rsidP="0068406E">
                      <w:pPr>
                        <w:spacing w:line="240" w:lineRule="auto"/>
                        <w:jc w:val="center"/>
                        <w:rPr>
                          <w:b/>
                          <w:sz w:val="28"/>
                          <w:szCs w:val="28"/>
                          <w:lang w:val="ro-RO"/>
                        </w:rPr>
                      </w:pPr>
                      <w:r w:rsidRPr="00D17B56">
                        <w:rPr>
                          <w:b/>
                          <w:sz w:val="28"/>
                          <w:szCs w:val="28"/>
                          <w:lang w:val="ro-RO"/>
                        </w:rPr>
                        <w:t xml:space="preserve">Servicii de </w:t>
                      </w:r>
                      <w:r>
                        <w:rPr>
                          <w:b/>
                          <w:sz w:val="28"/>
                          <w:szCs w:val="28"/>
                          <w:lang w:val="ro-RO"/>
                        </w:rPr>
                        <w:t>acces în bandă largă</w:t>
                      </w:r>
                    </w:p>
                  </w:txbxContent>
                </v:textbox>
              </v:shape>
            </w:pict>
          </mc:Fallback>
        </mc:AlternateContent>
      </w: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68406E" w:rsidRPr="00446F65" w:rsidRDefault="0068406E" w:rsidP="00317915">
      <w:pPr>
        <w:autoSpaceDE w:val="0"/>
        <w:autoSpaceDN w:val="0"/>
        <w:adjustRightInd w:val="0"/>
        <w:spacing w:after="0" w:line="240" w:lineRule="auto"/>
        <w:jc w:val="both"/>
        <w:rPr>
          <w:rFonts w:ascii="Times New Roman" w:hAnsi="Times New Roman" w:cs="Times New Roman"/>
          <w:sz w:val="26"/>
          <w:szCs w:val="26"/>
          <w:lang w:val="ro-MO"/>
        </w:rPr>
      </w:pPr>
    </w:p>
    <w:p w:rsidR="0068406E" w:rsidRPr="00446F65" w:rsidRDefault="0068406E" w:rsidP="00317915">
      <w:pPr>
        <w:autoSpaceDE w:val="0"/>
        <w:autoSpaceDN w:val="0"/>
        <w:adjustRightInd w:val="0"/>
        <w:spacing w:after="0" w:line="240" w:lineRule="auto"/>
        <w:ind w:firstLine="567"/>
        <w:jc w:val="both"/>
        <w:rPr>
          <w:rFonts w:ascii="Times New Roman" w:hAnsi="Times New Roman" w:cs="Times New Roman"/>
          <w:b/>
          <w:sz w:val="26"/>
          <w:szCs w:val="26"/>
          <w:lang w:val="ro-MO"/>
        </w:rPr>
      </w:pPr>
    </w:p>
    <w:p w:rsidR="0068406E" w:rsidRPr="00446F65" w:rsidRDefault="0068406E" w:rsidP="00317915">
      <w:pPr>
        <w:autoSpaceDE w:val="0"/>
        <w:autoSpaceDN w:val="0"/>
        <w:adjustRightInd w:val="0"/>
        <w:spacing w:after="0" w:line="240" w:lineRule="auto"/>
        <w:jc w:val="both"/>
        <w:rPr>
          <w:rFonts w:ascii="Times New Roman" w:hAnsi="Times New Roman" w:cs="Times New Roman"/>
          <w:b/>
          <w:sz w:val="26"/>
          <w:szCs w:val="26"/>
          <w:lang w:val="ro-MO"/>
        </w:rPr>
      </w:pPr>
    </w:p>
    <w:p w:rsidR="0068406E" w:rsidRPr="00446F65" w:rsidRDefault="0068406E" w:rsidP="00317915">
      <w:pPr>
        <w:autoSpaceDE w:val="0"/>
        <w:autoSpaceDN w:val="0"/>
        <w:adjustRightInd w:val="0"/>
        <w:spacing w:after="0" w:line="240" w:lineRule="auto"/>
        <w:jc w:val="center"/>
        <w:rPr>
          <w:rFonts w:ascii="Times New Roman" w:hAnsi="Times New Roman" w:cs="Times New Roman"/>
          <w:b/>
          <w:sz w:val="26"/>
          <w:szCs w:val="26"/>
          <w:lang w:val="ro-MO"/>
        </w:rPr>
      </w:pPr>
      <w:r w:rsidRPr="00446F65">
        <w:rPr>
          <w:rFonts w:ascii="Times New Roman" w:hAnsi="Times New Roman" w:cs="Times New Roman"/>
          <w:b/>
          <w:sz w:val="26"/>
          <w:szCs w:val="26"/>
          <w:lang w:val="ro-MO"/>
        </w:rPr>
        <w:t xml:space="preserve">Figura </w:t>
      </w:r>
      <w:r w:rsidR="00091D87" w:rsidRPr="00446F65">
        <w:rPr>
          <w:rFonts w:ascii="Times New Roman" w:hAnsi="Times New Roman" w:cs="Times New Roman"/>
          <w:b/>
          <w:sz w:val="26"/>
          <w:szCs w:val="26"/>
          <w:lang w:val="ro-MO"/>
        </w:rPr>
        <w:t>5</w:t>
      </w:r>
      <w:r w:rsidRPr="00446F65">
        <w:rPr>
          <w:rFonts w:ascii="Times New Roman" w:hAnsi="Times New Roman" w:cs="Times New Roman"/>
          <w:b/>
          <w:sz w:val="26"/>
          <w:szCs w:val="26"/>
          <w:lang w:val="ro-MO"/>
        </w:rPr>
        <w:t>. Serviciile cu amănuntul prestate prin intermediul infrastructurii de buclă locală de cupru</w:t>
      </w:r>
    </w:p>
    <w:p w:rsidR="0068406E" w:rsidRPr="00446F65" w:rsidRDefault="0068406E" w:rsidP="00317915">
      <w:pPr>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Modalităţile pentru accesarea buclei locale de cupru sunt ilustrate în Figura </w:t>
      </w:r>
      <w:r w:rsidR="00091D87" w:rsidRPr="00446F65">
        <w:rPr>
          <w:rFonts w:ascii="Times New Roman" w:hAnsi="Times New Roman" w:cs="Times New Roman"/>
          <w:sz w:val="26"/>
          <w:szCs w:val="26"/>
          <w:lang w:val="ro-MO"/>
        </w:rPr>
        <w:t>6</w:t>
      </w:r>
      <w:r w:rsidRPr="00446F65">
        <w:rPr>
          <w:rFonts w:ascii="Times New Roman" w:hAnsi="Times New Roman" w:cs="Times New Roman"/>
          <w:sz w:val="26"/>
          <w:szCs w:val="26"/>
          <w:lang w:val="ro-MO"/>
        </w:rPr>
        <w:t>.</w:t>
      </w:r>
    </w:p>
    <w:p w:rsidR="0068406E" w:rsidRPr="00446F65" w:rsidRDefault="0068406E" w:rsidP="00317915">
      <w:pPr>
        <w:spacing w:line="240" w:lineRule="auto"/>
        <w:ind w:right="1134" w:firstLine="567"/>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Accesul total la bucla locală</w:t>
      </w:r>
      <w:r w:rsidRPr="00446F65">
        <w:rPr>
          <w:rFonts w:ascii="Times New Roman" w:hAnsi="Times New Roman" w:cs="Times New Roman"/>
          <w:sz w:val="26"/>
          <w:szCs w:val="26"/>
          <w:lang w:val="ro-MO"/>
        </w:rPr>
        <w:t>: tot volumul de trafic este direcționat spre repartitorul principal și transmis spre punctul de prezență (PP) al furnizorului de serviciu</w:t>
      </w:r>
    </w:p>
    <w:p w:rsidR="0068406E" w:rsidRPr="00446F65" w:rsidRDefault="0068406E" w:rsidP="00317915">
      <w:pPr>
        <w:spacing w:line="240" w:lineRule="auto"/>
        <w:ind w:left="-567" w:firstLine="567"/>
        <w:jc w:val="center"/>
        <w:rPr>
          <w:rFonts w:ascii="Times New Roman" w:hAnsi="Times New Roman" w:cs="Times New Roman"/>
          <w:sz w:val="26"/>
          <w:szCs w:val="26"/>
          <w:lang w:val="ro-MO"/>
        </w:rPr>
      </w:pPr>
      <w:r w:rsidRPr="00446F65">
        <w:rPr>
          <w:rFonts w:ascii="Times New Roman" w:hAnsi="Times New Roman" w:cs="Times New Roman"/>
          <w:noProof/>
          <w:sz w:val="26"/>
          <w:szCs w:val="26"/>
        </w:rPr>
        <w:drawing>
          <wp:inline distT="0" distB="0" distL="0" distR="0" wp14:anchorId="03922295" wp14:editId="184556F8">
            <wp:extent cx="5657850" cy="3251088"/>
            <wp:effectExtent l="0" t="0" r="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4 sk.png"/>
                    <pic:cNvPicPr/>
                  </pic:nvPicPr>
                  <pic:blipFill>
                    <a:blip r:embed="rId21">
                      <a:extLst>
                        <a:ext uri="{28A0092B-C50C-407E-A947-70E740481C1C}">
                          <a14:useLocalDpi xmlns:a14="http://schemas.microsoft.com/office/drawing/2010/main" val="0"/>
                        </a:ext>
                      </a:extLst>
                    </a:blip>
                    <a:stretch>
                      <a:fillRect/>
                    </a:stretch>
                  </pic:blipFill>
                  <pic:spPr>
                    <a:xfrm>
                      <a:off x="0" y="0"/>
                      <a:ext cx="5701173" cy="3275982"/>
                    </a:xfrm>
                    <a:prstGeom prst="rect">
                      <a:avLst/>
                    </a:prstGeom>
                  </pic:spPr>
                </pic:pic>
              </a:graphicData>
            </a:graphic>
          </wp:inline>
        </w:drawing>
      </w:r>
    </w:p>
    <w:p w:rsidR="0068406E" w:rsidRPr="00446F65" w:rsidRDefault="0068406E" w:rsidP="00317915">
      <w:pPr>
        <w:spacing w:line="240" w:lineRule="auto"/>
        <w:ind w:firstLine="567"/>
        <w:jc w:val="center"/>
        <w:rPr>
          <w:rFonts w:ascii="Times New Roman" w:hAnsi="Times New Roman" w:cs="Times New Roman"/>
          <w:b/>
          <w:sz w:val="26"/>
          <w:szCs w:val="26"/>
          <w:lang w:val="ro-MO"/>
        </w:rPr>
      </w:pPr>
      <w:r w:rsidRPr="00446F65">
        <w:rPr>
          <w:rFonts w:ascii="Times New Roman" w:hAnsi="Times New Roman" w:cs="Times New Roman"/>
          <w:b/>
          <w:sz w:val="26"/>
          <w:szCs w:val="26"/>
          <w:lang w:val="ro-MO"/>
        </w:rPr>
        <w:t xml:space="preserve">Figura </w:t>
      </w:r>
      <w:r w:rsidR="00091D87" w:rsidRPr="00446F65">
        <w:rPr>
          <w:rFonts w:ascii="Times New Roman" w:hAnsi="Times New Roman" w:cs="Times New Roman"/>
          <w:b/>
          <w:sz w:val="26"/>
          <w:szCs w:val="26"/>
          <w:lang w:val="ro-MO"/>
        </w:rPr>
        <w:t>6</w:t>
      </w:r>
      <w:r w:rsidRPr="00446F65">
        <w:rPr>
          <w:rFonts w:ascii="Times New Roman" w:hAnsi="Times New Roman" w:cs="Times New Roman"/>
          <w:b/>
          <w:sz w:val="26"/>
          <w:szCs w:val="26"/>
          <w:lang w:val="ro-MO"/>
        </w:rPr>
        <w:t>. Bucla locală de cupru</w:t>
      </w:r>
    </w:p>
    <w:p w:rsidR="0068406E" w:rsidRPr="00446F65" w:rsidRDefault="0068406E"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u w:val="single"/>
          <w:lang w:val="ro-MO"/>
        </w:rPr>
        <w:lastRenderedPageBreak/>
        <w:t>Acces total la bucla locală</w:t>
      </w:r>
      <w:r w:rsidRPr="00446F65">
        <w:rPr>
          <w:rFonts w:ascii="Times New Roman" w:hAnsi="Times New Roman" w:cs="Times New Roman"/>
          <w:sz w:val="26"/>
          <w:szCs w:val="26"/>
          <w:lang w:val="ro-MO"/>
        </w:rPr>
        <w:t>. În acest scenariu accesul este furnizat la întreaga buclă locală, astfel încât furnizorul alternativ poate să utilizeze întreg spectrul buclei locale destinat atât pentru acces la date în bandă largă, cât şi pentru servicii de telefonie PSTN/ISDN.</w:t>
      </w:r>
    </w:p>
    <w:p w:rsidR="0068406E" w:rsidRPr="00446F65" w:rsidRDefault="0068406E"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u w:val="single"/>
          <w:lang w:val="ro-MO"/>
        </w:rPr>
        <w:t>Acces partajat (utilizarea comună a liniei) la bucla locală.</w:t>
      </w:r>
      <w:r w:rsidRPr="00446F65">
        <w:rPr>
          <w:rFonts w:ascii="Times New Roman" w:hAnsi="Times New Roman" w:cs="Times New Roman"/>
          <w:sz w:val="26"/>
          <w:szCs w:val="26"/>
          <w:lang w:val="ro-MO"/>
        </w:rPr>
        <w:t xml:space="preserve"> În </w:t>
      </w:r>
      <w:r w:rsidR="00091D87" w:rsidRPr="00446F65">
        <w:rPr>
          <w:rFonts w:ascii="Times New Roman" w:hAnsi="Times New Roman" w:cs="Times New Roman"/>
          <w:sz w:val="26"/>
          <w:szCs w:val="26"/>
          <w:lang w:val="ro-MO"/>
        </w:rPr>
        <w:t>acest caz</w:t>
      </w:r>
      <w:r w:rsidRPr="00446F65">
        <w:rPr>
          <w:rFonts w:ascii="Times New Roman" w:hAnsi="Times New Roman" w:cs="Times New Roman"/>
          <w:sz w:val="26"/>
          <w:szCs w:val="26"/>
          <w:lang w:val="ro-MO"/>
        </w:rPr>
        <w:t xml:space="preserve"> unui furnizor alternativ îi este oferit acces la bucla locală pentru furnizarea serviciilor de date în bandă largă, dar proprietarul buclei continuă să ofere servicii de telefonie prin aceeaşi buclă, folosind o altă parte a spectrului de frecvenţe.</w:t>
      </w:r>
    </w:p>
    <w:p w:rsidR="0068406E" w:rsidRPr="00446F65" w:rsidRDefault="0068406E"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u w:val="single"/>
          <w:lang w:val="ro-MO"/>
        </w:rPr>
        <w:t>Acces la subbucla locală.</w:t>
      </w:r>
      <w:r w:rsidRPr="00446F65">
        <w:rPr>
          <w:rFonts w:ascii="Times New Roman" w:hAnsi="Times New Roman" w:cs="Times New Roman"/>
          <w:sz w:val="26"/>
          <w:szCs w:val="26"/>
          <w:lang w:val="ro-MO"/>
        </w:rPr>
        <w:t xml:space="preserve"> În această situaţie, o porțiune a liniilor de acces de cupru a fost înlocuită cu fibră optică (între MDF şi un anumit punct de concentrare a fibrei optice). Furnizorul alternativ poate avea acces la reţeaua de cupru între punctul de concentrare (repartitor stradal) şi client, însă va trebui să-şi asigure suplimentar capacităţi de transmisie până la punctul de concentrare. Accesul la subbucla locală poate fi atât total, cât şi partajat.</w:t>
      </w:r>
    </w:p>
    <w:p w:rsidR="0068406E" w:rsidRPr="00446F65" w:rsidRDefault="0068406E"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Cu toate că infrastructura de acces bazată pe cupru este în continuare cel mai des folosită la furnizarea serviciilor de telefonie fixă, o importantă parte a acestei infrastructuri este reutilizată în vederea furnizării serviciilor de acces în bandă largă. ANRCETI consideră că în viitor reţelele şi serviciile vor migra spre conceptul </w:t>
      </w:r>
      <w:proofErr w:type="spellStart"/>
      <w:r w:rsidRPr="00446F65">
        <w:rPr>
          <w:rFonts w:ascii="Times New Roman" w:hAnsi="Times New Roman" w:cs="Times New Roman"/>
          <w:i/>
          <w:sz w:val="26"/>
          <w:szCs w:val="26"/>
          <w:lang w:val="ro-MO"/>
        </w:rPr>
        <w:t>all-IP</w:t>
      </w:r>
      <w:proofErr w:type="spellEnd"/>
      <w:r w:rsidRPr="00446F65">
        <w:rPr>
          <w:rFonts w:ascii="Times New Roman" w:hAnsi="Times New Roman" w:cs="Times New Roman"/>
          <w:sz w:val="26"/>
          <w:szCs w:val="26"/>
          <w:lang w:val="ro-MO"/>
        </w:rPr>
        <w:t>, în cadrul cărui accesul de bandă largă va deveni un serviciu de bază pentru aducerea către utilizator a celorlalte servicii suprapuse – acces la Internet în bandă largă, telefonie, video, M2M (</w:t>
      </w:r>
      <w:proofErr w:type="spellStart"/>
      <w:r w:rsidRPr="00446F65">
        <w:rPr>
          <w:rFonts w:ascii="Times New Roman" w:hAnsi="Times New Roman" w:cs="Times New Roman"/>
          <w:sz w:val="26"/>
          <w:szCs w:val="26"/>
          <w:lang w:val="ro-MO"/>
        </w:rPr>
        <w:t>machine-to-machine</w:t>
      </w:r>
      <w:proofErr w:type="spellEnd"/>
      <w:r w:rsidRPr="00446F65">
        <w:rPr>
          <w:rFonts w:ascii="Times New Roman" w:hAnsi="Times New Roman" w:cs="Times New Roman"/>
          <w:sz w:val="26"/>
          <w:szCs w:val="26"/>
          <w:lang w:val="ro-MO"/>
        </w:rPr>
        <w:t xml:space="preserve">), </w:t>
      </w:r>
      <w:proofErr w:type="spellStart"/>
      <w:r w:rsidRPr="00446F65">
        <w:rPr>
          <w:rFonts w:ascii="Times New Roman" w:hAnsi="Times New Roman" w:cs="Times New Roman"/>
          <w:sz w:val="26"/>
          <w:szCs w:val="26"/>
          <w:lang w:val="ro-MO"/>
        </w:rPr>
        <w:t>etc</w:t>
      </w:r>
      <w:proofErr w:type="spellEnd"/>
      <w:r w:rsidRPr="00446F65">
        <w:rPr>
          <w:rFonts w:ascii="Times New Roman" w:hAnsi="Times New Roman" w:cs="Times New Roman"/>
          <w:sz w:val="26"/>
          <w:szCs w:val="26"/>
          <w:lang w:val="ro-MO"/>
        </w:rPr>
        <w:t xml:space="preserve">, precum şi pentru servicii furnizate OTT (over-the-top, servicii furnizate prin intermediul accesului la Internet). </w:t>
      </w:r>
    </w:p>
    <w:p w:rsidR="00B53832" w:rsidRPr="00446F65" w:rsidRDefault="00B53832"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Buclele locale de fibră optică presupun extinderea reţelei de acces de fibră optică până la punctul de prezenţă al utilizatorului final (FTTH), până la clădire (FTTB) sau până la cabinetele stradale (FTTC/FTTN).</w:t>
      </w:r>
    </w:p>
    <w:p w:rsidR="00B53832" w:rsidRPr="00446F65" w:rsidRDefault="00B53832"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B53832" w:rsidRPr="00446F65" w:rsidRDefault="00B53832" w:rsidP="00317915">
      <w:pPr>
        <w:autoSpaceDE w:val="0"/>
        <w:autoSpaceDN w:val="0"/>
        <w:adjustRightInd w:val="0"/>
        <w:spacing w:after="0" w:line="240" w:lineRule="auto"/>
        <w:ind w:firstLine="567"/>
        <w:jc w:val="center"/>
        <w:rPr>
          <w:rFonts w:ascii="Times New Roman" w:hAnsi="Times New Roman" w:cs="Times New Roman"/>
          <w:sz w:val="26"/>
          <w:szCs w:val="26"/>
          <w:lang w:val="ro-MO"/>
        </w:rPr>
      </w:pPr>
      <w:r w:rsidRPr="00446F65">
        <w:rPr>
          <w:rFonts w:ascii="Times New Roman" w:hAnsi="Times New Roman" w:cs="Times New Roman"/>
          <w:noProof/>
          <w:sz w:val="26"/>
          <w:szCs w:val="26"/>
        </w:rPr>
        <w:drawing>
          <wp:inline distT="0" distB="0" distL="0" distR="0" wp14:anchorId="37261B58" wp14:editId="4BF3E219">
            <wp:extent cx="2605177" cy="3209027"/>
            <wp:effectExtent l="0" t="0" r="5080" b="0"/>
            <wp:docPr id="56" name="Picture 56" descr="D:\doc's\Google Drive\Diagrama FTT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Google Drive\Diagrama FTTx.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6529" cy="3210692"/>
                    </a:xfrm>
                    <a:prstGeom prst="rect">
                      <a:avLst/>
                    </a:prstGeom>
                    <a:noFill/>
                    <a:ln>
                      <a:noFill/>
                    </a:ln>
                  </pic:spPr>
                </pic:pic>
              </a:graphicData>
            </a:graphic>
          </wp:inline>
        </w:drawing>
      </w:r>
    </w:p>
    <w:p w:rsidR="006B40C2" w:rsidRPr="00446F65" w:rsidRDefault="006B40C2" w:rsidP="00317915">
      <w:pPr>
        <w:autoSpaceDE w:val="0"/>
        <w:autoSpaceDN w:val="0"/>
        <w:adjustRightInd w:val="0"/>
        <w:spacing w:after="0" w:line="240" w:lineRule="auto"/>
        <w:ind w:firstLine="567"/>
        <w:jc w:val="center"/>
        <w:rPr>
          <w:rFonts w:ascii="Times New Roman" w:hAnsi="Times New Roman" w:cs="Times New Roman"/>
          <w:sz w:val="26"/>
          <w:szCs w:val="26"/>
          <w:lang w:val="ro-MO"/>
        </w:rPr>
      </w:pPr>
    </w:p>
    <w:p w:rsidR="00B53832" w:rsidRPr="00446F65" w:rsidRDefault="00B53832" w:rsidP="00317915">
      <w:pPr>
        <w:autoSpaceDE w:val="0"/>
        <w:autoSpaceDN w:val="0"/>
        <w:adjustRightInd w:val="0"/>
        <w:spacing w:after="0" w:line="240" w:lineRule="auto"/>
        <w:ind w:firstLine="567"/>
        <w:jc w:val="center"/>
        <w:rPr>
          <w:rFonts w:ascii="Times New Roman" w:hAnsi="Times New Roman" w:cs="Times New Roman"/>
          <w:b/>
          <w:sz w:val="26"/>
          <w:szCs w:val="26"/>
          <w:lang w:val="ro-MO"/>
        </w:rPr>
      </w:pPr>
      <w:r w:rsidRPr="00446F65">
        <w:rPr>
          <w:rFonts w:ascii="Times New Roman" w:hAnsi="Times New Roman" w:cs="Times New Roman"/>
          <w:b/>
          <w:sz w:val="26"/>
          <w:szCs w:val="26"/>
          <w:lang w:val="ro-MO"/>
        </w:rPr>
        <w:t xml:space="preserve">Figura </w:t>
      </w:r>
      <w:r w:rsidR="00091D87" w:rsidRPr="00446F65">
        <w:rPr>
          <w:rFonts w:ascii="Times New Roman" w:hAnsi="Times New Roman" w:cs="Times New Roman"/>
          <w:b/>
          <w:sz w:val="26"/>
          <w:szCs w:val="26"/>
          <w:lang w:val="ro-MO"/>
        </w:rPr>
        <w:t>7</w:t>
      </w:r>
      <w:r w:rsidRPr="00446F65">
        <w:rPr>
          <w:rFonts w:ascii="Times New Roman" w:hAnsi="Times New Roman" w:cs="Times New Roman"/>
          <w:b/>
          <w:sz w:val="26"/>
          <w:szCs w:val="26"/>
          <w:lang w:val="ro-MO"/>
        </w:rPr>
        <w:t>. Modalităţile de organizare a reţelelor de acces optice</w:t>
      </w:r>
    </w:p>
    <w:p w:rsidR="00B53832" w:rsidRPr="00446F65" w:rsidRDefault="00B53832" w:rsidP="00317915">
      <w:pPr>
        <w:autoSpaceDE w:val="0"/>
        <w:autoSpaceDN w:val="0"/>
        <w:adjustRightInd w:val="0"/>
        <w:spacing w:after="0" w:line="240" w:lineRule="auto"/>
        <w:ind w:firstLine="567"/>
        <w:jc w:val="center"/>
        <w:rPr>
          <w:rFonts w:ascii="Times New Roman" w:hAnsi="Times New Roman" w:cs="Times New Roman"/>
          <w:sz w:val="26"/>
          <w:szCs w:val="26"/>
          <w:lang w:val="ro-MO"/>
        </w:rPr>
      </w:pPr>
    </w:p>
    <w:p w:rsidR="00B53832" w:rsidRPr="00446F65" w:rsidRDefault="00B53832"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cazul FTTH, cablurile metalice (sau conexiuni fără fir) sunt utilizate pe segmentul de la echipamentul terminal optic până la echipamentele din interiorul menajului. Conexiunile optice între repartitorul optic principal şi echipamentul optic terminal pot fi active (denumite şi </w:t>
      </w:r>
      <w:proofErr w:type="spellStart"/>
      <w:r w:rsidRPr="00446F65">
        <w:rPr>
          <w:rFonts w:ascii="Times New Roman" w:hAnsi="Times New Roman" w:cs="Times New Roman"/>
          <w:sz w:val="26"/>
          <w:szCs w:val="26"/>
          <w:lang w:val="ro-MO"/>
        </w:rPr>
        <w:t>point-to-</w:t>
      </w:r>
      <w:r w:rsidRPr="00446F65">
        <w:rPr>
          <w:rFonts w:ascii="Times New Roman" w:hAnsi="Times New Roman" w:cs="Times New Roman"/>
          <w:sz w:val="26"/>
          <w:szCs w:val="26"/>
          <w:lang w:val="ro-MO"/>
        </w:rPr>
        <w:lastRenderedPageBreak/>
        <w:t>point</w:t>
      </w:r>
      <w:proofErr w:type="spellEnd"/>
      <w:r w:rsidRPr="00446F65">
        <w:rPr>
          <w:rFonts w:ascii="Times New Roman" w:hAnsi="Times New Roman" w:cs="Times New Roman"/>
          <w:sz w:val="26"/>
          <w:szCs w:val="26"/>
          <w:lang w:val="ro-MO"/>
        </w:rPr>
        <w:t xml:space="preserve"> FTTH, bazate pe fibre dedicate fiecărui abonat, cu conexiuni Ethernet active) sau pasive (denumite şi </w:t>
      </w:r>
      <w:proofErr w:type="spellStart"/>
      <w:r w:rsidRPr="00446F65">
        <w:rPr>
          <w:rFonts w:ascii="Times New Roman" w:hAnsi="Times New Roman" w:cs="Times New Roman"/>
          <w:sz w:val="26"/>
          <w:szCs w:val="26"/>
          <w:lang w:val="ro-MO"/>
        </w:rPr>
        <w:t>point-to-multipoint</w:t>
      </w:r>
      <w:proofErr w:type="spellEnd"/>
      <w:r w:rsidRPr="00446F65">
        <w:rPr>
          <w:rFonts w:ascii="Times New Roman" w:hAnsi="Times New Roman" w:cs="Times New Roman"/>
          <w:sz w:val="26"/>
          <w:szCs w:val="26"/>
          <w:lang w:val="ro-MO"/>
        </w:rPr>
        <w:t xml:space="preserve"> FTTH, în care mai mulţi abonaţi sunt conectaţi prin intermediul unei fibre ale cablului, prin utilizare de tehnologii de acces optic pasive – GEPON, GPON).</w:t>
      </w:r>
    </w:p>
    <w:p w:rsidR="00B53832" w:rsidRPr="00446F65" w:rsidRDefault="00B53832"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cazul FTTB, cablurile de cupru sunt utilizate pe porţiunea de racordare a domiciliului abonatului (sediului întreprinderii) la echipamentul de acces optic comun întregii clădiri. </w:t>
      </w:r>
    </w:p>
    <w:p w:rsidR="00B53832" w:rsidRPr="00446F65" w:rsidRDefault="00B53832"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cazul FTTC şi FTTN, cablurile de cupru sunt utilizate pe porţiunea ce leagă domiciliul abonatului (sediului întreprinderii) cu un nod stradal de distribuţie (dulap sau cutie de distribuţie). Se deosebeşte de FTTB, de regulă, prin lungimea cablului de cupru de racordare a abonatului la reţeaua de acces şi, din această cauză, tehnologiile de acces pot fi diferite. În cazul FTTB cea mai potrivită tehnologie este </w:t>
      </w:r>
      <w:proofErr w:type="spellStart"/>
      <w:r w:rsidRPr="00EA6AE2">
        <w:rPr>
          <w:rFonts w:ascii="Times New Roman" w:hAnsi="Times New Roman" w:cs="Times New Roman"/>
          <w:i/>
          <w:sz w:val="26"/>
          <w:szCs w:val="26"/>
          <w:lang w:val="ro-MO"/>
        </w:rPr>
        <w:t>Optical</w:t>
      </w:r>
      <w:proofErr w:type="spellEnd"/>
      <w:r w:rsidRPr="00EA6AE2">
        <w:rPr>
          <w:rFonts w:ascii="Times New Roman" w:hAnsi="Times New Roman" w:cs="Times New Roman"/>
          <w:i/>
          <w:sz w:val="26"/>
          <w:szCs w:val="26"/>
          <w:lang w:val="ro-MO"/>
        </w:rPr>
        <w:t xml:space="preserve"> </w:t>
      </w:r>
      <w:proofErr w:type="spellStart"/>
      <w:r w:rsidRPr="00EA6AE2">
        <w:rPr>
          <w:rFonts w:ascii="Times New Roman" w:hAnsi="Times New Roman" w:cs="Times New Roman"/>
          <w:i/>
          <w:sz w:val="26"/>
          <w:szCs w:val="26"/>
          <w:lang w:val="ro-MO"/>
        </w:rPr>
        <w:t>Ethernet</w:t>
      </w:r>
      <w:proofErr w:type="spellEnd"/>
      <w:r w:rsidRPr="00446F65">
        <w:rPr>
          <w:rFonts w:ascii="Times New Roman" w:hAnsi="Times New Roman" w:cs="Times New Roman"/>
          <w:sz w:val="26"/>
          <w:szCs w:val="26"/>
          <w:lang w:val="ro-MO"/>
        </w:rPr>
        <w:t xml:space="preserve"> până la clădire + LAN (</w:t>
      </w:r>
      <w:r w:rsidRPr="00EA6AE2">
        <w:rPr>
          <w:rFonts w:ascii="Times New Roman" w:hAnsi="Times New Roman" w:cs="Times New Roman"/>
          <w:i/>
          <w:sz w:val="26"/>
          <w:szCs w:val="26"/>
          <w:lang w:val="ro-MO"/>
        </w:rPr>
        <w:t xml:space="preserve">local </w:t>
      </w:r>
      <w:proofErr w:type="spellStart"/>
      <w:r w:rsidRPr="00EA6AE2">
        <w:rPr>
          <w:rFonts w:ascii="Times New Roman" w:hAnsi="Times New Roman" w:cs="Times New Roman"/>
          <w:i/>
          <w:sz w:val="26"/>
          <w:szCs w:val="26"/>
          <w:lang w:val="ro-MO"/>
        </w:rPr>
        <w:t>access</w:t>
      </w:r>
      <w:proofErr w:type="spellEnd"/>
      <w:r w:rsidRPr="00EA6AE2">
        <w:rPr>
          <w:rFonts w:ascii="Times New Roman" w:hAnsi="Times New Roman" w:cs="Times New Roman"/>
          <w:i/>
          <w:sz w:val="26"/>
          <w:szCs w:val="26"/>
          <w:lang w:val="ro-MO"/>
        </w:rPr>
        <w:t xml:space="preserve"> </w:t>
      </w:r>
      <w:proofErr w:type="spellStart"/>
      <w:r w:rsidRPr="00EA6AE2">
        <w:rPr>
          <w:rFonts w:ascii="Times New Roman" w:hAnsi="Times New Roman" w:cs="Times New Roman"/>
          <w:i/>
          <w:sz w:val="26"/>
          <w:szCs w:val="26"/>
          <w:lang w:val="ro-MO"/>
        </w:rPr>
        <w:t>network</w:t>
      </w:r>
      <w:proofErr w:type="spellEnd"/>
      <w:r w:rsidRPr="00446F65">
        <w:rPr>
          <w:rFonts w:ascii="Times New Roman" w:hAnsi="Times New Roman" w:cs="Times New Roman"/>
          <w:sz w:val="26"/>
          <w:szCs w:val="26"/>
          <w:lang w:val="ro-MO"/>
        </w:rPr>
        <w:t>) pe segmentul de racordare a abonaţilor. Pentru aceasta nu sunt potrivite cablurile reţelei tradiţionale de telefonie (PSTN/ISDN), de aceea acestea necesită dublate sau înlocuite cu cabluri de cupru de categoria Cat5 şi mai sus. În cazul configuraţiei FTTC sau FTTN, poate fi reutilizată infrastructura de buclă locală a reţe</w:t>
      </w:r>
      <w:r w:rsidR="00653F5F">
        <w:rPr>
          <w:rFonts w:ascii="Times New Roman" w:hAnsi="Times New Roman" w:cs="Times New Roman"/>
          <w:sz w:val="26"/>
          <w:szCs w:val="26"/>
          <w:lang w:val="ro-MO"/>
        </w:rPr>
        <w:t xml:space="preserve">lei de telefonie tradiţională, </w:t>
      </w:r>
      <w:r w:rsidRPr="00446F65">
        <w:rPr>
          <w:rFonts w:ascii="Times New Roman" w:hAnsi="Times New Roman" w:cs="Times New Roman"/>
          <w:sz w:val="26"/>
          <w:szCs w:val="26"/>
          <w:lang w:val="ro-MO"/>
        </w:rPr>
        <w:t xml:space="preserve">pentru accesul abonaţilor fiind utilizate tehnologii VDSL, </w:t>
      </w:r>
      <w:proofErr w:type="spellStart"/>
      <w:r w:rsidRPr="00446F65">
        <w:rPr>
          <w:rFonts w:ascii="Times New Roman" w:hAnsi="Times New Roman" w:cs="Times New Roman"/>
          <w:sz w:val="26"/>
          <w:szCs w:val="26"/>
          <w:lang w:val="ro-MO"/>
        </w:rPr>
        <w:t>G.Fast</w:t>
      </w:r>
      <w:proofErr w:type="spellEnd"/>
      <w:r w:rsidRPr="00446F65">
        <w:rPr>
          <w:rFonts w:ascii="Times New Roman" w:hAnsi="Times New Roman" w:cs="Times New Roman"/>
          <w:sz w:val="26"/>
          <w:szCs w:val="26"/>
          <w:lang w:val="ro-MO"/>
        </w:rPr>
        <w:t>.</w:t>
      </w:r>
    </w:p>
    <w:p w:rsidR="00B53832" w:rsidRPr="00446F65" w:rsidRDefault="00B53832"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68406E" w:rsidRPr="00446F65" w:rsidRDefault="00B53832" w:rsidP="00317915">
      <w:pPr>
        <w:spacing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Ținând cont că</w:t>
      </w:r>
      <w:r w:rsidR="0068406E" w:rsidRPr="00446F65">
        <w:rPr>
          <w:rFonts w:ascii="Times New Roman" w:hAnsi="Times New Roman" w:cs="Times New Roman"/>
          <w:sz w:val="26"/>
          <w:szCs w:val="26"/>
          <w:lang w:val="ro-MO"/>
        </w:rPr>
        <w:t xml:space="preserve"> nu există diferențe semnificative din punct de vedere a substituibilității dintre serviciile de acces în bandă largă furnizate prin cablu de cupru și cele furnizate prin fibră optică</w:t>
      </w:r>
      <w:r w:rsidRPr="00446F65">
        <w:rPr>
          <w:rFonts w:ascii="Times New Roman" w:hAnsi="Times New Roman" w:cs="Times New Roman"/>
          <w:sz w:val="26"/>
          <w:szCs w:val="26"/>
          <w:lang w:val="ro-MO"/>
        </w:rPr>
        <w:t>, ANRCETI consideră că</w:t>
      </w:r>
      <w:r w:rsidR="0068406E" w:rsidRPr="00446F65">
        <w:rPr>
          <w:rFonts w:ascii="Times New Roman" w:hAnsi="Times New Roman" w:cs="Times New Roman"/>
          <w:sz w:val="26"/>
          <w:szCs w:val="26"/>
          <w:lang w:val="ro-MO"/>
        </w:rPr>
        <w:t xml:space="preserve"> accesul la rețele </w:t>
      </w:r>
      <w:r w:rsidR="006B40C2" w:rsidRPr="00446F65">
        <w:rPr>
          <w:rFonts w:ascii="Times New Roman" w:hAnsi="Times New Roman" w:cs="Times New Roman"/>
          <w:sz w:val="26"/>
          <w:szCs w:val="26"/>
          <w:lang w:val="ro-MO"/>
        </w:rPr>
        <w:t>FTTx</w:t>
      </w:r>
      <w:r w:rsidR="0068406E" w:rsidRPr="00446F65">
        <w:rPr>
          <w:rFonts w:ascii="Times New Roman" w:hAnsi="Times New Roman" w:cs="Times New Roman"/>
          <w:sz w:val="26"/>
          <w:szCs w:val="26"/>
          <w:lang w:val="ro-MO"/>
        </w:rPr>
        <w:t xml:space="preserve"> este considerat echivalent funcțional pentru accesul tradițional la bucla locală de cupru.</w:t>
      </w:r>
    </w:p>
    <w:p w:rsidR="005E5813" w:rsidRPr="00446F65" w:rsidRDefault="005E5813" w:rsidP="00317915">
      <w:pPr>
        <w:pStyle w:val="Heading5"/>
        <w:numPr>
          <w:ilvl w:val="3"/>
          <w:numId w:val="20"/>
        </w:numPr>
        <w:spacing w:line="240" w:lineRule="auto"/>
        <w:ind w:left="0" w:firstLine="567"/>
        <w:rPr>
          <w:rFonts w:ascii="Times New Roman" w:eastAsiaTheme="minorHAnsi" w:hAnsi="Times New Roman" w:cs="Times New Roman"/>
          <w:color w:val="auto"/>
          <w:sz w:val="26"/>
          <w:szCs w:val="26"/>
          <w:lang w:val="ro-MO"/>
        </w:rPr>
      </w:pPr>
      <w:bookmarkStart w:id="13" w:name="_Toc492907372"/>
      <w:r w:rsidRPr="00446F65">
        <w:rPr>
          <w:rFonts w:ascii="Times New Roman" w:eastAsiaTheme="minorHAnsi" w:hAnsi="Times New Roman" w:cs="Times New Roman"/>
          <w:b/>
          <w:color w:val="auto"/>
          <w:sz w:val="26"/>
          <w:szCs w:val="26"/>
          <w:lang w:val="ro-MO"/>
        </w:rPr>
        <w:t xml:space="preserve">Produsul focal </w:t>
      </w:r>
      <w:r w:rsidR="00703194" w:rsidRPr="00446F65">
        <w:rPr>
          <w:rFonts w:ascii="Times New Roman" w:eastAsiaTheme="minorHAnsi" w:hAnsi="Times New Roman" w:cs="Times New Roman"/>
          <w:b/>
          <w:color w:val="auto"/>
          <w:sz w:val="26"/>
          <w:szCs w:val="26"/>
          <w:lang w:val="ro-MO"/>
        </w:rPr>
        <w:t>pentru piața WLA</w:t>
      </w:r>
      <w:bookmarkEnd w:id="13"/>
    </w:p>
    <w:p w:rsidR="00EB4BBA" w:rsidRDefault="00EB4BBA"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5E5813" w:rsidRPr="00446F65" w:rsidRDefault="005E5813"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Produsul focal este produsul cel mai îngust definit care se află în mod evident pe piaţa definită. </w:t>
      </w:r>
    </w:p>
    <w:p w:rsidR="005E5813" w:rsidRPr="00446F65" w:rsidRDefault="00B53832"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Ținând cont de cele expuse la secțiunea precedentă ANRCETI găsește potrivit să pornească de la produsul focal – </w:t>
      </w:r>
      <w:r w:rsidRPr="00446F65">
        <w:rPr>
          <w:rFonts w:ascii="Times New Roman" w:hAnsi="Times New Roman" w:cs="Times New Roman"/>
          <w:b/>
          <w:i/>
          <w:sz w:val="26"/>
          <w:szCs w:val="26"/>
          <w:lang w:val="ro-MO"/>
        </w:rPr>
        <w:t>accesul la bucle locale de cupru și bazate pe fibră optică</w:t>
      </w:r>
      <w:r w:rsidRPr="00446F65">
        <w:rPr>
          <w:rFonts w:ascii="Times New Roman" w:hAnsi="Times New Roman" w:cs="Times New Roman"/>
          <w:sz w:val="26"/>
          <w:szCs w:val="26"/>
          <w:lang w:val="ro-MO"/>
        </w:rPr>
        <w:t>, drept cel mai evident serviciu cu ridicata de acces local la puncte fixe (WLA)</w:t>
      </w:r>
      <w:r w:rsidR="005E5813" w:rsidRPr="00446F65">
        <w:rPr>
          <w:rFonts w:ascii="Times New Roman" w:hAnsi="Times New Roman" w:cs="Times New Roman"/>
          <w:sz w:val="26"/>
          <w:szCs w:val="26"/>
          <w:lang w:val="ro-MO"/>
        </w:rPr>
        <w:t>.</w:t>
      </w:r>
    </w:p>
    <w:p w:rsidR="00652245" w:rsidRPr="00446F65" w:rsidRDefault="006B40C2"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b/>
      </w:r>
      <w:r w:rsidR="00F3141E" w:rsidRPr="00446F65">
        <w:rPr>
          <w:rFonts w:ascii="Times New Roman" w:hAnsi="Times New Roman" w:cs="Times New Roman"/>
          <w:sz w:val="26"/>
          <w:szCs w:val="26"/>
          <w:lang w:val="ro-MO"/>
        </w:rPr>
        <w:t>În continuare</w:t>
      </w:r>
      <w:r w:rsidR="00703E83" w:rsidRPr="00446F65">
        <w:rPr>
          <w:rFonts w:ascii="Times New Roman" w:hAnsi="Times New Roman" w:cs="Times New Roman"/>
          <w:sz w:val="26"/>
          <w:szCs w:val="26"/>
          <w:lang w:val="ro-MO"/>
        </w:rPr>
        <w:t xml:space="preserve">, </w:t>
      </w:r>
      <w:r w:rsidR="00652245" w:rsidRPr="00446F65">
        <w:rPr>
          <w:rFonts w:ascii="Times New Roman" w:hAnsi="Times New Roman" w:cs="Times New Roman"/>
          <w:sz w:val="26"/>
          <w:szCs w:val="26"/>
          <w:lang w:val="ro-MO"/>
        </w:rPr>
        <w:t xml:space="preserve">ANRCETI </w:t>
      </w:r>
      <w:r w:rsidR="00F3141E" w:rsidRPr="00446F65">
        <w:rPr>
          <w:rFonts w:ascii="Times New Roman" w:hAnsi="Times New Roman" w:cs="Times New Roman"/>
          <w:sz w:val="26"/>
          <w:szCs w:val="26"/>
          <w:lang w:val="ro-MO"/>
        </w:rPr>
        <w:t>va</w:t>
      </w:r>
      <w:r w:rsidR="00652245" w:rsidRPr="00446F65">
        <w:rPr>
          <w:rFonts w:ascii="Times New Roman" w:hAnsi="Times New Roman" w:cs="Times New Roman"/>
          <w:sz w:val="26"/>
          <w:szCs w:val="26"/>
          <w:lang w:val="ro-MO"/>
        </w:rPr>
        <w:t xml:space="preserve"> examin</w:t>
      </w:r>
      <w:r w:rsidR="00F3141E" w:rsidRPr="00446F65">
        <w:rPr>
          <w:rFonts w:ascii="Times New Roman" w:hAnsi="Times New Roman" w:cs="Times New Roman"/>
          <w:sz w:val="26"/>
          <w:szCs w:val="26"/>
          <w:lang w:val="ro-MO"/>
        </w:rPr>
        <w:t>a</w:t>
      </w:r>
      <w:r w:rsidR="00652245" w:rsidRPr="00446F65">
        <w:rPr>
          <w:rFonts w:ascii="Times New Roman" w:hAnsi="Times New Roman" w:cs="Times New Roman"/>
          <w:sz w:val="26"/>
          <w:szCs w:val="26"/>
          <w:lang w:val="ro-MO"/>
        </w:rPr>
        <w:t xml:space="preserve"> dacă există și alte produse </w:t>
      </w:r>
      <w:r w:rsidR="00703E83" w:rsidRPr="00446F65">
        <w:rPr>
          <w:rFonts w:ascii="Times New Roman" w:hAnsi="Times New Roman" w:cs="Times New Roman"/>
          <w:sz w:val="26"/>
          <w:szCs w:val="26"/>
          <w:lang w:val="ro-MO"/>
        </w:rPr>
        <w:t>cu ridicata c</w:t>
      </w:r>
      <w:r w:rsidR="00652245" w:rsidRPr="00446F65">
        <w:rPr>
          <w:rFonts w:ascii="Times New Roman" w:hAnsi="Times New Roman" w:cs="Times New Roman"/>
          <w:sz w:val="26"/>
          <w:szCs w:val="26"/>
          <w:lang w:val="ro-MO"/>
        </w:rPr>
        <w:t>are pot substitui eficient produsul focal</w:t>
      </w:r>
      <w:r w:rsidR="00F3141E" w:rsidRPr="00446F65">
        <w:rPr>
          <w:rFonts w:ascii="Times New Roman" w:hAnsi="Times New Roman" w:cs="Times New Roman"/>
          <w:sz w:val="26"/>
          <w:szCs w:val="26"/>
          <w:lang w:val="ro-MO"/>
        </w:rPr>
        <w:t>, utilizând Testul Monopolistului Ipotetic</w:t>
      </w:r>
      <w:r w:rsidR="00652245" w:rsidRPr="00446F65">
        <w:rPr>
          <w:rFonts w:ascii="Times New Roman" w:hAnsi="Times New Roman" w:cs="Times New Roman"/>
          <w:sz w:val="26"/>
          <w:szCs w:val="26"/>
          <w:lang w:val="ro-MO"/>
        </w:rPr>
        <w:t xml:space="preserve">. În cazul identificării unor astfel de produse, aceasta ar indica asupra faptului că ele fac parte din aceeași piață de produse cu produsul focal. </w:t>
      </w:r>
    </w:p>
    <w:p w:rsidR="0027504A" w:rsidRDefault="0087515B" w:rsidP="00317915">
      <w:pPr>
        <w:pStyle w:val="Heading5"/>
        <w:numPr>
          <w:ilvl w:val="3"/>
          <w:numId w:val="20"/>
        </w:numPr>
        <w:spacing w:line="240" w:lineRule="auto"/>
        <w:rPr>
          <w:rFonts w:ascii="Times New Roman" w:eastAsiaTheme="minorHAnsi" w:hAnsi="Times New Roman" w:cs="Times New Roman"/>
          <w:b/>
          <w:color w:val="auto"/>
          <w:sz w:val="26"/>
          <w:szCs w:val="26"/>
          <w:lang w:val="ro-MO"/>
        </w:rPr>
      </w:pPr>
      <w:bookmarkStart w:id="14" w:name="_Toc492907373"/>
      <w:r w:rsidRPr="00446F65">
        <w:rPr>
          <w:rFonts w:ascii="Times New Roman" w:eastAsiaTheme="minorHAnsi" w:hAnsi="Times New Roman" w:cs="Times New Roman"/>
          <w:b/>
          <w:color w:val="auto"/>
          <w:sz w:val="26"/>
          <w:szCs w:val="26"/>
          <w:lang w:val="ro-MO"/>
        </w:rPr>
        <w:t>Lista substituenţilor produsului focal</w:t>
      </w:r>
      <w:r w:rsidR="00285848" w:rsidRPr="00446F65">
        <w:rPr>
          <w:rFonts w:ascii="Times New Roman" w:eastAsiaTheme="minorHAnsi" w:hAnsi="Times New Roman" w:cs="Times New Roman"/>
          <w:b/>
          <w:color w:val="auto"/>
          <w:sz w:val="26"/>
          <w:szCs w:val="26"/>
          <w:lang w:val="ro-MO"/>
        </w:rPr>
        <w:t xml:space="preserve"> cu ridicata</w:t>
      </w:r>
      <w:bookmarkEnd w:id="14"/>
    </w:p>
    <w:p w:rsidR="00EB4BBA" w:rsidRDefault="00EB4BBA"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87515B" w:rsidRPr="00446F65" w:rsidRDefault="0087515B"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Produsele candidat substituenţi pentru accesul cu ridicata la bucla locală </w:t>
      </w:r>
      <w:r w:rsidR="00F350F1" w:rsidRPr="00446F65">
        <w:rPr>
          <w:rFonts w:ascii="Times New Roman" w:hAnsi="Times New Roman" w:cs="Times New Roman"/>
          <w:sz w:val="26"/>
          <w:szCs w:val="26"/>
          <w:lang w:val="ro-MO"/>
        </w:rPr>
        <w:t xml:space="preserve">din cupru sau fibră optică </w:t>
      </w:r>
      <w:r w:rsidR="00823E7A" w:rsidRPr="00446F65">
        <w:rPr>
          <w:rFonts w:ascii="Times New Roman" w:hAnsi="Times New Roman" w:cs="Times New Roman"/>
          <w:sz w:val="26"/>
          <w:szCs w:val="26"/>
          <w:lang w:val="ro-MO"/>
        </w:rPr>
        <w:t>identificate de ANRCETI sunt următoarele</w:t>
      </w:r>
      <w:r w:rsidRPr="00446F65">
        <w:rPr>
          <w:rFonts w:ascii="Times New Roman" w:hAnsi="Times New Roman" w:cs="Times New Roman"/>
          <w:sz w:val="26"/>
          <w:szCs w:val="26"/>
          <w:lang w:val="ro-MO"/>
        </w:rPr>
        <w:t>:</w:t>
      </w:r>
    </w:p>
    <w:p w:rsidR="002E2AE6" w:rsidRPr="00446F65" w:rsidRDefault="00103D09" w:rsidP="00317915">
      <w:pPr>
        <w:pStyle w:val="ListParagraph"/>
        <w:numPr>
          <w:ilvl w:val="0"/>
          <w:numId w:val="2"/>
        </w:numPr>
        <w:tabs>
          <w:tab w:val="left" w:pos="720"/>
        </w:tabs>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w:t>
      </w:r>
      <w:r w:rsidR="0087515B" w:rsidRPr="00446F65">
        <w:rPr>
          <w:rFonts w:ascii="Times New Roman" w:hAnsi="Times New Roman" w:cs="Times New Roman"/>
          <w:sz w:val="26"/>
          <w:szCs w:val="26"/>
          <w:lang w:val="ro-MO"/>
        </w:rPr>
        <w:t xml:space="preserve">ccesul </w:t>
      </w:r>
      <w:r w:rsidRPr="00446F65">
        <w:rPr>
          <w:rFonts w:ascii="Times New Roman" w:hAnsi="Times New Roman" w:cs="Times New Roman"/>
          <w:sz w:val="26"/>
          <w:szCs w:val="26"/>
          <w:lang w:val="ro-MO"/>
        </w:rPr>
        <w:t>de tip</w:t>
      </w:r>
      <w:r w:rsidR="0087515B" w:rsidRPr="00446F65">
        <w:rPr>
          <w:rFonts w:ascii="Times New Roman" w:hAnsi="Times New Roman" w:cs="Times New Roman"/>
          <w:sz w:val="26"/>
          <w:szCs w:val="26"/>
          <w:lang w:val="ro-MO"/>
        </w:rPr>
        <w:t xml:space="preserve"> </w:t>
      </w:r>
      <w:r w:rsidR="0087515B" w:rsidRPr="00653F5F">
        <w:rPr>
          <w:rFonts w:ascii="Times New Roman" w:hAnsi="Times New Roman" w:cs="Times New Roman"/>
          <w:i/>
          <w:sz w:val="26"/>
          <w:szCs w:val="26"/>
          <w:lang w:val="ro-MO"/>
        </w:rPr>
        <w:t>bitstream</w:t>
      </w:r>
      <w:r w:rsidR="002E2AE6" w:rsidRPr="00446F65">
        <w:rPr>
          <w:rFonts w:ascii="Times New Roman" w:hAnsi="Times New Roman" w:cs="Times New Roman"/>
          <w:sz w:val="26"/>
          <w:szCs w:val="26"/>
          <w:lang w:val="ro-MO"/>
        </w:rPr>
        <w:t>;</w:t>
      </w:r>
    </w:p>
    <w:p w:rsidR="0087515B" w:rsidRPr="00446F65" w:rsidRDefault="002E2AE6" w:rsidP="00317915">
      <w:pPr>
        <w:pStyle w:val="ListParagraph"/>
        <w:numPr>
          <w:ilvl w:val="0"/>
          <w:numId w:val="2"/>
        </w:numPr>
        <w:tabs>
          <w:tab w:val="left" w:pos="720"/>
        </w:tabs>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local virtual necondiționat (</w:t>
      </w:r>
      <w:r w:rsidRPr="00653F5F">
        <w:rPr>
          <w:rFonts w:ascii="Times New Roman" w:hAnsi="Times New Roman" w:cs="Times New Roman"/>
          <w:i/>
          <w:sz w:val="26"/>
          <w:szCs w:val="26"/>
          <w:lang w:val="ro-MO"/>
        </w:rPr>
        <w:t xml:space="preserve">VULA – virtual </w:t>
      </w:r>
      <w:proofErr w:type="spellStart"/>
      <w:r w:rsidRPr="00653F5F">
        <w:rPr>
          <w:rFonts w:ascii="Times New Roman" w:hAnsi="Times New Roman" w:cs="Times New Roman"/>
          <w:i/>
          <w:sz w:val="26"/>
          <w:szCs w:val="26"/>
          <w:lang w:val="ro-MO"/>
        </w:rPr>
        <w:t>unbundled</w:t>
      </w:r>
      <w:proofErr w:type="spellEnd"/>
      <w:r w:rsidRPr="00653F5F">
        <w:rPr>
          <w:rFonts w:ascii="Times New Roman" w:hAnsi="Times New Roman" w:cs="Times New Roman"/>
          <w:i/>
          <w:sz w:val="26"/>
          <w:szCs w:val="26"/>
          <w:lang w:val="ro-MO"/>
        </w:rPr>
        <w:t xml:space="preserve"> local </w:t>
      </w:r>
      <w:proofErr w:type="spellStart"/>
      <w:r w:rsidRPr="00653F5F">
        <w:rPr>
          <w:rFonts w:ascii="Times New Roman" w:hAnsi="Times New Roman" w:cs="Times New Roman"/>
          <w:i/>
          <w:sz w:val="26"/>
          <w:szCs w:val="26"/>
          <w:lang w:val="ro-MO"/>
        </w:rPr>
        <w:t>access</w:t>
      </w:r>
      <w:proofErr w:type="spellEnd"/>
      <w:r w:rsidRPr="00446F65">
        <w:rPr>
          <w:rFonts w:ascii="Times New Roman" w:hAnsi="Times New Roman" w:cs="Times New Roman"/>
          <w:sz w:val="26"/>
          <w:szCs w:val="26"/>
          <w:lang w:val="ro-MO"/>
        </w:rPr>
        <w:t>)</w:t>
      </w:r>
      <w:r w:rsidR="0087515B" w:rsidRPr="00446F65">
        <w:rPr>
          <w:rFonts w:ascii="Times New Roman" w:hAnsi="Times New Roman" w:cs="Times New Roman"/>
          <w:sz w:val="26"/>
          <w:szCs w:val="26"/>
          <w:lang w:val="ro-MO"/>
        </w:rPr>
        <w:t>;</w:t>
      </w:r>
    </w:p>
    <w:p w:rsidR="002E2AE6" w:rsidRPr="00446F65" w:rsidRDefault="002E2AE6" w:rsidP="00317915">
      <w:pPr>
        <w:pStyle w:val="ListParagraph"/>
        <w:numPr>
          <w:ilvl w:val="0"/>
          <w:numId w:val="2"/>
        </w:numPr>
        <w:tabs>
          <w:tab w:val="left" w:pos="720"/>
        </w:tabs>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accesul cu ridicata la infrastructura de cablu coaxial; </w:t>
      </w:r>
    </w:p>
    <w:p w:rsidR="002E2AE6" w:rsidRPr="00446F65" w:rsidRDefault="002E2AE6" w:rsidP="00317915">
      <w:pPr>
        <w:pStyle w:val="ListParagraph"/>
        <w:numPr>
          <w:ilvl w:val="0"/>
          <w:numId w:val="2"/>
        </w:numPr>
        <w:tabs>
          <w:tab w:val="left" w:pos="720"/>
        </w:tabs>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cu ridicata la bucla locală radio;</w:t>
      </w:r>
    </w:p>
    <w:p w:rsidR="002E2AE6" w:rsidRPr="00446F65" w:rsidRDefault="002E2AE6" w:rsidP="00317915">
      <w:pPr>
        <w:pStyle w:val="ListParagraph"/>
        <w:numPr>
          <w:ilvl w:val="0"/>
          <w:numId w:val="2"/>
        </w:numPr>
        <w:tabs>
          <w:tab w:val="left" w:pos="720"/>
        </w:tabs>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cu ridicata auto-furnizat.</w:t>
      </w:r>
    </w:p>
    <w:p w:rsidR="00FB6441" w:rsidRPr="00446F65" w:rsidRDefault="0087515B"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Capitolele de mai jos analizează măsura în care fiecare dintre aceste produse </w:t>
      </w:r>
      <w:r w:rsidR="00823E7A" w:rsidRPr="00446F65">
        <w:rPr>
          <w:rFonts w:ascii="Times New Roman" w:hAnsi="Times New Roman" w:cs="Times New Roman"/>
          <w:sz w:val="26"/>
          <w:szCs w:val="26"/>
          <w:lang w:val="ro-MO"/>
        </w:rPr>
        <w:t>substituent</w:t>
      </w:r>
      <w:r w:rsidRPr="00446F65">
        <w:rPr>
          <w:rFonts w:ascii="Times New Roman" w:hAnsi="Times New Roman" w:cs="Times New Roman"/>
          <w:sz w:val="26"/>
          <w:szCs w:val="26"/>
          <w:lang w:val="ro-MO"/>
        </w:rPr>
        <w:t xml:space="preserve"> posibile pot constrânge activităţile unui monopolist ipotetic care fur</w:t>
      </w:r>
      <w:r w:rsidR="00B267B2" w:rsidRPr="00446F65">
        <w:rPr>
          <w:rFonts w:ascii="Times New Roman" w:hAnsi="Times New Roman" w:cs="Times New Roman"/>
          <w:sz w:val="26"/>
          <w:szCs w:val="26"/>
          <w:lang w:val="ro-MO"/>
        </w:rPr>
        <w:t>nizează bucle locale din cupru</w:t>
      </w:r>
      <w:r w:rsidR="00875374" w:rsidRPr="00446F65">
        <w:rPr>
          <w:rFonts w:ascii="Times New Roman" w:hAnsi="Times New Roman" w:cs="Times New Roman"/>
          <w:sz w:val="26"/>
          <w:szCs w:val="26"/>
          <w:lang w:val="ro-MO"/>
        </w:rPr>
        <w:t xml:space="preserve"> sau fibră optică</w:t>
      </w:r>
      <w:r w:rsidR="00B267B2" w:rsidRPr="00446F65">
        <w:rPr>
          <w:rFonts w:ascii="Times New Roman" w:hAnsi="Times New Roman" w:cs="Times New Roman"/>
          <w:sz w:val="26"/>
          <w:szCs w:val="26"/>
          <w:lang w:val="ro-MO"/>
        </w:rPr>
        <w:t>.</w:t>
      </w:r>
    </w:p>
    <w:p w:rsidR="00EF7F91" w:rsidRPr="00446F65" w:rsidRDefault="00EF7F91"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300CB1" w:rsidRPr="00446F65" w:rsidRDefault="005B0E79" w:rsidP="00317915">
      <w:pPr>
        <w:pStyle w:val="ListParagraph"/>
        <w:numPr>
          <w:ilvl w:val="0"/>
          <w:numId w:val="14"/>
        </w:numPr>
        <w:spacing w:line="240" w:lineRule="auto"/>
        <w:ind w:left="0" w:firstLine="567"/>
        <w:jc w:val="both"/>
        <w:rPr>
          <w:rFonts w:ascii="Times New Roman" w:hAnsi="Times New Roman" w:cs="Times New Roman"/>
          <w:sz w:val="26"/>
          <w:szCs w:val="26"/>
          <w:lang w:val="ro-MO"/>
        </w:rPr>
      </w:pPr>
      <w:r w:rsidRPr="00446F65">
        <w:rPr>
          <w:rFonts w:ascii="Times New Roman" w:eastAsiaTheme="majorEastAsia" w:hAnsi="Times New Roman" w:cs="Times New Roman"/>
          <w:b/>
          <w:bCs/>
          <w:i/>
          <w:iCs/>
          <w:sz w:val="26"/>
          <w:szCs w:val="26"/>
          <w:lang w:val="ro-MO"/>
        </w:rPr>
        <w:lastRenderedPageBreak/>
        <w:t>Analiza măsurii în care serviciile</w:t>
      </w:r>
      <w:r w:rsidR="00CF7963" w:rsidRPr="00446F65">
        <w:rPr>
          <w:rFonts w:ascii="Times New Roman" w:eastAsiaTheme="majorEastAsia" w:hAnsi="Times New Roman" w:cs="Times New Roman"/>
          <w:b/>
          <w:bCs/>
          <w:i/>
          <w:iCs/>
          <w:sz w:val="26"/>
          <w:szCs w:val="26"/>
          <w:lang w:val="ro-MO"/>
        </w:rPr>
        <w:t xml:space="preserve"> bitstrea</w:t>
      </w:r>
      <w:r w:rsidR="009B3B32" w:rsidRPr="00446F65">
        <w:rPr>
          <w:rFonts w:ascii="Times New Roman" w:eastAsiaTheme="majorEastAsia" w:hAnsi="Times New Roman" w:cs="Times New Roman"/>
          <w:b/>
          <w:bCs/>
          <w:i/>
          <w:iCs/>
          <w:sz w:val="26"/>
          <w:szCs w:val="26"/>
          <w:lang w:val="ro-MO"/>
        </w:rPr>
        <w:t>m</w:t>
      </w:r>
      <w:r w:rsidR="00CF7963" w:rsidRPr="00446F65">
        <w:rPr>
          <w:rFonts w:ascii="Times New Roman" w:eastAsiaTheme="majorEastAsia" w:hAnsi="Times New Roman" w:cs="Times New Roman"/>
          <w:b/>
          <w:bCs/>
          <w:i/>
          <w:iCs/>
          <w:sz w:val="26"/>
          <w:szCs w:val="26"/>
          <w:lang w:val="ro-MO"/>
        </w:rPr>
        <w:t xml:space="preserve"> </w:t>
      </w:r>
      <w:r w:rsidRPr="00446F65">
        <w:rPr>
          <w:rFonts w:ascii="Times New Roman" w:eastAsiaTheme="majorEastAsia" w:hAnsi="Times New Roman" w:cs="Times New Roman"/>
          <w:b/>
          <w:bCs/>
          <w:i/>
          <w:iCs/>
          <w:sz w:val="26"/>
          <w:szCs w:val="26"/>
          <w:lang w:val="ro-MO"/>
        </w:rPr>
        <w:t>fac parte din aceeaşi piaţă relevantă a produsului.</w:t>
      </w:r>
    </w:p>
    <w:p w:rsidR="009B3B32" w:rsidRPr="00446F65" w:rsidRDefault="009B3B32" w:rsidP="00317915">
      <w:pPr>
        <w:spacing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conformitate cu Recomandarea 2014/710/UE serviciile </w:t>
      </w:r>
      <w:r w:rsidR="009771C6" w:rsidRPr="00446F65">
        <w:rPr>
          <w:rFonts w:ascii="Times New Roman" w:hAnsi="Times New Roman" w:cs="Times New Roman"/>
          <w:sz w:val="26"/>
          <w:szCs w:val="26"/>
          <w:lang w:val="ro-MO"/>
        </w:rPr>
        <w:t>de tip</w:t>
      </w:r>
      <w:r w:rsidR="009771C6" w:rsidRPr="00653F5F">
        <w:rPr>
          <w:rFonts w:ascii="Times New Roman" w:hAnsi="Times New Roman" w:cs="Times New Roman"/>
          <w:i/>
          <w:sz w:val="26"/>
          <w:szCs w:val="26"/>
          <w:lang w:val="ro-MO"/>
        </w:rPr>
        <w:t xml:space="preserve"> </w:t>
      </w:r>
      <w:r w:rsidR="00433312" w:rsidRPr="00653F5F">
        <w:rPr>
          <w:rFonts w:ascii="Times New Roman" w:hAnsi="Times New Roman" w:cs="Times New Roman"/>
          <w:i/>
          <w:sz w:val="26"/>
          <w:szCs w:val="26"/>
          <w:lang w:val="ro-MO"/>
        </w:rPr>
        <w:t>b</w:t>
      </w:r>
      <w:r w:rsidR="009771C6" w:rsidRPr="00653F5F">
        <w:rPr>
          <w:rFonts w:ascii="Times New Roman" w:hAnsi="Times New Roman" w:cs="Times New Roman"/>
          <w:i/>
          <w:sz w:val="26"/>
          <w:szCs w:val="26"/>
          <w:lang w:val="ro-MO"/>
        </w:rPr>
        <w:t>itstream</w:t>
      </w:r>
      <w:r w:rsidR="009771C6" w:rsidRPr="00653F5F">
        <w:rPr>
          <w:rFonts w:ascii="Times New Roman" w:hAnsi="Times New Roman" w:cs="Times New Roman"/>
          <w:b/>
          <w:bCs/>
          <w:i/>
          <w:sz w:val="26"/>
          <w:szCs w:val="26"/>
          <w:lang w:val="ro-MO"/>
        </w:rPr>
        <w:t xml:space="preserve"> </w:t>
      </w:r>
      <w:r w:rsidRPr="00446F65">
        <w:rPr>
          <w:rFonts w:ascii="Times New Roman" w:hAnsi="Times New Roman" w:cs="Times New Roman"/>
          <w:sz w:val="26"/>
          <w:szCs w:val="26"/>
          <w:lang w:val="ro-MO"/>
        </w:rPr>
        <w:t>fac parte din piața furnizării cu ridicata de servicii de acces central la puncte fixe pentru produse de larg consum (</w:t>
      </w:r>
      <w:r w:rsidRPr="00653F5F">
        <w:rPr>
          <w:rFonts w:ascii="Times New Roman" w:hAnsi="Times New Roman" w:cs="Times New Roman"/>
          <w:i/>
          <w:sz w:val="26"/>
          <w:szCs w:val="26"/>
          <w:lang w:val="ro-MO"/>
        </w:rPr>
        <w:t xml:space="preserve">WCA - </w:t>
      </w:r>
      <w:proofErr w:type="spellStart"/>
      <w:r w:rsidRPr="00653F5F">
        <w:rPr>
          <w:rFonts w:ascii="Times New Roman" w:hAnsi="Times New Roman" w:cs="Times New Roman"/>
          <w:i/>
          <w:sz w:val="26"/>
          <w:szCs w:val="26"/>
          <w:lang w:val="ro-MO"/>
        </w:rPr>
        <w:t>wholesale</w:t>
      </w:r>
      <w:proofErr w:type="spellEnd"/>
      <w:r w:rsidRPr="00653F5F">
        <w:rPr>
          <w:rFonts w:ascii="Times New Roman" w:hAnsi="Times New Roman" w:cs="Times New Roman"/>
          <w:i/>
          <w:sz w:val="26"/>
          <w:szCs w:val="26"/>
          <w:lang w:val="ro-MO"/>
        </w:rPr>
        <w:t xml:space="preserve"> central </w:t>
      </w:r>
      <w:proofErr w:type="spellStart"/>
      <w:r w:rsidRPr="00653F5F">
        <w:rPr>
          <w:rFonts w:ascii="Times New Roman" w:hAnsi="Times New Roman" w:cs="Times New Roman"/>
          <w:i/>
          <w:sz w:val="26"/>
          <w:szCs w:val="26"/>
          <w:lang w:val="ro-MO"/>
        </w:rPr>
        <w:t>access</w:t>
      </w:r>
      <w:proofErr w:type="spellEnd"/>
      <w:r w:rsidRPr="00653F5F">
        <w:rPr>
          <w:rFonts w:ascii="Times New Roman" w:hAnsi="Times New Roman" w:cs="Times New Roman"/>
          <w:i/>
          <w:sz w:val="26"/>
          <w:szCs w:val="26"/>
          <w:lang w:val="ro-MO"/>
        </w:rPr>
        <w:t xml:space="preserve"> </w:t>
      </w:r>
      <w:proofErr w:type="spellStart"/>
      <w:r w:rsidRPr="00653F5F">
        <w:rPr>
          <w:rFonts w:ascii="Times New Roman" w:hAnsi="Times New Roman" w:cs="Times New Roman"/>
          <w:i/>
          <w:sz w:val="26"/>
          <w:szCs w:val="26"/>
          <w:lang w:val="ro-MO"/>
        </w:rPr>
        <w:t>provided</w:t>
      </w:r>
      <w:proofErr w:type="spellEnd"/>
      <w:r w:rsidRPr="00653F5F">
        <w:rPr>
          <w:rFonts w:ascii="Times New Roman" w:hAnsi="Times New Roman" w:cs="Times New Roman"/>
          <w:i/>
          <w:sz w:val="26"/>
          <w:szCs w:val="26"/>
          <w:lang w:val="ro-MO"/>
        </w:rPr>
        <w:t xml:space="preserve"> at a </w:t>
      </w:r>
      <w:proofErr w:type="spellStart"/>
      <w:r w:rsidRPr="00653F5F">
        <w:rPr>
          <w:rFonts w:ascii="Times New Roman" w:hAnsi="Times New Roman" w:cs="Times New Roman"/>
          <w:i/>
          <w:sz w:val="26"/>
          <w:szCs w:val="26"/>
          <w:lang w:val="ro-MO"/>
        </w:rPr>
        <w:t>fixed</w:t>
      </w:r>
      <w:proofErr w:type="spellEnd"/>
      <w:r w:rsidRPr="00653F5F">
        <w:rPr>
          <w:rFonts w:ascii="Times New Roman" w:hAnsi="Times New Roman" w:cs="Times New Roman"/>
          <w:i/>
          <w:sz w:val="26"/>
          <w:szCs w:val="26"/>
          <w:lang w:val="ro-MO"/>
        </w:rPr>
        <w:t xml:space="preserve"> </w:t>
      </w:r>
      <w:proofErr w:type="spellStart"/>
      <w:r w:rsidRPr="00653F5F">
        <w:rPr>
          <w:rFonts w:ascii="Times New Roman" w:hAnsi="Times New Roman" w:cs="Times New Roman"/>
          <w:i/>
          <w:sz w:val="26"/>
          <w:szCs w:val="26"/>
          <w:lang w:val="ro-MO"/>
        </w:rPr>
        <w:t>location</w:t>
      </w:r>
      <w:proofErr w:type="spellEnd"/>
      <w:r w:rsidRPr="00653F5F">
        <w:rPr>
          <w:rFonts w:ascii="Times New Roman" w:hAnsi="Times New Roman" w:cs="Times New Roman"/>
          <w:i/>
          <w:sz w:val="26"/>
          <w:szCs w:val="26"/>
          <w:lang w:val="ro-MO"/>
        </w:rPr>
        <w:t xml:space="preserve"> for mass-market </w:t>
      </w:r>
      <w:proofErr w:type="spellStart"/>
      <w:r w:rsidRPr="00653F5F">
        <w:rPr>
          <w:rFonts w:ascii="Times New Roman" w:hAnsi="Times New Roman" w:cs="Times New Roman"/>
          <w:i/>
          <w:sz w:val="26"/>
          <w:szCs w:val="26"/>
          <w:lang w:val="ro-MO"/>
        </w:rPr>
        <w:t>products</w:t>
      </w:r>
      <w:proofErr w:type="spellEnd"/>
      <w:r w:rsidRPr="00446F65">
        <w:rPr>
          <w:rFonts w:ascii="Times New Roman" w:hAnsi="Times New Roman" w:cs="Times New Roman"/>
          <w:sz w:val="26"/>
          <w:szCs w:val="26"/>
          <w:lang w:val="ro-MO"/>
        </w:rPr>
        <w:t>).</w:t>
      </w:r>
    </w:p>
    <w:p w:rsidR="00BD28DE" w:rsidRPr="00446F65" w:rsidRDefault="00300CB1" w:rsidP="00317915">
      <w:pPr>
        <w:autoSpaceDE w:val="0"/>
        <w:autoSpaceDN w:val="0"/>
        <w:adjustRightInd w:val="0"/>
        <w:spacing w:after="0" w:line="240" w:lineRule="auto"/>
        <w:ind w:firstLine="567"/>
        <w:jc w:val="both"/>
        <w:rPr>
          <w:rFonts w:ascii="Times New Roman" w:hAnsi="Times New Roman" w:cs="Times New Roman"/>
          <w:bCs/>
          <w:sz w:val="26"/>
          <w:szCs w:val="26"/>
          <w:lang w:val="ro-MO"/>
        </w:rPr>
      </w:pPr>
      <w:r w:rsidRPr="00446F65">
        <w:rPr>
          <w:rFonts w:ascii="Times New Roman" w:hAnsi="Times New Roman" w:cs="Times New Roman"/>
          <w:bCs/>
          <w:sz w:val="26"/>
          <w:szCs w:val="26"/>
          <w:lang w:val="ro-MO"/>
        </w:rPr>
        <w:t xml:space="preserve">ANRCETI a analizat dacă </w:t>
      </w:r>
      <w:r w:rsidR="00BD28DE" w:rsidRPr="00446F65">
        <w:rPr>
          <w:rFonts w:ascii="Times New Roman" w:hAnsi="Times New Roman" w:cs="Times New Roman"/>
          <w:bCs/>
          <w:sz w:val="26"/>
          <w:szCs w:val="26"/>
          <w:lang w:val="ro-MO"/>
        </w:rPr>
        <w:t xml:space="preserve">aceste </w:t>
      </w:r>
      <w:r w:rsidRPr="00446F65">
        <w:rPr>
          <w:rFonts w:ascii="Times New Roman" w:hAnsi="Times New Roman" w:cs="Times New Roman"/>
          <w:bCs/>
          <w:sz w:val="26"/>
          <w:szCs w:val="26"/>
          <w:lang w:val="ro-MO"/>
        </w:rPr>
        <w:t xml:space="preserve">servicii de acces </w:t>
      </w:r>
      <w:r w:rsidR="00BD28DE" w:rsidRPr="00446F65">
        <w:rPr>
          <w:rFonts w:ascii="Times New Roman" w:hAnsi="Times New Roman" w:cs="Times New Roman"/>
          <w:bCs/>
          <w:sz w:val="26"/>
          <w:szCs w:val="26"/>
          <w:lang w:val="ro-MO"/>
        </w:rPr>
        <w:t>(</w:t>
      </w:r>
      <w:r w:rsidR="00BD28DE" w:rsidRPr="00653F5F">
        <w:rPr>
          <w:rFonts w:ascii="Times New Roman" w:hAnsi="Times New Roman" w:cs="Times New Roman"/>
          <w:bCs/>
          <w:i/>
          <w:sz w:val="26"/>
          <w:szCs w:val="26"/>
          <w:lang w:val="ro-MO"/>
        </w:rPr>
        <w:t>bitstream</w:t>
      </w:r>
      <w:r w:rsidR="00BD28DE" w:rsidRPr="00446F65">
        <w:rPr>
          <w:rFonts w:ascii="Times New Roman" w:hAnsi="Times New Roman" w:cs="Times New Roman"/>
          <w:bCs/>
          <w:sz w:val="26"/>
          <w:szCs w:val="26"/>
          <w:lang w:val="ro-MO"/>
        </w:rPr>
        <w:t>)</w:t>
      </w:r>
      <w:r w:rsidRPr="00446F65">
        <w:rPr>
          <w:rFonts w:ascii="Times New Roman" w:hAnsi="Times New Roman" w:cs="Times New Roman"/>
          <w:bCs/>
          <w:sz w:val="26"/>
          <w:szCs w:val="26"/>
          <w:lang w:val="ro-MO"/>
        </w:rPr>
        <w:t xml:space="preserve"> fac parte din aceeaşi piaţă relevantă a produsului</w:t>
      </w:r>
      <w:r w:rsidR="00BD28DE" w:rsidRPr="00446F65">
        <w:rPr>
          <w:rFonts w:ascii="Times New Roman" w:hAnsi="Times New Roman" w:cs="Times New Roman"/>
          <w:bCs/>
          <w:sz w:val="26"/>
          <w:szCs w:val="26"/>
          <w:lang w:val="ro-MO"/>
        </w:rPr>
        <w:t xml:space="preserve"> cu produsul focal</w:t>
      </w:r>
      <w:r w:rsidRPr="00446F65">
        <w:rPr>
          <w:rFonts w:ascii="Times New Roman" w:hAnsi="Times New Roman" w:cs="Times New Roman"/>
          <w:bCs/>
          <w:sz w:val="26"/>
          <w:szCs w:val="26"/>
          <w:lang w:val="ro-MO"/>
        </w:rPr>
        <w:t xml:space="preserve">. </w:t>
      </w:r>
    </w:p>
    <w:p w:rsidR="00165F52" w:rsidRPr="00446F65" w:rsidRDefault="00300CB1" w:rsidP="00317915">
      <w:pPr>
        <w:autoSpaceDE w:val="0"/>
        <w:autoSpaceDN w:val="0"/>
        <w:adjustRightInd w:val="0"/>
        <w:spacing w:after="0" w:line="240" w:lineRule="auto"/>
        <w:ind w:firstLine="567"/>
        <w:jc w:val="both"/>
        <w:rPr>
          <w:rFonts w:ascii="Times New Roman" w:hAnsi="Times New Roman" w:cs="Times New Roman"/>
          <w:bCs/>
          <w:sz w:val="26"/>
          <w:szCs w:val="26"/>
          <w:lang w:val="ro-MO"/>
        </w:rPr>
      </w:pPr>
      <w:r w:rsidRPr="00446F65">
        <w:rPr>
          <w:rFonts w:ascii="Times New Roman" w:hAnsi="Times New Roman" w:cs="Times New Roman"/>
          <w:bCs/>
          <w:sz w:val="26"/>
          <w:szCs w:val="26"/>
          <w:lang w:val="ro-MO"/>
        </w:rPr>
        <w:t xml:space="preserve">Pentru a determina gradul de substituibilitate dintre cele două categorii de servicii de acces, ANRCETI a analizat în primul </w:t>
      </w:r>
      <w:r w:rsidR="00900ED9" w:rsidRPr="00446F65">
        <w:rPr>
          <w:rFonts w:ascii="Times New Roman" w:hAnsi="Times New Roman" w:cs="Times New Roman"/>
          <w:bCs/>
          <w:sz w:val="26"/>
          <w:szCs w:val="26"/>
          <w:lang w:val="ro-MO"/>
        </w:rPr>
        <w:t>rând</w:t>
      </w:r>
      <w:r w:rsidRPr="00446F65">
        <w:rPr>
          <w:rFonts w:ascii="Times New Roman" w:hAnsi="Times New Roman" w:cs="Times New Roman"/>
          <w:bCs/>
          <w:sz w:val="26"/>
          <w:szCs w:val="26"/>
          <w:lang w:val="ro-MO"/>
        </w:rPr>
        <w:t xml:space="preserve">, dacă acestea pot fi consideraţi </w:t>
      </w:r>
      <w:r w:rsidR="00900ED9" w:rsidRPr="00446F65">
        <w:rPr>
          <w:rFonts w:ascii="Times New Roman" w:hAnsi="Times New Roman" w:cs="Times New Roman"/>
          <w:bCs/>
          <w:sz w:val="26"/>
          <w:szCs w:val="26"/>
          <w:lang w:val="ro-MO"/>
        </w:rPr>
        <w:t>substituen</w:t>
      </w:r>
      <w:r w:rsidRPr="00446F65">
        <w:rPr>
          <w:rFonts w:ascii="Times New Roman" w:hAnsi="Times New Roman" w:cs="Times New Roman"/>
          <w:bCs/>
          <w:sz w:val="26"/>
          <w:szCs w:val="26"/>
          <w:lang w:val="ro-MO"/>
        </w:rPr>
        <w:t xml:space="preserve">ţi potriviţi din punct de vedere al posibilităţii de </w:t>
      </w:r>
      <w:r w:rsidR="00C5110A" w:rsidRPr="00446F65">
        <w:rPr>
          <w:rFonts w:ascii="Times New Roman" w:hAnsi="Times New Roman" w:cs="Times New Roman"/>
          <w:bCs/>
          <w:sz w:val="26"/>
          <w:szCs w:val="26"/>
          <w:lang w:val="ro-MO"/>
        </w:rPr>
        <w:t>utilizare</w:t>
      </w:r>
      <w:r w:rsidR="00F61EC8" w:rsidRPr="00446F65">
        <w:rPr>
          <w:rFonts w:ascii="Times New Roman" w:hAnsi="Times New Roman" w:cs="Times New Roman"/>
          <w:bCs/>
          <w:sz w:val="26"/>
          <w:szCs w:val="26"/>
          <w:lang w:val="ro-MO"/>
        </w:rPr>
        <w:t xml:space="preserve"> </w:t>
      </w:r>
      <w:r w:rsidR="00C5110A" w:rsidRPr="00446F65">
        <w:rPr>
          <w:rFonts w:ascii="Times New Roman" w:hAnsi="Times New Roman" w:cs="Times New Roman"/>
          <w:bCs/>
          <w:sz w:val="26"/>
          <w:szCs w:val="26"/>
          <w:lang w:val="ro-MO"/>
        </w:rPr>
        <w:t>a serviciilor prestate prin aceste</w:t>
      </w:r>
      <w:r w:rsidRPr="00446F65">
        <w:rPr>
          <w:rFonts w:ascii="Times New Roman" w:hAnsi="Times New Roman" w:cs="Times New Roman"/>
          <w:bCs/>
          <w:sz w:val="26"/>
          <w:szCs w:val="26"/>
          <w:lang w:val="ro-MO"/>
        </w:rPr>
        <w:t>a</w:t>
      </w:r>
      <w:r w:rsidR="00C5110A" w:rsidRPr="00446F65">
        <w:rPr>
          <w:rFonts w:ascii="Times New Roman" w:hAnsi="Times New Roman" w:cs="Times New Roman"/>
          <w:bCs/>
          <w:sz w:val="26"/>
          <w:szCs w:val="26"/>
          <w:lang w:val="ro-MO"/>
        </w:rPr>
        <w:t>.</w:t>
      </w:r>
    </w:p>
    <w:p w:rsidR="008F4E46" w:rsidRPr="00446F65" w:rsidRDefault="008F4E46" w:rsidP="00317915">
      <w:pPr>
        <w:autoSpaceDE w:val="0"/>
        <w:autoSpaceDN w:val="0"/>
        <w:adjustRightInd w:val="0"/>
        <w:spacing w:after="0" w:line="240" w:lineRule="auto"/>
        <w:ind w:firstLine="567"/>
        <w:jc w:val="both"/>
        <w:rPr>
          <w:rFonts w:ascii="Times New Roman" w:hAnsi="Times New Roman" w:cs="Times New Roman"/>
          <w:bCs/>
          <w:sz w:val="26"/>
          <w:szCs w:val="26"/>
          <w:lang w:val="ro-MO"/>
        </w:rPr>
      </w:pPr>
      <w:r w:rsidRPr="00446F65">
        <w:rPr>
          <w:rFonts w:ascii="Times New Roman" w:hAnsi="Times New Roman" w:cs="Times New Roman"/>
          <w:sz w:val="26"/>
          <w:szCs w:val="26"/>
          <w:lang w:val="ro-MO"/>
        </w:rPr>
        <w:t xml:space="preserve">După cum a fost prezentat anterior Piața WLA (care include serviciile de acces cu ridicata la bucla locală de cupru și fibră optică) este situată în amonte față de piața WCA (care include serviciile </w:t>
      </w:r>
      <w:r w:rsidR="006B40C2" w:rsidRPr="00653F5F">
        <w:rPr>
          <w:rFonts w:ascii="Times New Roman" w:hAnsi="Times New Roman" w:cs="Times New Roman"/>
          <w:i/>
          <w:sz w:val="26"/>
          <w:szCs w:val="26"/>
          <w:lang w:val="ro-MO"/>
        </w:rPr>
        <w:t>b</w:t>
      </w:r>
      <w:r w:rsidRPr="00653F5F">
        <w:rPr>
          <w:rFonts w:ascii="Times New Roman" w:hAnsi="Times New Roman" w:cs="Times New Roman"/>
          <w:i/>
          <w:sz w:val="26"/>
          <w:szCs w:val="26"/>
          <w:lang w:val="ro-MO"/>
        </w:rPr>
        <w:t>itstream</w:t>
      </w:r>
      <w:r w:rsidRPr="00446F65">
        <w:rPr>
          <w:rFonts w:ascii="Times New Roman" w:hAnsi="Times New Roman" w:cs="Times New Roman"/>
          <w:sz w:val="26"/>
          <w:szCs w:val="26"/>
          <w:lang w:val="ro-MO"/>
        </w:rPr>
        <w:t>) deoarece solicitantul de acces,  pentru a beneficia de serviciile WLA, este nevoit să construiască rețeaua mai aproape de utilizatorul final și astfel să obțină un control mai mare asupra liniei abonatului. Utilizând serviciile WLA, solicitantul de acces poate furniza propriile servicii cu amănuntul sau servicii cu ridicata WCA al</w:t>
      </w:r>
      <w:r w:rsidR="00AA6A15" w:rsidRPr="00446F65">
        <w:rPr>
          <w:rFonts w:ascii="Times New Roman" w:hAnsi="Times New Roman" w:cs="Times New Roman"/>
          <w:sz w:val="26"/>
          <w:szCs w:val="26"/>
          <w:lang w:val="ro-MO"/>
        </w:rPr>
        <w:t>tor</w:t>
      </w:r>
      <w:r w:rsidRPr="00446F65">
        <w:rPr>
          <w:rFonts w:ascii="Times New Roman" w:hAnsi="Times New Roman" w:cs="Times New Roman"/>
          <w:sz w:val="26"/>
          <w:szCs w:val="26"/>
          <w:lang w:val="ro-MO"/>
        </w:rPr>
        <w:t xml:space="preserve"> furnizori.</w:t>
      </w:r>
    </w:p>
    <w:p w:rsidR="00165F52" w:rsidRPr="00446F65" w:rsidRDefault="00165F52"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comparaţie cu serviciile de acces </w:t>
      </w:r>
      <w:r w:rsidR="008E0CE0" w:rsidRPr="00653F5F">
        <w:rPr>
          <w:rFonts w:ascii="Times New Roman" w:hAnsi="Times New Roman" w:cs="Times New Roman"/>
          <w:i/>
          <w:sz w:val="26"/>
          <w:szCs w:val="26"/>
          <w:lang w:val="ro-MO"/>
        </w:rPr>
        <w:t>b</w:t>
      </w:r>
      <w:r w:rsidR="008F4E46" w:rsidRPr="00653F5F">
        <w:rPr>
          <w:rFonts w:ascii="Times New Roman" w:hAnsi="Times New Roman" w:cs="Times New Roman"/>
          <w:i/>
          <w:sz w:val="26"/>
          <w:szCs w:val="26"/>
          <w:lang w:val="ro-MO"/>
        </w:rPr>
        <w:t>itstream</w:t>
      </w:r>
      <w:r w:rsidRPr="00446F65">
        <w:rPr>
          <w:rFonts w:ascii="Times New Roman" w:hAnsi="Times New Roman" w:cs="Times New Roman"/>
          <w:sz w:val="26"/>
          <w:szCs w:val="26"/>
          <w:lang w:val="ro-MO"/>
        </w:rPr>
        <w:t xml:space="preserve">, accesul necondiţionat la bucla locală oferă furnizorilor alternativi o mai mare libertate în ceea ce priveşte atât gama de servicii ce poate fi oferită clienţilor lor, cât şi posibilitatea de stabilire a preţurilor. </w:t>
      </w:r>
    </w:p>
    <w:p w:rsidR="00165F52" w:rsidRPr="00446F65" w:rsidRDefault="00165F52"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Astfel, în cazul accesului la bucla locală, </w:t>
      </w:r>
      <w:r w:rsidR="00951F8B" w:rsidRPr="00446F65">
        <w:rPr>
          <w:rFonts w:ascii="Times New Roman" w:hAnsi="Times New Roman" w:cs="Times New Roman"/>
          <w:sz w:val="26"/>
          <w:szCs w:val="26"/>
          <w:lang w:val="ro-MO"/>
        </w:rPr>
        <w:t>furnizor</w:t>
      </w:r>
      <w:r w:rsidRPr="00446F65">
        <w:rPr>
          <w:rFonts w:ascii="Times New Roman" w:hAnsi="Times New Roman" w:cs="Times New Roman"/>
          <w:sz w:val="26"/>
          <w:szCs w:val="26"/>
          <w:lang w:val="ro-MO"/>
        </w:rPr>
        <w:t>ul alternativ administrează ansamblul elementelor active ale reţelei, inclusiv echipamentele DSLAM, pentru a oferi servicii pe piaţa cu amănuntul către utilizatorii finali. Prin urmare, furnizorul alternativ dispune de o capacitate mare de diferenţiere şi inovare a serviciilor, aspecte foarte importante în special pe pieţele cu progrese tehnologice rapide, cum ar fi pieţele de servicii de comunicaţii electronice în bandă largă.</w:t>
      </w:r>
    </w:p>
    <w:p w:rsidR="00165F52" w:rsidRPr="00446F65" w:rsidRDefault="00165F52"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De asemenea, cele două categorii de servicii cu ridicata presupun niveluri foarte diferite de investiţii în infrastructură pentru furnizorul alternativ. Astfel, accesul la bucla locală reprezintă doar un element care, combinat cu alte elemente de reţea şi activităţi de management realizate de furnizorul alternativ, permite furnizarea de servicii de acces utilizatorilor finali. Pe de altă parte, serviciul de acces </w:t>
      </w:r>
      <w:r w:rsidR="008E0CE0" w:rsidRPr="00653F5F">
        <w:rPr>
          <w:rFonts w:ascii="Times New Roman" w:hAnsi="Times New Roman" w:cs="Times New Roman"/>
          <w:i/>
          <w:sz w:val="26"/>
          <w:szCs w:val="26"/>
          <w:lang w:val="ro-MO"/>
        </w:rPr>
        <w:t>b</w:t>
      </w:r>
      <w:r w:rsidR="008F4E46" w:rsidRPr="00653F5F">
        <w:rPr>
          <w:rFonts w:ascii="Times New Roman" w:hAnsi="Times New Roman" w:cs="Times New Roman"/>
          <w:i/>
          <w:sz w:val="26"/>
          <w:szCs w:val="26"/>
          <w:lang w:val="ro-MO"/>
        </w:rPr>
        <w:t>itstream</w:t>
      </w:r>
      <w:r w:rsidRPr="00446F65">
        <w:rPr>
          <w:rFonts w:ascii="Times New Roman" w:hAnsi="Times New Roman" w:cs="Times New Roman"/>
          <w:sz w:val="26"/>
          <w:szCs w:val="26"/>
          <w:lang w:val="ro-MO"/>
        </w:rPr>
        <w:t xml:space="preserve"> necesită investiţii minore, precum şi activităţi limitate din partea furnizorului alternativ, pentru a furniza servicii la nivelul pieţei cu amănuntul.</w:t>
      </w:r>
    </w:p>
    <w:p w:rsidR="00FA5301" w:rsidRPr="00446F65" w:rsidRDefault="00165F52"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De asemenea, motivaţiile care determină cererea pentru cele două servicii sunt diferite: în cazul accesului la bucla locală, </w:t>
      </w:r>
      <w:r w:rsidR="00951F8B" w:rsidRPr="00446F65">
        <w:rPr>
          <w:rFonts w:ascii="Times New Roman" w:hAnsi="Times New Roman" w:cs="Times New Roman"/>
          <w:sz w:val="26"/>
          <w:szCs w:val="26"/>
          <w:lang w:val="ro-MO"/>
        </w:rPr>
        <w:t>furnizor</w:t>
      </w:r>
      <w:r w:rsidRPr="00446F65">
        <w:rPr>
          <w:rFonts w:ascii="Times New Roman" w:hAnsi="Times New Roman" w:cs="Times New Roman"/>
          <w:sz w:val="26"/>
          <w:szCs w:val="26"/>
          <w:lang w:val="ro-MO"/>
        </w:rPr>
        <w:t xml:space="preserve">ii alternativi sunt interesaţi să achiziţioneze un element de infrastructură care să le permită să ofere servicii integrate de voce şi date şi să menţină o relaţie mai strânsă cu utilizatorul final. În cazul accesului </w:t>
      </w:r>
      <w:r w:rsidR="00AA6A15" w:rsidRPr="00446F65">
        <w:rPr>
          <w:rFonts w:ascii="Times New Roman" w:hAnsi="Times New Roman" w:cs="Times New Roman"/>
          <w:sz w:val="26"/>
          <w:szCs w:val="26"/>
          <w:lang w:val="ro-MO"/>
        </w:rPr>
        <w:t xml:space="preserve">de tip </w:t>
      </w:r>
      <w:r w:rsidR="00AA6A15" w:rsidRPr="00653F5F">
        <w:rPr>
          <w:rFonts w:ascii="Times New Roman" w:hAnsi="Times New Roman" w:cs="Times New Roman"/>
          <w:i/>
          <w:sz w:val="26"/>
          <w:szCs w:val="26"/>
          <w:lang w:val="ro-MO"/>
        </w:rPr>
        <w:t>bitstream</w:t>
      </w:r>
      <w:r w:rsidRPr="00446F65">
        <w:rPr>
          <w:rFonts w:ascii="Times New Roman" w:hAnsi="Times New Roman" w:cs="Times New Roman"/>
          <w:sz w:val="26"/>
          <w:szCs w:val="26"/>
          <w:lang w:val="ro-MO"/>
        </w:rPr>
        <w:t xml:space="preserve"> </w:t>
      </w:r>
      <w:r w:rsidR="00951F8B" w:rsidRPr="00446F65">
        <w:rPr>
          <w:rFonts w:ascii="Times New Roman" w:hAnsi="Times New Roman" w:cs="Times New Roman"/>
          <w:sz w:val="26"/>
          <w:szCs w:val="26"/>
          <w:lang w:val="ro-MO"/>
        </w:rPr>
        <w:t>furnizor</w:t>
      </w:r>
      <w:r w:rsidRPr="00446F65">
        <w:rPr>
          <w:rFonts w:ascii="Times New Roman" w:hAnsi="Times New Roman" w:cs="Times New Roman"/>
          <w:sz w:val="26"/>
          <w:szCs w:val="26"/>
          <w:lang w:val="ro-MO"/>
        </w:rPr>
        <w:t>ii alternativi sunt inter</w:t>
      </w:r>
      <w:r w:rsidR="005C0E69" w:rsidRPr="00446F65">
        <w:rPr>
          <w:rFonts w:ascii="Times New Roman" w:hAnsi="Times New Roman" w:cs="Times New Roman"/>
          <w:sz w:val="26"/>
          <w:szCs w:val="26"/>
          <w:lang w:val="ro-MO"/>
        </w:rPr>
        <w:t xml:space="preserve">esaţi de un </w:t>
      </w:r>
      <w:r w:rsidRPr="00446F65">
        <w:rPr>
          <w:rFonts w:ascii="Times New Roman" w:hAnsi="Times New Roman" w:cs="Times New Roman"/>
          <w:sz w:val="26"/>
          <w:szCs w:val="26"/>
          <w:lang w:val="ro-MO"/>
        </w:rPr>
        <w:t>produs care necesită într-o mai mică măsură elemente de reţea şi activităţi suplimentare pentru</w:t>
      </w:r>
      <w:r w:rsidR="000E0871"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comercializarea de servicii de acces la nivelul pieţei cu amănuntul şi,</w:t>
      </w:r>
      <w:r w:rsidR="005C0E69" w:rsidRPr="00446F65">
        <w:rPr>
          <w:rFonts w:ascii="Times New Roman" w:hAnsi="Times New Roman" w:cs="Times New Roman"/>
          <w:sz w:val="26"/>
          <w:szCs w:val="26"/>
          <w:lang w:val="ro-MO"/>
        </w:rPr>
        <w:t xml:space="preserve"> în consecinţă, determină o mai </w:t>
      </w:r>
      <w:r w:rsidRPr="00446F65">
        <w:rPr>
          <w:rFonts w:ascii="Times New Roman" w:hAnsi="Times New Roman" w:cs="Times New Roman"/>
          <w:sz w:val="26"/>
          <w:szCs w:val="26"/>
          <w:lang w:val="ro-MO"/>
        </w:rPr>
        <w:t xml:space="preserve">mare dependenţă de </w:t>
      </w:r>
      <w:r w:rsidR="005C0E69" w:rsidRPr="00446F65">
        <w:rPr>
          <w:rFonts w:ascii="Times New Roman" w:hAnsi="Times New Roman" w:cs="Times New Roman"/>
          <w:sz w:val="26"/>
          <w:szCs w:val="26"/>
          <w:lang w:val="ro-MO"/>
        </w:rPr>
        <w:t>furn</w:t>
      </w:r>
      <w:r w:rsidR="002B5772" w:rsidRPr="00446F65">
        <w:rPr>
          <w:rFonts w:ascii="Times New Roman" w:hAnsi="Times New Roman" w:cs="Times New Roman"/>
          <w:sz w:val="26"/>
          <w:szCs w:val="26"/>
          <w:lang w:val="ro-MO"/>
        </w:rPr>
        <w:t>i</w:t>
      </w:r>
      <w:r w:rsidR="005C0E69" w:rsidRPr="00446F65">
        <w:rPr>
          <w:rFonts w:ascii="Times New Roman" w:hAnsi="Times New Roman" w:cs="Times New Roman"/>
          <w:sz w:val="26"/>
          <w:szCs w:val="26"/>
          <w:lang w:val="ro-MO"/>
        </w:rPr>
        <w:t>z</w:t>
      </w:r>
      <w:r w:rsidRPr="00446F65">
        <w:rPr>
          <w:rFonts w:ascii="Times New Roman" w:hAnsi="Times New Roman" w:cs="Times New Roman"/>
          <w:sz w:val="26"/>
          <w:szCs w:val="26"/>
          <w:lang w:val="ro-MO"/>
        </w:rPr>
        <w:t xml:space="preserve">orul care </w:t>
      </w:r>
      <w:r w:rsidR="002B5772" w:rsidRPr="00446F65">
        <w:rPr>
          <w:rFonts w:ascii="Times New Roman" w:hAnsi="Times New Roman" w:cs="Times New Roman"/>
          <w:sz w:val="26"/>
          <w:szCs w:val="26"/>
          <w:lang w:val="ro-MO"/>
        </w:rPr>
        <w:t xml:space="preserve">oferă </w:t>
      </w:r>
      <w:r w:rsidRPr="00446F65">
        <w:rPr>
          <w:rFonts w:ascii="Times New Roman" w:hAnsi="Times New Roman" w:cs="Times New Roman"/>
          <w:sz w:val="26"/>
          <w:szCs w:val="26"/>
          <w:lang w:val="ro-MO"/>
        </w:rPr>
        <w:t>acces</w:t>
      </w:r>
      <w:r w:rsidR="000E0871" w:rsidRPr="00446F65">
        <w:rPr>
          <w:rFonts w:ascii="Times New Roman" w:hAnsi="Times New Roman" w:cs="Times New Roman"/>
          <w:sz w:val="26"/>
          <w:szCs w:val="26"/>
          <w:lang w:val="ro-MO"/>
        </w:rPr>
        <w:t>ul</w:t>
      </w:r>
      <w:r w:rsidRPr="00446F65">
        <w:rPr>
          <w:rFonts w:ascii="Times New Roman" w:hAnsi="Times New Roman" w:cs="Times New Roman"/>
          <w:sz w:val="26"/>
          <w:szCs w:val="26"/>
          <w:lang w:val="ro-MO"/>
        </w:rPr>
        <w:t>.</w:t>
      </w:r>
    </w:p>
    <w:p w:rsidR="00EB7BA0" w:rsidRPr="00446F65" w:rsidRDefault="00165F52"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concluzie, instalarea de către </w:t>
      </w:r>
      <w:r w:rsidR="000E0871" w:rsidRPr="00446F65">
        <w:rPr>
          <w:rFonts w:ascii="Times New Roman" w:hAnsi="Times New Roman" w:cs="Times New Roman"/>
          <w:sz w:val="26"/>
          <w:szCs w:val="26"/>
          <w:lang w:val="ro-MO"/>
        </w:rPr>
        <w:t>f</w:t>
      </w:r>
      <w:r w:rsidR="005C0E69" w:rsidRPr="00446F65">
        <w:rPr>
          <w:rFonts w:ascii="Times New Roman" w:hAnsi="Times New Roman" w:cs="Times New Roman"/>
          <w:sz w:val="26"/>
          <w:szCs w:val="26"/>
          <w:lang w:val="ro-MO"/>
        </w:rPr>
        <w:t>urniz</w:t>
      </w:r>
      <w:r w:rsidRPr="00446F65">
        <w:rPr>
          <w:rFonts w:ascii="Times New Roman" w:hAnsi="Times New Roman" w:cs="Times New Roman"/>
          <w:sz w:val="26"/>
          <w:szCs w:val="26"/>
          <w:lang w:val="ro-MO"/>
        </w:rPr>
        <w:t>orul alternativ de e</w:t>
      </w:r>
      <w:r w:rsidR="005C0E69" w:rsidRPr="00446F65">
        <w:rPr>
          <w:rFonts w:ascii="Times New Roman" w:hAnsi="Times New Roman" w:cs="Times New Roman"/>
          <w:sz w:val="26"/>
          <w:szCs w:val="26"/>
          <w:lang w:val="ro-MO"/>
        </w:rPr>
        <w:t xml:space="preserve">chipamente proprii (de exemplu, </w:t>
      </w:r>
      <w:r w:rsidRPr="00446F65">
        <w:rPr>
          <w:rFonts w:ascii="Times New Roman" w:hAnsi="Times New Roman" w:cs="Times New Roman"/>
          <w:sz w:val="26"/>
          <w:szCs w:val="26"/>
          <w:lang w:val="ro-MO"/>
        </w:rPr>
        <w:t xml:space="preserve">DSLAM) determină investiţii semnificative, dar în acelaşi timp </w:t>
      </w:r>
      <w:r w:rsidR="00951F8B" w:rsidRPr="00446F65">
        <w:rPr>
          <w:rFonts w:ascii="Times New Roman" w:hAnsi="Times New Roman" w:cs="Times New Roman"/>
          <w:sz w:val="26"/>
          <w:szCs w:val="26"/>
          <w:lang w:val="ro-MO"/>
        </w:rPr>
        <w:t>furnizor</w:t>
      </w:r>
      <w:r w:rsidRPr="00446F65">
        <w:rPr>
          <w:rFonts w:ascii="Times New Roman" w:hAnsi="Times New Roman" w:cs="Times New Roman"/>
          <w:sz w:val="26"/>
          <w:szCs w:val="26"/>
          <w:lang w:val="ro-MO"/>
        </w:rPr>
        <w:t>ul a</w:t>
      </w:r>
      <w:r w:rsidR="005C0E69" w:rsidRPr="00446F65">
        <w:rPr>
          <w:rFonts w:ascii="Times New Roman" w:hAnsi="Times New Roman" w:cs="Times New Roman"/>
          <w:sz w:val="26"/>
          <w:szCs w:val="26"/>
          <w:lang w:val="ro-MO"/>
        </w:rPr>
        <w:t xml:space="preserve">lternativ obţine un control mai </w:t>
      </w:r>
      <w:r w:rsidRPr="00446F65">
        <w:rPr>
          <w:rFonts w:ascii="Times New Roman" w:hAnsi="Times New Roman" w:cs="Times New Roman"/>
          <w:sz w:val="26"/>
          <w:szCs w:val="26"/>
          <w:lang w:val="ro-MO"/>
        </w:rPr>
        <w:t>mare asupra acoperirii geografice şi poate dezvolta noi servicii cu amănuntul. În cazul unei creşteri a</w:t>
      </w:r>
      <w:r w:rsidR="00AA6A15" w:rsidRPr="00446F65">
        <w:rPr>
          <w:rFonts w:ascii="Times New Roman" w:hAnsi="Times New Roman" w:cs="Times New Roman"/>
          <w:sz w:val="26"/>
          <w:szCs w:val="26"/>
          <w:lang w:val="ro-MO"/>
        </w:rPr>
        <w:t>l</w:t>
      </w:r>
      <w:r w:rsidR="000E0871"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preţului accesului la bucla locală cu până la 10% este puţin probabil ca un furnizor activ pe piaţă prin</w:t>
      </w:r>
      <w:r w:rsidR="000E0871"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intermediul accesului la bucla locală să fie interesat să substituie accesul la bucla locală cu acces</w:t>
      </w:r>
      <w:r w:rsidR="00AA6A15" w:rsidRPr="00446F65">
        <w:rPr>
          <w:rFonts w:ascii="Times New Roman" w:hAnsi="Times New Roman" w:cs="Times New Roman"/>
          <w:sz w:val="26"/>
          <w:szCs w:val="26"/>
          <w:lang w:val="ro-MO"/>
        </w:rPr>
        <w:t xml:space="preserve"> de tip </w:t>
      </w:r>
      <w:r w:rsidR="00AA6A15" w:rsidRPr="00653F5F">
        <w:rPr>
          <w:rFonts w:ascii="Times New Roman" w:hAnsi="Times New Roman" w:cs="Times New Roman"/>
          <w:i/>
          <w:sz w:val="26"/>
          <w:szCs w:val="26"/>
          <w:lang w:val="ro-MO"/>
        </w:rPr>
        <w:t>bitstream</w:t>
      </w:r>
      <w:r w:rsidR="00EB7BA0" w:rsidRPr="00446F65">
        <w:rPr>
          <w:rFonts w:ascii="Times New Roman" w:hAnsi="Times New Roman" w:cs="Times New Roman"/>
          <w:sz w:val="26"/>
          <w:szCs w:val="26"/>
          <w:lang w:val="ro-MO"/>
        </w:rPr>
        <w:t>.</w:t>
      </w:r>
    </w:p>
    <w:p w:rsidR="00EB7BA0" w:rsidRPr="00446F65" w:rsidRDefault="00165F52"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Din punctul de vedere al ofertei posibilităţile de substituibilitate depind de aceleaşi condiţii ca în</w:t>
      </w:r>
      <w:r w:rsidR="000E0871"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cazul substituibilităţii cererii. Astfel, un furnizor de servicii de acces </w:t>
      </w:r>
      <w:r w:rsidR="00433312" w:rsidRPr="00653F5F">
        <w:rPr>
          <w:rFonts w:ascii="Times New Roman" w:hAnsi="Times New Roman" w:cs="Times New Roman"/>
          <w:i/>
          <w:sz w:val="26"/>
          <w:szCs w:val="26"/>
          <w:lang w:val="ro-MO"/>
        </w:rPr>
        <w:t>b</w:t>
      </w:r>
      <w:r w:rsidR="004208F0" w:rsidRPr="00653F5F">
        <w:rPr>
          <w:rFonts w:ascii="Times New Roman" w:hAnsi="Times New Roman" w:cs="Times New Roman"/>
          <w:i/>
          <w:sz w:val="26"/>
          <w:szCs w:val="26"/>
          <w:lang w:val="ro-MO"/>
        </w:rPr>
        <w:t>itstream</w:t>
      </w:r>
      <w:r w:rsidRPr="00653F5F">
        <w:rPr>
          <w:rFonts w:ascii="Times New Roman" w:hAnsi="Times New Roman" w:cs="Times New Roman"/>
          <w:i/>
          <w:sz w:val="26"/>
          <w:szCs w:val="26"/>
          <w:lang w:val="ro-MO"/>
        </w:rPr>
        <w:t xml:space="preserve"> </w:t>
      </w:r>
      <w:r w:rsidRPr="00446F65">
        <w:rPr>
          <w:rFonts w:ascii="Times New Roman" w:hAnsi="Times New Roman" w:cs="Times New Roman"/>
          <w:sz w:val="26"/>
          <w:szCs w:val="26"/>
          <w:lang w:val="ro-MO"/>
        </w:rPr>
        <w:t>va considera</w:t>
      </w:r>
      <w:r w:rsidR="000E0871"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lastRenderedPageBreak/>
        <w:t>substituibil accesul la bucla locală doar dacă acesta deţine toate elementele de reţea necesare</w:t>
      </w:r>
      <w:r w:rsidR="000E0871"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autofurnizării unui serviciu </w:t>
      </w:r>
      <w:r w:rsidR="00C5110A" w:rsidRPr="00446F65">
        <w:rPr>
          <w:rFonts w:ascii="Times New Roman" w:hAnsi="Times New Roman" w:cs="Times New Roman"/>
          <w:sz w:val="26"/>
          <w:szCs w:val="26"/>
          <w:lang w:val="ro-MO"/>
        </w:rPr>
        <w:t>cu ridicata</w:t>
      </w:r>
      <w:r w:rsidR="00841C3C" w:rsidRPr="00446F65">
        <w:rPr>
          <w:rFonts w:ascii="Times New Roman" w:hAnsi="Times New Roman" w:cs="Times New Roman"/>
          <w:sz w:val="26"/>
          <w:szCs w:val="26"/>
          <w:lang w:val="ro-MO"/>
        </w:rPr>
        <w:t xml:space="preserve"> echivalent.</w:t>
      </w:r>
    </w:p>
    <w:p w:rsidR="00B034C7" w:rsidRPr="00446F65" w:rsidRDefault="00E6197E"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 xml:space="preserve">Concluzia ANRCETI: </w:t>
      </w:r>
      <w:r w:rsidRPr="00446F65">
        <w:rPr>
          <w:rFonts w:ascii="Times New Roman" w:hAnsi="Times New Roman" w:cs="Times New Roman"/>
          <w:sz w:val="26"/>
          <w:szCs w:val="26"/>
          <w:lang w:val="ro-MO"/>
        </w:rPr>
        <w:t xml:space="preserve">serviciile de acces la bucla locală şi serviciile </w:t>
      </w:r>
      <w:r w:rsidR="00103D09" w:rsidRPr="00653F5F">
        <w:rPr>
          <w:rFonts w:ascii="Times New Roman" w:hAnsi="Times New Roman" w:cs="Times New Roman"/>
          <w:i/>
          <w:sz w:val="26"/>
          <w:szCs w:val="26"/>
          <w:lang w:val="ro-MO"/>
        </w:rPr>
        <w:t>bitstream</w:t>
      </w:r>
      <w:r w:rsidRPr="00446F65">
        <w:rPr>
          <w:rFonts w:ascii="Times New Roman" w:hAnsi="Times New Roman" w:cs="Times New Roman"/>
          <w:sz w:val="26"/>
          <w:szCs w:val="26"/>
          <w:lang w:val="ro-MO"/>
        </w:rPr>
        <w:t xml:space="preserve"> nu fac parte din aceeaşi piaţă relevantă a produsului.</w:t>
      </w:r>
    </w:p>
    <w:p w:rsidR="00A148C1" w:rsidRPr="00446F65" w:rsidRDefault="00A148C1"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A148C1" w:rsidRPr="00446F65" w:rsidRDefault="008E4979" w:rsidP="00317915">
      <w:pPr>
        <w:pStyle w:val="ListParagraph"/>
        <w:numPr>
          <w:ilvl w:val="0"/>
          <w:numId w:val="14"/>
        </w:numPr>
        <w:spacing w:line="240" w:lineRule="auto"/>
        <w:ind w:left="0" w:firstLine="720"/>
        <w:jc w:val="both"/>
        <w:rPr>
          <w:rFonts w:ascii="Times New Roman" w:eastAsiaTheme="majorEastAsia" w:hAnsi="Times New Roman" w:cs="Times New Roman"/>
          <w:b/>
          <w:bCs/>
          <w:i/>
          <w:iCs/>
          <w:sz w:val="26"/>
          <w:szCs w:val="26"/>
          <w:lang w:val="ro-MO"/>
        </w:rPr>
      </w:pPr>
      <w:r w:rsidRPr="00446F65">
        <w:rPr>
          <w:rFonts w:ascii="Times New Roman" w:eastAsiaTheme="majorEastAsia" w:hAnsi="Times New Roman" w:cs="Times New Roman"/>
          <w:b/>
          <w:bCs/>
          <w:i/>
          <w:iCs/>
          <w:sz w:val="26"/>
          <w:szCs w:val="26"/>
          <w:lang w:val="ro-MO"/>
        </w:rPr>
        <w:t>Analiza măsurii</w:t>
      </w:r>
      <w:r w:rsidR="00595326" w:rsidRPr="00446F65">
        <w:rPr>
          <w:rFonts w:ascii="Times New Roman" w:eastAsiaTheme="majorEastAsia" w:hAnsi="Times New Roman" w:cs="Times New Roman"/>
          <w:b/>
          <w:bCs/>
          <w:i/>
          <w:iCs/>
          <w:sz w:val="26"/>
          <w:szCs w:val="26"/>
          <w:lang w:val="ro-MO"/>
        </w:rPr>
        <w:t xml:space="preserve"> </w:t>
      </w:r>
      <w:r w:rsidRPr="00446F65">
        <w:rPr>
          <w:rFonts w:ascii="Times New Roman" w:eastAsiaTheme="majorEastAsia" w:hAnsi="Times New Roman" w:cs="Times New Roman"/>
          <w:b/>
          <w:bCs/>
          <w:i/>
          <w:iCs/>
          <w:sz w:val="26"/>
          <w:szCs w:val="26"/>
          <w:lang w:val="ro-MO"/>
        </w:rPr>
        <w:t>în</w:t>
      </w:r>
      <w:r w:rsidR="00A148C1" w:rsidRPr="00446F65">
        <w:rPr>
          <w:rFonts w:ascii="Times New Roman" w:eastAsiaTheme="majorEastAsia" w:hAnsi="Times New Roman" w:cs="Times New Roman"/>
          <w:b/>
          <w:bCs/>
          <w:i/>
          <w:iCs/>
          <w:sz w:val="26"/>
          <w:szCs w:val="26"/>
          <w:lang w:val="ro-MO"/>
        </w:rPr>
        <w:t xml:space="preserve"> care serviciile VULA fac parte din aceeaşi piaţă relevantă a produsului.</w:t>
      </w:r>
    </w:p>
    <w:p w:rsidR="003E2C99" w:rsidRPr="00446F65" w:rsidRDefault="003E2C99"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Identificarea produselor care cad sub incidența </w:t>
      </w:r>
      <w:r w:rsidR="00433312" w:rsidRPr="00446F65">
        <w:rPr>
          <w:rFonts w:ascii="Times New Roman" w:hAnsi="Times New Roman" w:cs="Times New Roman"/>
          <w:sz w:val="26"/>
          <w:szCs w:val="26"/>
          <w:lang w:val="ro-MO"/>
        </w:rPr>
        <w:t>p</w:t>
      </w:r>
      <w:r w:rsidRPr="00446F65">
        <w:rPr>
          <w:rFonts w:ascii="Times New Roman" w:hAnsi="Times New Roman" w:cs="Times New Roman"/>
          <w:sz w:val="26"/>
          <w:szCs w:val="26"/>
          <w:lang w:val="ro-MO"/>
        </w:rPr>
        <w:t>ieței WLA trebuie analizată prospectiv. Prin urmare, trebuie să se țină cont la definirea pieței relevante WLA de disponibilitatea produselor de acces în curs de dezvoltare. În special în scenariile PON nu există încă produse de acces fizice cu ridicata la ODF disponibile pentru publicul larg.</w:t>
      </w:r>
    </w:p>
    <w:p w:rsidR="003E2C99" w:rsidRPr="00446F65" w:rsidRDefault="003E2C99"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Cel mai potrivit remediu impus pe piața WLA rămâne accesul fizic la bucla și sub-bucla locală, care asigură solicitanții de acces cu posibilitatea inovării și diferențierii ofertelor acestora cu amănuntul. În situațiile însă în care </w:t>
      </w:r>
      <w:proofErr w:type="spellStart"/>
      <w:r w:rsidRPr="00446F65">
        <w:rPr>
          <w:rFonts w:ascii="Times New Roman" w:hAnsi="Times New Roman" w:cs="Times New Roman"/>
          <w:sz w:val="26"/>
          <w:szCs w:val="26"/>
          <w:lang w:val="ro-MO"/>
        </w:rPr>
        <w:t>degruparea</w:t>
      </w:r>
      <w:proofErr w:type="spellEnd"/>
      <w:r w:rsidRPr="00446F65">
        <w:rPr>
          <w:rFonts w:ascii="Times New Roman" w:hAnsi="Times New Roman" w:cs="Times New Roman"/>
          <w:sz w:val="26"/>
          <w:szCs w:val="26"/>
          <w:lang w:val="ro-MO"/>
        </w:rPr>
        <w:t xml:space="preserve"> fizică a fibrei optice nu este fezabilă tehnic sau economic sau în cazul împiedicării implementării și obținerii beneficiilor oferite de VDSL </w:t>
      </w:r>
      <w:r w:rsidRPr="00653F5F">
        <w:rPr>
          <w:rFonts w:ascii="Times New Roman" w:hAnsi="Times New Roman" w:cs="Times New Roman"/>
          <w:i/>
          <w:sz w:val="26"/>
          <w:szCs w:val="26"/>
          <w:lang w:val="ro-MO"/>
        </w:rPr>
        <w:t>vectoring</w:t>
      </w:r>
      <w:r w:rsidRPr="00446F65">
        <w:rPr>
          <w:rFonts w:ascii="Times New Roman" w:hAnsi="Times New Roman" w:cs="Times New Roman"/>
          <w:sz w:val="26"/>
          <w:szCs w:val="26"/>
          <w:lang w:val="ro-MO"/>
        </w:rPr>
        <w:t>, remediul potrivit și proporțional este accesul virtual</w:t>
      </w:r>
      <w:r w:rsidR="00B422BE" w:rsidRPr="00446F65">
        <w:rPr>
          <w:rFonts w:ascii="Times New Roman" w:hAnsi="Times New Roman" w:cs="Times New Roman"/>
          <w:sz w:val="26"/>
          <w:szCs w:val="26"/>
          <w:lang w:val="ro-MO"/>
        </w:rPr>
        <w:t xml:space="preserve"> (VULA)</w:t>
      </w:r>
      <w:r w:rsidRPr="00446F65">
        <w:rPr>
          <w:rFonts w:ascii="Times New Roman" w:hAnsi="Times New Roman" w:cs="Times New Roman"/>
          <w:sz w:val="26"/>
          <w:szCs w:val="26"/>
          <w:lang w:val="ro-MO"/>
        </w:rPr>
        <w:t>, astfel fără a se aduce prejudicii dezvoltării tehnologice viitoare.</w:t>
      </w:r>
    </w:p>
    <w:p w:rsidR="003E2C99" w:rsidRPr="00446F65" w:rsidRDefault="003E2C99" w:rsidP="00317915">
      <w:pPr>
        <w:spacing w:after="0" w:line="240" w:lineRule="auto"/>
        <w:ind w:firstLine="720"/>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Ținând cont de cele menționate, este potrivit de a fi incluse în </w:t>
      </w:r>
      <w:r w:rsidR="00433312" w:rsidRPr="00446F65">
        <w:rPr>
          <w:rFonts w:ascii="Times New Roman" w:hAnsi="Times New Roman" w:cs="Times New Roman"/>
          <w:sz w:val="26"/>
          <w:szCs w:val="26"/>
          <w:lang w:val="ro-MO"/>
        </w:rPr>
        <w:t>p</w:t>
      </w:r>
      <w:r w:rsidRPr="00446F65">
        <w:rPr>
          <w:rFonts w:ascii="Times New Roman" w:hAnsi="Times New Roman" w:cs="Times New Roman"/>
          <w:sz w:val="26"/>
          <w:szCs w:val="26"/>
          <w:lang w:val="ro-MO"/>
        </w:rPr>
        <w:t xml:space="preserve">iața WLA produsele bazate pe acces non-fizic sau virtual, când acestea prezintă funcționalități echivalente sau comparabile cu cele ale </w:t>
      </w:r>
      <w:proofErr w:type="spellStart"/>
      <w:r w:rsidRPr="00446F65">
        <w:rPr>
          <w:rFonts w:ascii="Times New Roman" w:hAnsi="Times New Roman" w:cs="Times New Roman"/>
          <w:sz w:val="26"/>
          <w:szCs w:val="26"/>
          <w:lang w:val="ro-MO"/>
        </w:rPr>
        <w:t>degrupării</w:t>
      </w:r>
      <w:proofErr w:type="spellEnd"/>
      <w:r w:rsidRPr="00446F65">
        <w:rPr>
          <w:rFonts w:ascii="Times New Roman" w:hAnsi="Times New Roman" w:cs="Times New Roman"/>
          <w:sz w:val="26"/>
          <w:szCs w:val="26"/>
          <w:lang w:val="ro-MO"/>
        </w:rPr>
        <w:t xml:space="preserve"> fizice. </w:t>
      </w:r>
    </w:p>
    <w:p w:rsidR="00B422BE" w:rsidRPr="00446F65" w:rsidRDefault="00E65C48" w:rsidP="00317915">
      <w:pPr>
        <w:spacing w:after="0" w:line="240" w:lineRule="auto"/>
        <w:ind w:firstLine="720"/>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Serviciile </w:t>
      </w:r>
      <w:r w:rsidR="00B422BE" w:rsidRPr="00446F65">
        <w:rPr>
          <w:rFonts w:ascii="Times New Roman" w:hAnsi="Times New Roman" w:cs="Times New Roman"/>
          <w:sz w:val="26"/>
          <w:szCs w:val="26"/>
          <w:lang w:val="ro-MO"/>
        </w:rPr>
        <w:t xml:space="preserve">VULA </w:t>
      </w:r>
      <w:r w:rsidRPr="00446F65">
        <w:rPr>
          <w:rFonts w:ascii="Times New Roman" w:hAnsi="Times New Roman" w:cs="Times New Roman"/>
          <w:sz w:val="26"/>
          <w:szCs w:val="26"/>
          <w:lang w:val="ro-MO"/>
        </w:rPr>
        <w:t>sunt servicii</w:t>
      </w:r>
      <w:r w:rsidR="00B422BE" w:rsidRPr="00446F65">
        <w:rPr>
          <w:rFonts w:ascii="Times New Roman" w:hAnsi="Times New Roman" w:cs="Times New Roman"/>
          <w:sz w:val="26"/>
          <w:szCs w:val="26"/>
          <w:lang w:val="ro-MO"/>
        </w:rPr>
        <w:t xml:space="preserve"> de acces local activ</w:t>
      </w:r>
      <w:r w:rsidRPr="00446F65">
        <w:rPr>
          <w:rFonts w:ascii="Times New Roman" w:hAnsi="Times New Roman" w:cs="Times New Roman"/>
          <w:sz w:val="26"/>
          <w:szCs w:val="26"/>
          <w:lang w:val="ro-MO"/>
        </w:rPr>
        <w:t>e</w:t>
      </w:r>
      <w:r w:rsidR="00B422BE" w:rsidRPr="00446F65">
        <w:rPr>
          <w:rStyle w:val="FootnoteReference"/>
          <w:rFonts w:ascii="Times New Roman" w:hAnsi="Times New Roman" w:cs="Times New Roman"/>
          <w:sz w:val="26"/>
          <w:szCs w:val="26"/>
          <w:lang w:val="ro-MO"/>
        </w:rPr>
        <w:footnoteReference w:id="8"/>
      </w:r>
      <w:r w:rsidR="00BE7199" w:rsidRPr="00446F65">
        <w:rPr>
          <w:rFonts w:ascii="Times New Roman" w:hAnsi="Times New Roman" w:cs="Times New Roman"/>
          <w:sz w:val="26"/>
          <w:szCs w:val="26"/>
          <w:lang w:val="ro-MO"/>
        </w:rPr>
        <w:t xml:space="preserve"> care, similar serviciilor de acces la bucla locală, permit furnizarea unei game de servicii cu ridicata și cu amănuntul. </w:t>
      </w:r>
    </w:p>
    <w:p w:rsidR="003E2C99" w:rsidRPr="00446F65" w:rsidRDefault="003E2C99"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Astfel, produsele de acces cu ridicata non-fizice sau virtuale vor fi incluse în Piața WLA dacă îndeplinesc cumulativ următoarele condiții</w:t>
      </w:r>
      <w:r w:rsidR="00B8257F"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în cazul în care funcționalitățile lor sunt comparabile cu cele ale </w:t>
      </w:r>
      <w:r w:rsidR="008E0CE0" w:rsidRPr="00446F65">
        <w:rPr>
          <w:rFonts w:ascii="Times New Roman" w:hAnsi="Times New Roman" w:cs="Times New Roman"/>
          <w:sz w:val="26"/>
          <w:szCs w:val="26"/>
          <w:lang w:val="ro-MO"/>
        </w:rPr>
        <w:t>accesului la bucla locală</w:t>
      </w:r>
      <w:r w:rsidRPr="00446F65">
        <w:rPr>
          <w:rFonts w:ascii="Times New Roman" w:hAnsi="Times New Roman" w:cs="Times New Roman"/>
          <w:sz w:val="26"/>
          <w:szCs w:val="26"/>
          <w:lang w:val="ro-MO"/>
        </w:rPr>
        <w:t xml:space="preserve"> în ceea ce privește parametrii relevanți pentru solicitanții de acces</w:t>
      </w:r>
      <w:r w:rsidR="00B8257F"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w:t>
      </w:r>
    </w:p>
    <w:p w:rsidR="00A321FE" w:rsidRPr="00446F65" w:rsidRDefault="003E2C99" w:rsidP="00317915">
      <w:pPr>
        <w:pStyle w:val="ListParagraph"/>
        <w:numPr>
          <w:ilvl w:val="0"/>
          <w:numId w:val="16"/>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Accesul are loc la nivel local. Aceasta presupune că traficul este </w:t>
      </w:r>
      <w:r w:rsidR="008E0CE0" w:rsidRPr="00446F65">
        <w:rPr>
          <w:rFonts w:ascii="Times New Roman" w:hAnsi="Times New Roman" w:cs="Times New Roman"/>
          <w:sz w:val="26"/>
          <w:szCs w:val="26"/>
          <w:lang w:val="ro-MO"/>
        </w:rPr>
        <w:t>transferat</w:t>
      </w:r>
      <w:r w:rsidRPr="00446F65">
        <w:rPr>
          <w:rFonts w:ascii="Times New Roman" w:hAnsi="Times New Roman" w:cs="Times New Roman"/>
          <w:sz w:val="26"/>
          <w:szCs w:val="26"/>
          <w:lang w:val="ro-MO"/>
        </w:rPr>
        <w:t xml:space="preserve"> la un nivel mai apropiat de sediul utilizatorului final decât nivelul regional sau național unde de regulă </w:t>
      </w:r>
      <w:r w:rsidR="00A321FE" w:rsidRPr="00446F65">
        <w:rPr>
          <w:rFonts w:ascii="Times New Roman" w:hAnsi="Times New Roman" w:cs="Times New Roman"/>
          <w:sz w:val="26"/>
          <w:szCs w:val="26"/>
          <w:lang w:val="ro-MO"/>
        </w:rPr>
        <w:t xml:space="preserve">este </w:t>
      </w:r>
      <w:r w:rsidRPr="00446F65">
        <w:rPr>
          <w:rFonts w:ascii="Times New Roman" w:hAnsi="Times New Roman" w:cs="Times New Roman"/>
          <w:sz w:val="26"/>
          <w:szCs w:val="26"/>
          <w:lang w:val="ro-MO"/>
        </w:rPr>
        <w:t xml:space="preserve">furnizat accesul tradițional de tip </w:t>
      </w:r>
      <w:r w:rsidRPr="00980A52">
        <w:rPr>
          <w:rFonts w:ascii="Times New Roman" w:hAnsi="Times New Roman" w:cs="Times New Roman"/>
          <w:i/>
          <w:sz w:val="26"/>
          <w:szCs w:val="26"/>
          <w:lang w:val="ro-MO"/>
        </w:rPr>
        <w:t>bitstream</w:t>
      </w:r>
      <w:r w:rsidRPr="00446F65">
        <w:rPr>
          <w:rFonts w:ascii="Times New Roman" w:hAnsi="Times New Roman" w:cs="Times New Roman"/>
          <w:sz w:val="26"/>
          <w:szCs w:val="26"/>
          <w:lang w:val="ro-MO"/>
        </w:rPr>
        <w:t>. Accesul este acordat la sau în apropi</w:t>
      </w:r>
      <w:r w:rsidR="00653F5F">
        <w:rPr>
          <w:rFonts w:ascii="Times New Roman" w:hAnsi="Times New Roman" w:cs="Times New Roman"/>
          <w:sz w:val="26"/>
          <w:szCs w:val="26"/>
          <w:lang w:val="ro-MO"/>
        </w:rPr>
        <w:t>erea oficiului central (</w:t>
      </w:r>
      <w:proofErr w:type="spellStart"/>
      <w:r w:rsidR="00653F5F" w:rsidRPr="00653F5F">
        <w:rPr>
          <w:rFonts w:ascii="Times New Roman" w:hAnsi="Times New Roman" w:cs="Times New Roman"/>
          <w:i/>
          <w:sz w:val="26"/>
          <w:szCs w:val="26"/>
          <w:lang w:val="ro-MO"/>
        </w:rPr>
        <w:t>central</w:t>
      </w:r>
      <w:proofErr w:type="spellEnd"/>
      <w:r w:rsidRPr="00653F5F">
        <w:rPr>
          <w:rFonts w:ascii="Times New Roman" w:hAnsi="Times New Roman" w:cs="Times New Roman"/>
          <w:i/>
          <w:sz w:val="26"/>
          <w:szCs w:val="26"/>
          <w:lang w:val="ro-MO"/>
        </w:rPr>
        <w:t xml:space="preserve"> </w:t>
      </w:r>
      <w:proofErr w:type="spellStart"/>
      <w:r w:rsidRPr="00653F5F">
        <w:rPr>
          <w:rFonts w:ascii="Times New Roman" w:hAnsi="Times New Roman" w:cs="Times New Roman"/>
          <w:i/>
          <w:sz w:val="26"/>
          <w:szCs w:val="26"/>
          <w:lang w:val="ro-MO"/>
        </w:rPr>
        <w:t>office</w:t>
      </w:r>
      <w:proofErr w:type="spellEnd"/>
      <w:r w:rsidRPr="00446F65">
        <w:rPr>
          <w:rFonts w:ascii="Times New Roman" w:hAnsi="Times New Roman" w:cs="Times New Roman"/>
          <w:sz w:val="26"/>
          <w:szCs w:val="26"/>
          <w:lang w:val="ro-MO"/>
        </w:rPr>
        <w:t xml:space="preserve">)/MDF (inclusiv </w:t>
      </w:r>
      <w:proofErr w:type="spellStart"/>
      <w:r w:rsidRPr="00446F65">
        <w:rPr>
          <w:rFonts w:ascii="Times New Roman" w:hAnsi="Times New Roman" w:cs="Times New Roman"/>
          <w:sz w:val="26"/>
          <w:szCs w:val="26"/>
          <w:lang w:val="ro-MO"/>
        </w:rPr>
        <w:t>ODF-ul</w:t>
      </w:r>
      <w:proofErr w:type="spellEnd"/>
      <w:r w:rsidRPr="00446F65">
        <w:rPr>
          <w:rFonts w:ascii="Times New Roman" w:hAnsi="Times New Roman" w:cs="Times New Roman"/>
          <w:sz w:val="26"/>
          <w:szCs w:val="26"/>
          <w:lang w:val="ro-MO"/>
        </w:rPr>
        <w:t xml:space="preserve"> nou construit) sau la cabinetul stradal. </w:t>
      </w:r>
      <w:r w:rsidR="00A321FE" w:rsidRPr="00446F65">
        <w:rPr>
          <w:rFonts w:ascii="Times New Roman" w:hAnsi="Times New Roman" w:cs="Times New Roman"/>
          <w:sz w:val="26"/>
          <w:szCs w:val="26"/>
          <w:lang w:val="ro-MO"/>
        </w:rPr>
        <w:t xml:space="preserve">Cu toate acestea, chiar dacă scopul produselor virtuale este de a replica eficient produsele </w:t>
      </w:r>
      <w:r w:rsidR="008E0CE0" w:rsidRPr="00446F65">
        <w:rPr>
          <w:rFonts w:ascii="Times New Roman" w:hAnsi="Times New Roman" w:cs="Times New Roman"/>
          <w:sz w:val="26"/>
          <w:szCs w:val="26"/>
          <w:lang w:val="ro-MO"/>
        </w:rPr>
        <w:t>de acces la bucla locală</w:t>
      </w:r>
      <w:r w:rsidR="00E53625" w:rsidRPr="00446F65">
        <w:rPr>
          <w:rFonts w:ascii="Times New Roman" w:hAnsi="Times New Roman" w:cs="Times New Roman"/>
          <w:sz w:val="26"/>
          <w:szCs w:val="26"/>
          <w:lang w:val="ro-MO"/>
        </w:rPr>
        <w:t xml:space="preserve">, numărul punctelor de interconectare nu trebuie să fie neapărat echivalent cu numărul de puncte de interconectare a rețelei de cupru. </w:t>
      </w:r>
    </w:p>
    <w:p w:rsidR="003E2C99" w:rsidRPr="00446F65" w:rsidRDefault="001872DD" w:rsidP="00317915">
      <w:pPr>
        <w:pStyle w:val="ListParagraph"/>
        <w:numPr>
          <w:ilvl w:val="0"/>
          <w:numId w:val="16"/>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este generic furnizând solicitanților de acces o capacitate nepartajată</w:t>
      </w:r>
      <w:r w:rsidR="00AD0E48" w:rsidRPr="00446F65">
        <w:rPr>
          <w:rFonts w:ascii="Times New Roman" w:hAnsi="Times New Roman" w:cs="Times New Roman"/>
          <w:sz w:val="26"/>
          <w:szCs w:val="26"/>
          <w:lang w:val="ro-MO"/>
        </w:rPr>
        <w:t xml:space="preserve"> (furnizând solicitanților de acces lățimi de bandă în conformitate cu necesitățile acestora, respectându-se principiul proporționalității, fără a solicita furnizorului cu putere semnificativă de a construi infrastructuri fizice noi). </w:t>
      </w:r>
      <w:r w:rsidR="003E2C99" w:rsidRPr="00446F65">
        <w:rPr>
          <w:rFonts w:ascii="Times New Roman" w:hAnsi="Times New Roman" w:cs="Times New Roman"/>
          <w:sz w:val="26"/>
          <w:szCs w:val="26"/>
          <w:lang w:val="ro-MO"/>
        </w:rPr>
        <w:t xml:space="preserve">Accesul nepartajat solicită în general stabilirea unei conexiuni logice dedicate între echipamentul utilizatorului final și punctul de </w:t>
      </w:r>
      <w:r w:rsidR="008E0CE0" w:rsidRPr="00446F65">
        <w:rPr>
          <w:rFonts w:ascii="Times New Roman" w:hAnsi="Times New Roman" w:cs="Times New Roman"/>
          <w:sz w:val="26"/>
          <w:szCs w:val="26"/>
          <w:lang w:val="ro-MO"/>
        </w:rPr>
        <w:t>transfer</w:t>
      </w:r>
      <w:r w:rsidR="003E2C99" w:rsidRPr="00446F65">
        <w:rPr>
          <w:rFonts w:ascii="Times New Roman" w:hAnsi="Times New Roman" w:cs="Times New Roman"/>
          <w:sz w:val="26"/>
          <w:szCs w:val="26"/>
          <w:lang w:val="ro-MO"/>
        </w:rPr>
        <w:t>. Caracteristicile tehnice ale conexiunii</w:t>
      </w:r>
      <w:r w:rsidR="00AD0E48" w:rsidRPr="00446F65">
        <w:rPr>
          <w:rFonts w:ascii="Times New Roman" w:hAnsi="Times New Roman" w:cs="Times New Roman"/>
          <w:sz w:val="26"/>
          <w:szCs w:val="26"/>
          <w:lang w:val="ro-MO"/>
        </w:rPr>
        <w:t xml:space="preserve"> (serviciul </w:t>
      </w:r>
      <w:r w:rsidR="00AD0E48" w:rsidRPr="00653F5F">
        <w:rPr>
          <w:rFonts w:ascii="Times New Roman" w:hAnsi="Times New Roman" w:cs="Times New Roman"/>
          <w:i/>
          <w:sz w:val="26"/>
          <w:szCs w:val="26"/>
          <w:lang w:val="ro-MO"/>
        </w:rPr>
        <w:t xml:space="preserve">backhaul </w:t>
      </w:r>
      <w:r w:rsidR="00AD0E48" w:rsidRPr="00446F65">
        <w:rPr>
          <w:rFonts w:ascii="Times New Roman" w:hAnsi="Times New Roman" w:cs="Times New Roman"/>
          <w:sz w:val="26"/>
          <w:szCs w:val="26"/>
          <w:lang w:val="ro-MO"/>
        </w:rPr>
        <w:t>care conectează cabinetul stradal cu oficiul central și în special dimensionarea capacităților)</w:t>
      </w:r>
      <w:r w:rsidR="003E2C99" w:rsidRPr="00446F65">
        <w:rPr>
          <w:rFonts w:ascii="Times New Roman" w:hAnsi="Times New Roman" w:cs="Times New Roman"/>
          <w:sz w:val="26"/>
          <w:szCs w:val="26"/>
          <w:lang w:val="ro-MO"/>
        </w:rPr>
        <w:t xml:space="preserve"> trebuie să fie limitate doar de capacitățile inerente de acces ale tehnologiilor implementate</w:t>
      </w:r>
      <w:r w:rsidR="00AD0E48" w:rsidRPr="00446F65">
        <w:rPr>
          <w:rFonts w:ascii="Times New Roman" w:hAnsi="Times New Roman" w:cs="Times New Roman"/>
          <w:sz w:val="26"/>
          <w:szCs w:val="26"/>
          <w:lang w:val="ro-MO"/>
        </w:rPr>
        <w:t xml:space="preserve"> și suportă servicii similare cu </w:t>
      </w:r>
      <w:r w:rsidR="008E0CE0" w:rsidRPr="00446F65">
        <w:rPr>
          <w:rFonts w:ascii="Times New Roman" w:hAnsi="Times New Roman" w:cs="Times New Roman"/>
          <w:sz w:val="26"/>
          <w:szCs w:val="26"/>
          <w:lang w:val="ro-MO"/>
        </w:rPr>
        <w:t>accesul la bucla locală</w:t>
      </w:r>
      <w:r w:rsidR="003E2C99" w:rsidRPr="00446F65">
        <w:rPr>
          <w:rFonts w:ascii="Times New Roman" w:hAnsi="Times New Roman" w:cs="Times New Roman"/>
          <w:sz w:val="26"/>
          <w:szCs w:val="26"/>
          <w:lang w:val="ro-MO"/>
        </w:rPr>
        <w:t>.</w:t>
      </w:r>
    </w:p>
    <w:p w:rsidR="003E2C99" w:rsidRPr="00446F65" w:rsidRDefault="003E2C99" w:rsidP="00317915">
      <w:pPr>
        <w:pStyle w:val="ListParagraph"/>
        <w:numPr>
          <w:ilvl w:val="0"/>
          <w:numId w:val="16"/>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 xml:space="preserve">Solicitantul accesului trebuie să aibă suficient control asupra transmisiunii de rețea ca să </w:t>
      </w:r>
      <w:r w:rsidR="00A00361" w:rsidRPr="00446F65">
        <w:rPr>
          <w:rFonts w:ascii="Times New Roman" w:hAnsi="Times New Roman" w:cs="Times New Roman"/>
          <w:sz w:val="26"/>
          <w:szCs w:val="26"/>
          <w:lang w:val="ro-MO"/>
        </w:rPr>
        <w:t xml:space="preserve">fie </w:t>
      </w:r>
      <w:r w:rsidRPr="00446F65">
        <w:rPr>
          <w:rFonts w:ascii="Times New Roman" w:hAnsi="Times New Roman" w:cs="Times New Roman"/>
          <w:sz w:val="26"/>
          <w:szCs w:val="26"/>
          <w:lang w:val="ro-MO"/>
        </w:rPr>
        <w:t>consider</w:t>
      </w:r>
      <w:r w:rsidR="00A00361" w:rsidRPr="00446F65">
        <w:rPr>
          <w:rFonts w:ascii="Times New Roman" w:hAnsi="Times New Roman" w:cs="Times New Roman"/>
          <w:sz w:val="26"/>
          <w:szCs w:val="26"/>
          <w:lang w:val="ro-MO"/>
        </w:rPr>
        <w:t>at</w:t>
      </w:r>
      <w:r w:rsidRPr="00446F65">
        <w:rPr>
          <w:rFonts w:ascii="Times New Roman" w:hAnsi="Times New Roman" w:cs="Times New Roman"/>
          <w:sz w:val="26"/>
          <w:szCs w:val="26"/>
          <w:lang w:val="ro-MO"/>
        </w:rPr>
        <w:t xml:space="preserve"> acest produs ca substituent funcțional pentru </w:t>
      </w:r>
      <w:r w:rsidR="008E0CE0" w:rsidRPr="00446F65">
        <w:rPr>
          <w:rFonts w:ascii="Times New Roman" w:hAnsi="Times New Roman" w:cs="Times New Roman"/>
          <w:sz w:val="26"/>
          <w:szCs w:val="26"/>
          <w:lang w:val="ro-MO"/>
        </w:rPr>
        <w:t xml:space="preserve">accesul la bucla locală </w:t>
      </w:r>
      <w:r w:rsidRPr="00446F65">
        <w:rPr>
          <w:rFonts w:ascii="Times New Roman" w:hAnsi="Times New Roman" w:cs="Times New Roman"/>
          <w:sz w:val="26"/>
          <w:szCs w:val="26"/>
          <w:lang w:val="ro-MO"/>
        </w:rPr>
        <w:t>și să permită inovarea și diferențierea de către solicitantul de acces a ofertelor sale cu amănuntul</w:t>
      </w:r>
      <w:r w:rsidR="00A00361" w:rsidRPr="00446F65">
        <w:rPr>
          <w:rFonts w:ascii="Times New Roman" w:hAnsi="Times New Roman" w:cs="Times New Roman"/>
          <w:sz w:val="26"/>
          <w:szCs w:val="26"/>
          <w:lang w:val="ro-MO"/>
        </w:rPr>
        <w:t xml:space="preserve"> similar ca în cazul </w:t>
      </w:r>
      <w:r w:rsidR="008E0CE0" w:rsidRPr="00446F65">
        <w:rPr>
          <w:rFonts w:ascii="Times New Roman" w:hAnsi="Times New Roman" w:cs="Times New Roman"/>
          <w:sz w:val="26"/>
          <w:szCs w:val="26"/>
          <w:lang w:val="ro-MO"/>
        </w:rPr>
        <w:t>accesului la bucla locală</w:t>
      </w:r>
      <w:r w:rsidRPr="00446F65">
        <w:rPr>
          <w:rFonts w:ascii="Times New Roman" w:hAnsi="Times New Roman" w:cs="Times New Roman"/>
          <w:sz w:val="26"/>
          <w:szCs w:val="26"/>
          <w:lang w:val="ro-MO"/>
        </w:rPr>
        <w:t>. În acest sens, controlul solicitantului de acces asupra elementelor de bază a rețelei, asupra funcționalităților acesteia, asupra proceselor operaționale și business, la fel ca și asupra sistemelor și serviciilor conexe (cum ar fi echipamentele utilizatorilor finali) trebuie să permită un control suficient asupra specificațiilor serviciilor utilizatorilor finali și calității serviciilor furnizate.</w:t>
      </w:r>
    </w:p>
    <w:p w:rsidR="00B034C7" w:rsidRPr="00446F65" w:rsidRDefault="00E65C48"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Serviciile VULA, care sunt servicii active “</w:t>
      </w:r>
      <w:proofErr w:type="spellStart"/>
      <w:r w:rsidRPr="00980A52">
        <w:rPr>
          <w:rFonts w:ascii="Times New Roman" w:hAnsi="Times New Roman" w:cs="Times New Roman"/>
          <w:i/>
          <w:sz w:val="26"/>
          <w:szCs w:val="26"/>
          <w:lang w:val="ro-MO"/>
        </w:rPr>
        <w:t>Layer</w:t>
      </w:r>
      <w:proofErr w:type="spellEnd"/>
      <w:r w:rsidRPr="00980A52">
        <w:rPr>
          <w:rFonts w:ascii="Times New Roman" w:hAnsi="Times New Roman" w:cs="Times New Roman"/>
          <w:i/>
          <w:sz w:val="26"/>
          <w:szCs w:val="26"/>
          <w:lang w:val="ro-MO"/>
        </w:rPr>
        <w:t xml:space="preserve"> 2</w:t>
      </w:r>
      <w:r w:rsidRPr="00446F65">
        <w:rPr>
          <w:rFonts w:ascii="Times New Roman" w:hAnsi="Times New Roman" w:cs="Times New Roman"/>
          <w:sz w:val="26"/>
          <w:szCs w:val="26"/>
          <w:lang w:val="ro-MO"/>
        </w:rPr>
        <w:t>”</w:t>
      </w:r>
      <w:r w:rsidR="00C30B12" w:rsidRPr="00446F65">
        <w:rPr>
          <w:rStyle w:val="FootnoteReference"/>
          <w:rFonts w:ascii="Times New Roman" w:hAnsi="Times New Roman" w:cs="Times New Roman"/>
          <w:sz w:val="26"/>
          <w:szCs w:val="26"/>
          <w:lang w:val="ro-MO"/>
        </w:rPr>
        <w:footnoteReference w:id="9"/>
      </w:r>
      <w:r w:rsidRPr="00446F65">
        <w:rPr>
          <w:rFonts w:ascii="Times New Roman" w:hAnsi="Times New Roman" w:cs="Times New Roman"/>
          <w:sz w:val="26"/>
          <w:szCs w:val="26"/>
          <w:lang w:val="ro-MO"/>
        </w:rPr>
        <w:t xml:space="preserve"> cu puncte locale de </w:t>
      </w:r>
      <w:r w:rsidR="00244C9F" w:rsidRPr="00446F65">
        <w:rPr>
          <w:rFonts w:ascii="Times New Roman" w:hAnsi="Times New Roman" w:cs="Times New Roman"/>
          <w:sz w:val="26"/>
          <w:szCs w:val="26"/>
          <w:lang w:val="ro-MO"/>
        </w:rPr>
        <w:t>transfer</w:t>
      </w:r>
      <w:r w:rsidRPr="00446F65">
        <w:rPr>
          <w:rFonts w:ascii="Times New Roman" w:hAnsi="Times New Roman" w:cs="Times New Roman"/>
          <w:sz w:val="26"/>
          <w:szCs w:val="26"/>
          <w:lang w:val="ro-MO"/>
        </w:rPr>
        <w:t xml:space="preserve"> (</w:t>
      </w:r>
      <w:proofErr w:type="spellStart"/>
      <w:r w:rsidRPr="00653F5F">
        <w:rPr>
          <w:rFonts w:ascii="Times New Roman" w:hAnsi="Times New Roman" w:cs="Times New Roman"/>
          <w:i/>
          <w:sz w:val="26"/>
          <w:szCs w:val="26"/>
          <w:lang w:val="ro-MO"/>
        </w:rPr>
        <w:t>PoH</w:t>
      </w:r>
      <w:proofErr w:type="spellEnd"/>
      <w:r w:rsidRPr="00653F5F">
        <w:rPr>
          <w:rFonts w:ascii="Times New Roman" w:hAnsi="Times New Roman" w:cs="Times New Roman"/>
          <w:i/>
          <w:sz w:val="26"/>
          <w:szCs w:val="26"/>
          <w:lang w:val="ro-MO"/>
        </w:rPr>
        <w:t xml:space="preserve"> – </w:t>
      </w:r>
      <w:proofErr w:type="spellStart"/>
      <w:r w:rsidRPr="00653F5F">
        <w:rPr>
          <w:rFonts w:ascii="Times New Roman" w:hAnsi="Times New Roman" w:cs="Times New Roman"/>
          <w:i/>
          <w:sz w:val="26"/>
          <w:szCs w:val="26"/>
          <w:lang w:val="ro-MO"/>
        </w:rPr>
        <w:t>points</w:t>
      </w:r>
      <w:proofErr w:type="spellEnd"/>
      <w:r w:rsidRPr="00653F5F">
        <w:rPr>
          <w:rFonts w:ascii="Times New Roman" w:hAnsi="Times New Roman" w:cs="Times New Roman"/>
          <w:i/>
          <w:sz w:val="26"/>
          <w:szCs w:val="26"/>
          <w:lang w:val="ro-MO"/>
        </w:rPr>
        <w:t xml:space="preserve"> of handover)</w:t>
      </w:r>
      <w:r w:rsidRPr="00446F65">
        <w:rPr>
          <w:rFonts w:ascii="Times New Roman" w:hAnsi="Times New Roman" w:cs="Times New Roman"/>
          <w:sz w:val="26"/>
          <w:szCs w:val="26"/>
          <w:lang w:val="ro-MO"/>
        </w:rPr>
        <w:t xml:space="preserve">, au potențialul de a imita accesul necondițional la bucla locală și poate permite furnizorilor solicitanți de a avea un control ridicat asupra serviciilor furnizate. Serviciile VULA permit furnizorilor să reproducă potențialul oferit de accesul necondiționat la bucla locală </w:t>
      </w:r>
      <w:r w:rsidR="00C30B12" w:rsidRPr="00446F65">
        <w:rPr>
          <w:rFonts w:ascii="Times New Roman" w:hAnsi="Times New Roman" w:cs="Times New Roman"/>
          <w:sz w:val="26"/>
          <w:szCs w:val="26"/>
          <w:lang w:val="ro-MO"/>
        </w:rPr>
        <w:t xml:space="preserve">și permit solicitanților de acces de a avea abilitatea să-și diferențieze semnificativ serviciile proprii furnizate </w:t>
      </w:r>
      <w:r w:rsidR="00B8257F" w:rsidRPr="00446F65">
        <w:rPr>
          <w:rFonts w:ascii="Times New Roman" w:hAnsi="Times New Roman" w:cs="Times New Roman"/>
          <w:sz w:val="26"/>
          <w:szCs w:val="26"/>
          <w:lang w:val="ro-MO"/>
        </w:rPr>
        <w:t xml:space="preserve">utilizatorilor finali </w:t>
      </w:r>
      <w:r w:rsidR="00C30B12" w:rsidRPr="00446F65">
        <w:rPr>
          <w:rFonts w:ascii="Times New Roman" w:hAnsi="Times New Roman" w:cs="Times New Roman"/>
          <w:sz w:val="26"/>
          <w:szCs w:val="26"/>
          <w:lang w:val="ro-MO"/>
        </w:rPr>
        <w:t xml:space="preserve">de cele ale furnizorului ofertant. </w:t>
      </w:r>
    </w:p>
    <w:p w:rsidR="00F31969" w:rsidRPr="00446F65" w:rsidRDefault="00F31969"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244C9F" w:rsidRPr="00446F65" w:rsidRDefault="00244C9F"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 xml:space="preserve">Concluzia ANRCETI: </w:t>
      </w:r>
      <w:r w:rsidRPr="00446F65">
        <w:rPr>
          <w:rFonts w:ascii="Times New Roman" w:hAnsi="Times New Roman" w:cs="Times New Roman"/>
          <w:sz w:val="26"/>
          <w:szCs w:val="26"/>
          <w:lang w:val="ro-MO"/>
        </w:rPr>
        <w:t>serviciile VULA fac parte din aceeaşi piaţă relevantă a produsului dacă îndeplinesc cumulativ condițiile descrise mai sus.</w:t>
      </w:r>
    </w:p>
    <w:p w:rsidR="00EF7F91" w:rsidRPr="00446F65" w:rsidRDefault="00EF7F91"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DE3B9E" w:rsidRPr="00446F65" w:rsidRDefault="00DE3B9E" w:rsidP="00317915">
      <w:pPr>
        <w:pStyle w:val="ListParagraph"/>
        <w:numPr>
          <w:ilvl w:val="0"/>
          <w:numId w:val="14"/>
        </w:numPr>
        <w:spacing w:line="240" w:lineRule="auto"/>
        <w:ind w:left="0" w:firstLine="720"/>
        <w:jc w:val="both"/>
        <w:rPr>
          <w:rFonts w:ascii="Times New Roman" w:hAnsi="Times New Roman" w:cs="Times New Roman"/>
          <w:b/>
          <w:i/>
          <w:sz w:val="26"/>
          <w:szCs w:val="26"/>
          <w:lang w:val="ro-MO"/>
        </w:rPr>
      </w:pPr>
      <w:r w:rsidRPr="00446F65">
        <w:rPr>
          <w:rFonts w:ascii="Times New Roman" w:hAnsi="Times New Roman" w:cs="Times New Roman"/>
          <w:b/>
          <w:i/>
          <w:sz w:val="26"/>
          <w:szCs w:val="26"/>
          <w:lang w:val="ro-MO"/>
        </w:rPr>
        <w:t>Analiza oportunităţii includerii în aceeaşi piaţă relevantă a produsului a serviciilor de acces cu ridicata la infrastructura de cablu coaxial</w:t>
      </w:r>
      <w:r w:rsidR="00CC6016" w:rsidRPr="00446F65">
        <w:rPr>
          <w:rFonts w:ascii="Times New Roman" w:hAnsi="Times New Roman" w:cs="Times New Roman"/>
          <w:b/>
          <w:i/>
          <w:sz w:val="26"/>
          <w:szCs w:val="26"/>
          <w:lang w:val="ro-MO"/>
        </w:rPr>
        <w:t xml:space="preserve"> și a serviciilor de acces la bucla locală radio</w:t>
      </w:r>
    </w:p>
    <w:p w:rsidR="00677C42" w:rsidRPr="00446F65" w:rsidRDefault="00DE3B9E"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esenţă, din cauza limitărilor tehnice, reţelele de cablu ale căror bucle locale sunt constituite parţial sau în totalitate pe suport de cablu coaxial nu pot fi accesate într-un mod echivalent</w:t>
      </w:r>
      <w:r w:rsidR="00CC6016" w:rsidRPr="00446F65">
        <w:rPr>
          <w:rFonts w:ascii="Times New Roman" w:hAnsi="Times New Roman" w:cs="Times New Roman"/>
          <w:sz w:val="26"/>
          <w:szCs w:val="26"/>
          <w:lang w:val="ro-MO"/>
        </w:rPr>
        <w:t xml:space="preserve"> cu </w:t>
      </w:r>
      <w:r w:rsidRPr="00446F65">
        <w:rPr>
          <w:rFonts w:ascii="Times New Roman" w:hAnsi="Times New Roman" w:cs="Times New Roman"/>
          <w:sz w:val="26"/>
          <w:szCs w:val="26"/>
          <w:lang w:val="ro-MO"/>
        </w:rPr>
        <w:t xml:space="preserve">produsului focal. </w:t>
      </w:r>
    </w:p>
    <w:p w:rsidR="00677C42" w:rsidRPr="00446F65" w:rsidRDefault="00677C42"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De asemenea serviciile VULA nu sunt la momentul actual (și în orizontul cuprins de prezenta analiză) fezabile din punct de vedere tehnic de a fi furnizate prin rețelele de cablu coaxial. Raționamente cu privire cele menționate mai sus pot fi găsite în Raportul companiei de consultanță </w:t>
      </w:r>
      <w:proofErr w:type="spellStart"/>
      <w:r w:rsidRPr="00980A52">
        <w:rPr>
          <w:rFonts w:ascii="Times New Roman" w:hAnsi="Times New Roman" w:cs="Times New Roman"/>
          <w:i/>
          <w:sz w:val="26"/>
          <w:szCs w:val="26"/>
          <w:lang w:val="ro-MO"/>
        </w:rPr>
        <w:t>WIC-Consult</w:t>
      </w:r>
      <w:proofErr w:type="spellEnd"/>
      <w:r w:rsidRPr="00446F65">
        <w:rPr>
          <w:rFonts w:ascii="Times New Roman" w:hAnsi="Times New Roman" w:cs="Times New Roman"/>
          <w:sz w:val="26"/>
          <w:szCs w:val="26"/>
          <w:lang w:val="ro-MO"/>
        </w:rPr>
        <w:t xml:space="preserve"> cu privire la fezabilitatea tehnică de furnizare a serviciilor cu ridicata de acces de bandă largă prin intermediul infrastructurilor de cablu TV</w:t>
      </w:r>
      <w:r w:rsidRPr="00446F65">
        <w:rPr>
          <w:rStyle w:val="FootnoteReference"/>
          <w:rFonts w:ascii="Times New Roman" w:hAnsi="Times New Roman" w:cs="Times New Roman"/>
          <w:sz w:val="26"/>
          <w:szCs w:val="26"/>
          <w:lang w:val="ro-MO"/>
        </w:rPr>
        <w:footnoteReference w:id="10"/>
      </w:r>
      <w:r w:rsidR="009771C6"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w:t>
      </w:r>
    </w:p>
    <w:p w:rsidR="00431F9D" w:rsidRPr="00446F65" w:rsidRDefault="00430F8F"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afară că nu este fezabil tehnic, solicitanții de acces ar suporta costuri semnificative în cazul migrării de la serviciile procurate de pe piața WLA de la un furnizor de rețea de cupru sau fibră optică la servicii ipotetice VULA ale unui furnizor de cablu coaxial (</w:t>
      </w:r>
      <w:r w:rsidR="004D0910" w:rsidRPr="00446F65">
        <w:rPr>
          <w:rFonts w:ascii="Times New Roman" w:hAnsi="Times New Roman" w:cs="Times New Roman"/>
          <w:sz w:val="26"/>
          <w:szCs w:val="26"/>
          <w:lang w:val="ro-MO"/>
        </w:rPr>
        <w:t>spre exemplu costuri legate de interconectarea cu punctele locale de transmisiuni, costuri legate de migrarea utilizatorilor finali către platforme de cablu coaxial</w:t>
      </w:r>
      <w:r w:rsidRPr="00446F65">
        <w:rPr>
          <w:rFonts w:ascii="Times New Roman" w:hAnsi="Times New Roman" w:cs="Times New Roman"/>
          <w:sz w:val="26"/>
          <w:szCs w:val="26"/>
          <w:lang w:val="ro-MO"/>
        </w:rPr>
        <w:t>)</w:t>
      </w:r>
      <w:r w:rsidR="004D0910" w:rsidRPr="00446F65">
        <w:rPr>
          <w:rFonts w:ascii="Times New Roman" w:hAnsi="Times New Roman" w:cs="Times New Roman"/>
          <w:sz w:val="26"/>
          <w:szCs w:val="26"/>
          <w:lang w:val="ro-MO"/>
        </w:rPr>
        <w:t xml:space="preserve">. Mai mult, migrarea către servicii de acces furnizate prin cablu coaxial ar putea implica blocarea investițiilor deja efectuate în </w:t>
      </w:r>
      <w:r w:rsidR="004D0910" w:rsidRPr="00653F5F">
        <w:rPr>
          <w:rFonts w:ascii="Times New Roman" w:hAnsi="Times New Roman" w:cs="Times New Roman"/>
          <w:i/>
          <w:sz w:val="26"/>
          <w:szCs w:val="26"/>
          <w:lang w:val="ro-MO"/>
        </w:rPr>
        <w:t>backhaul</w:t>
      </w:r>
      <w:r w:rsidR="004D0910" w:rsidRPr="00446F65">
        <w:rPr>
          <w:rFonts w:ascii="Times New Roman" w:hAnsi="Times New Roman" w:cs="Times New Roman"/>
          <w:sz w:val="26"/>
          <w:szCs w:val="26"/>
          <w:lang w:val="ro-MO"/>
        </w:rPr>
        <w:t xml:space="preserve"> și echipamentele asociate. De asemenea, solicitanții de acces ar putea fi nevoiți să-și schimbe sistemele IT și sistemele de plasare a comenzilor</w:t>
      </w:r>
      <w:r w:rsidR="002B4FFC" w:rsidRPr="00446F65">
        <w:rPr>
          <w:rFonts w:ascii="Times New Roman" w:hAnsi="Times New Roman" w:cs="Times New Roman"/>
          <w:sz w:val="26"/>
          <w:szCs w:val="26"/>
          <w:lang w:val="ro-MO"/>
        </w:rPr>
        <w:t xml:space="preserve"> pentru a le putea integra cu cele ale furnizorului de servicii de acces furnizate prin cablu coaxial.</w:t>
      </w:r>
    </w:p>
    <w:p w:rsidR="002B4FFC" w:rsidRPr="00446F65" w:rsidRDefault="002B4FFC"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Solicitanții de acces care furnizează servicii cu amănuntul vor fi nevoiți să schimbe echipamente de la sediul clientului (cum ar fi modemele) cu echipamente specifice pentru rețele de cablu coaxial. </w:t>
      </w:r>
    </w:p>
    <w:p w:rsidR="002B4FFC" w:rsidRPr="00446F65" w:rsidRDefault="002B4FFC"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Ca rezultat, din cauza inexistenţei unui produs echivalent, buclele locale de cablu coaxial nu pot impune o constrângere directă asupra produsului focal.</w:t>
      </w:r>
    </w:p>
    <w:p w:rsidR="002B4FFC" w:rsidRPr="00446F65" w:rsidRDefault="002B4FFC"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CC6016" w:rsidRPr="00446F65" w:rsidRDefault="00CC6016"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Serviciile de acces la internet în pot fi furnizate şi prin intermediul reţelelor radio, respectiv al sistemelor de acces la puncte fixe pe suport radio (</w:t>
      </w:r>
      <w:r w:rsidR="000A20E8" w:rsidRPr="00446F65">
        <w:rPr>
          <w:rFonts w:ascii="Times New Roman" w:hAnsi="Times New Roman" w:cs="Times New Roman"/>
          <w:sz w:val="26"/>
          <w:szCs w:val="26"/>
          <w:lang w:val="ro-MO"/>
        </w:rPr>
        <w:t>rețele fixe fără fir</w:t>
      </w:r>
      <w:r w:rsidRPr="00446F65">
        <w:rPr>
          <w:rFonts w:ascii="Times New Roman" w:hAnsi="Times New Roman" w:cs="Times New Roman"/>
          <w:sz w:val="26"/>
          <w:szCs w:val="26"/>
          <w:lang w:val="ro-MO"/>
        </w:rPr>
        <w:t xml:space="preserve">) şi al reţelelor mobile </w:t>
      </w:r>
      <w:r w:rsidR="000A20E8"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3G/LTE</w:t>
      </w:r>
      <w:r w:rsidR="000A20E8"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Din cauza limitărilor tehnice, la fel ca în cazul reţelelor de cablu coaxial, reţelele radio nu pot fi accesate într-un mod echivalent cu produsului focal.</w:t>
      </w:r>
    </w:p>
    <w:p w:rsidR="00CC6016" w:rsidRPr="00446F65" w:rsidRDefault="00CC6016"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pasiv precum accesul furnizorilor alternativi la bucla locală de cupru sau fibră optică oferă acestora o mai mare libertate în ceea ce priveşte serviciile propuse utilizatorilor finali şi modalităţile de tarifare. Furnizorul alternativ administrează ansamblul elementelor active ale reţelei care permit furnizarea serviciului utilizatorului final. Acesta dispune astfel de o capacitate mare de inovare şi de diferenţiere, aspect important pentru pieţele cu evoluţie rapidă</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precum pieţele de</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servicii de comunicaţii electronice în bandă</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largă. În cazul sistemelor de acces la puncte fixe pe suport</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radio (</w:t>
      </w:r>
      <w:r w:rsidR="000A20E8" w:rsidRPr="00446F65">
        <w:rPr>
          <w:rFonts w:ascii="Times New Roman" w:hAnsi="Times New Roman" w:cs="Times New Roman"/>
          <w:sz w:val="26"/>
          <w:szCs w:val="26"/>
          <w:lang w:val="ro-MO"/>
        </w:rPr>
        <w:t>fixe fără fir</w:t>
      </w:r>
      <w:r w:rsidRPr="00446F65">
        <w:rPr>
          <w:rFonts w:ascii="Times New Roman" w:hAnsi="Times New Roman" w:cs="Times New Roman"/>
          <w:sz w:val="26"/>
          <w:szCs w:val="26"/>
          <w:lang w:val="ro-MO"/>
        </w:rPr>
        <w:t>) şi al reţelelor mobile</w:t>
      </w:r>
      <w:r w:rsidR="00F64A57" w:rsidRPr="00446F65">
        <w:rPr>
          <w:rFonts w:ascii="Times New Roman" w:hAnsi="Times New Roman" w:cs="Times New Roman"/>
          <w:sz w:val="26"/>
          <w:szCs w:val="26"/>
          <w:lang w:val="ro-MO"/>
        </w:rPr>
        <w:t xml:space="preserve"> </w:t>
      </w:r>
      <w:r w:rsidR="000A20E8"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3G/LTE</w:t>
      </w:r>
      <w:r w:rsidR="000A20E8"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ofertele de acces în bandă</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largă</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sunt active, </w:t>
      </w:r>
      <w:r w:rsidR="00F64A57" w:rsidRPr="00446F65">
        <w:rPr>
          <w:rFonts w:ascii="Times New Roman" w:hAnsi="Times New Roman" w:cs="Times New Roman"/>
          <w:sz w:val="26"/>
          <w:szCs w:val="26"/>
          <w:lang w:val="ro-MO"/>
        </w:rPr>
        <w:t>furnizorii</w:t>
      </w:r>
      <w:r w:rsidRPr="00446F65">
        <w:rPr>
          <w:rFonts w:ascii="Times New Roman" w:hAnsi="Times New Roman" w:cs="Times New Roman"/>
          <w:sz w:val="26"/>
          <w:szCs w:val="26"/>
          <w:lang w:val="ro-MO"/>
        </w:rPr>
        <w:t xml:space="preserve"> alternativi fiind dependenţi de alegerea</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tehnică</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făcută</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de </w:t>
      </w:r>
      <w:r w:rsidR="00F64A57" w:rsidRPr="00446F65">
        <w:rPr>
          <w:rFonts w:ascii="Times New Roman" w:hAnsi="Times New Roman" w:cs="Times New Roman"/>
          <w:sz w:val="26"/>
          <w:szCs w:val="26"/>
          <w:lang w:val="ro-MO"/>
        </w:rPr>
        <w:t>furnizorul</w:t>
      </w:r>
      <w:r w:rsidRPr="00446F65">
        <w:rPr>
          <w:rFonts w:ascii="Times New Roman" w:hAnsi="Times New Roman" w:cs="Times New Roman"/>
          <w:sz w:val="26"/>
          <w:szCs w:val="26"/>
          <w:lang w:val="ro-MO"/>
        </w:rPr>
        <w:t xml:space="preserve"> reţelei de acces şi având o capacitate mai mică</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de a-şi diferenţia oferta cu</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amănuntul. În consecinţă, din cauza inexistenţei unui produs echivalent, reţelele radio nu pot impune o</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constrângere directă</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asupra accesului la bucla locală</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pe suport de cupru şi de fibră</w:t>
      </w:r>
      <w:r w:rsidR="00F64A5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optică</w:t>
      </w:r>
      <w:r w:rsidR="00F64A57" w:rsidRPr="00446F65">
        <w:rPr>
          <w:rFonts w:ascii="Times New Roman" w:hAnsi="Times New Roman" w:cs="Times New Roman"/>
          <w:sz w:val="26"/>
          <w:szCs w:val="26"/>
          <w:lang w:val="ro-MO"/>
        </w:rPr>
        <w:t>.</w:t>
      </w:r>
    </w:p>
    <w:p w:rsidR="00F64A57" w:rsidRPr="00446F65" w:rsidRDefault="000A20E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Concluzie:</w:t>
      </w:r>
      <w:r w:rsidRPr="00446F65">
        <w:rPr>
          <w:rFonts w:ascii="Times New Roman" w:hAnsi="Times New Roman" w:cs="Times New Roman"/>
          <w:sz w:val="26"/>
          <w:szCs w:val="26"/>
          <w:lang w:val="ro-MO"/>
        </w:rPr>
        <w:t xml:space="preserve"> </w:t>
      </w:r>
      <w:r w:rsidR="003102EA" w:rsidRPr="00446F65">
        <w:rPr>
          <w:rFonts w:ascii="Times New Roman" w:hAnsi="Times New Roman" w:cs="Times New Roman"/>
          <w:sz w:val="26"/>
          <w:szCs w:val="26"/>
          <w:lang w:val="ro-MO"/>
        </w:rPr>
        <w:t>Ținând cont de cele menționate</w:t>
      </w:r>
      <w:r w:rsidR="00F64A57" w:rsidRPr="00446F65">
        <w:rPr>
          <w:rFonts w:ascii="Times New Roman" w:hAnsi="Times New Roman" w:cs="Times New Roman"/>
          <w:sz w:val="26"/>
          <w:szCs w:val="26"/>
          <w:lang w:val="ro-MO"/>
        </w:rPr>
        <w:t xml:space="preserve">, ANRCETI consideră că serviciile de acces la bucla de cablu coaxial </w:t>
      </w:r>
      <w:r w:rsidR="003102EA" w:rsidRPr="00446F65">
        <w:rPr>
          <w:rFonts w:ascii="Times New Roman" w:hAnsi="Times New Roman" w:cs="Times New Roman"/>
          <w:sz w:val="26"/>
          <w:szCs w:val="26"/>
          <w:lang w:val="ro-MO"/>
        </w:rPr>
        <w:t xml:space="preserve">şi prin intermediul reţelelor radio </w:t>
      </w:r>
      <w:r w:rsidR="00F64A57" w:rsidRPr="00446F65">
        <w:rPr>
          <w:rFonts w:ascii="Times New Roman" w:hAnsi="Times New Roman" w:cs="Times New Roman"/>
          <w:sz w:val="26"/>
          <w:szCs w:val="26"/>
          <w:lang w:val="ro-MO"/>
        </w:rPr>
        <w:t>nu pot fi incluse în aceeaşi piaţă relevantă a produsului cu serviciile de acces la bucla locală pe suport de cupru și de fibră optică.</w:t>
      </w:r>
    </w:p>
    <w:p w:rsidR="006A117C" w:rsidRPr="00446F65" w:rsidRDefault="006A117C"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CC6016" w:rsidRPr="00446F65" w:rsidRDefault="00F6354E" w:rsidP="00317915">
      <w:pPr>
        <w:pStyle w:val="ListParagraph"/>
        <w:numPr>
          <w:ilvl w:val="0"/>
          <w:numId w:val="14"/>
        </w:numPr>
        <w:spacing w:after="0" w:line="240" w:lineRule="auto"/>
        <w:ind w:left="0" w:firstLine="720"/>
        <w:jc w:val="both"/>
        <w:rPr>
          <w:rFonts w:ascii="Times New Roman" w:hAnsi="Times New Roman" w:cs="Times New Roman"/>
          <w:b/>
          <w:i/>
          <w:sz w:val="26"/>
          <w:szCs w:val="26"/>
          <w:lang w:val="ro-MO"/>
        </w:rPr>
      </w:pPr>
      <w:r w:rsidRPr="00446F65">
        <w:rPr>
          <w:rFonts w:ascii="Times New Roman" w:hAnsi="Times New Roman" w:cs="Times New Roman"/>
          <w:b/>
          <w:i/>
          <w:sz w:val="26"/>
          <w:szCs w:val="26"/>
          <w:lang w:val="ro-MO"/>
        </w:rPr>
        <w:t xml:space="preserve">Analiza includerii serviciilor </w:t>
      </w:r>
      <w:r w:rsidR="000A20E8" w:rsidRPr="00446F65">
        <w:rPr>
          <w:rFonts w:ascii="Times New Roman" w:hAnsi="Times New Roman" w:cs="Times New Roman"/>
          <w:b/>
          <w:i/>
          <w:sz w:val="26"/>
          <w:szCs w:val="26"/>
          <w:lang w:val="ro-MO"/>
        </w:rPr>
        <w:t xml:space="preserve">de acces </w:t>
      </w:r>
      <w:r w:rsidRPr="00446F65">
        <w:rPr>
          <w:rFonts w:ascii="Times New Roman" w:hAnsi="Times New Roman" w:cs="Times New Roman"/>
          <w:b/>
          <w:i/>
          <w:sz w:val="26"/>
          <w:szCs w:val="26"/>
          <w:lang w:val="ro-MO"/>
        </w:rPr>
        <w:t>auto-furnizate în piaţa relevantă a produsului</w:t>
      </w:r>
    </w:p>
    <w:p w:rsidR="000A20E8" w:rsidRPr="00446F65" w:rsidRDefault="009F38A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w:t>
      </w:r>
      <w:r w:rsidR="00F6354E" w:rsidRPr="00446F65">
        <w:rPr>
          <w:rFonts w:ascii="Times New Roman" w:hAnsi="Times New Roman" w:cs="Times New Roman"/>
          <w:sz w:val="26"/>
          <w:szCs w:val="26"/>
          <w:lang w:val="ro-MO"/>
        </w:rPr>
        <w:t xml:space="preserve">n absenţa unor măsuri de reglementare </w:t>
      </w:r>
      <w:r w:rsidR="00F6354E" w:rsidRPr="00446F65">
        <w:rPr>
          <w:rFonts w:ascii="Times New Roman" w:hAnsi="Times New Roman" w:cs="Times New Roman"/>
          <w:i/>
          <w:sz w:val="26"/>
          <w:szCs w:val="26"/>
          <w:lang w:val="ro-MO"/>
        </w:rPr>
        <w:t>ex ante</w:t>
      </w:r>
      <w:r w:rsidR="00F6354E" w:rsidRPr="00446F65">
        <w:rPr>
          <w:rFonts w:ascii="Times New Roman" w:hAnsi="Times New Roman" w:cs="Times New Roman"/>
          <w:sz w:val="26"/>
          <w:szCs w:val="26"/>
          <w:lang w:val="ro-MO"/>
        </w:rPr>
        <w:t xml:space="preserve"> la nivelul pieţei cu ridicata, accesul necondiţionat la bucla locală nu ar fi furnizat în mod obişnuit, singurele servicii disponibile ar fi serviciile auto-furnizate. În prezent, furnizorii de reţele de acces îşi auto-furnizează serviciile de acces la bucla locală din cupru, fibră optică, cablu coaxial sau radio, pentru a asigura furnizarea de servicii de telefonie şi, respectiv, de servicii de acces la </w:t>
      </w:r>
      <w:r w:rsidR="000A20E8" w:rsidRPr="00446F65">
        <w:rPr>
          <w:rFonts w:ascii="Times New Roman" w:hAnsi="Times New Roman" w:cs="Times New Roman"/>
          <w:sz w:val="26"/>
          <w:szCs w:val="26"/>
          <w:lang w:val="ro-MO"/>
        </w:rPr>
        <w:t>I</w:t>
      </w:r>
      <w:r w:rsidR="00F6354E" w:rsidRPr="00446F65">
        <w:rPr>
          <w:rFonts w:ascii="Times New Roman" w:hAnsi="Times New Roman" w:cs="Times New Roman"/>
          <w:sz w:val="26"/>
          <w:szCs w:val="26"/>
          <w:lang w:val="ro-MO"/>
        </w:rPr>
        <w:t xml:space="preserve">nternet în bandă largă pe piaţa cu amănuntul. Acest fapt creează constrângeri concurenţiale indirecte asupra serviciilor de acces la bucla locală. </w:t>
      </w:r>
    </w:p>
    <w:p w:rsidR="00CC6016" w:rsidRPr="00446F65" w:rsidRDefault="00F6354E"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Prin urmare, </w:t>
      </w:r>
      <w:r w:rsidRPr="00446F65">
        <w:rPr>
          <w:rFonts w:ascii="Times New Roman" w:hAnsi="Times New Roman" w:cs="Times New Roman"/>
          <w:b/>
          <w:sz w:val="26"/>
          <w:szCs w:val="26"/>
          <w:lang w:val="ro-MO"/>
        </w:rPr>
        <w:t>concluzia ANRCETI</w:t>
      </w:r>
      <w:r w:rsidRPr="00446F65">
        <w:rPr>
          <w:rFonts w:ascii="Times New Roman" w:hAnsi="Times New Roman" w:cs="Times New Roman"/>
          <w:sz w:val="26"/>
          <w:szCs w:val="26"/>
          <w:lang w:val="ro-MO"/>
        </w:rPr>
        <w:t xml:space="preserve"> este că includerea în piaţa relevantă a produsului a serviciilor de acces la bucla locală pentru propria activitate pe piaţa cu amănuntul este necesară, cu excepția serviciilor de acces la bucla locală radio și la bucla locală de cablu coaxial auto-furnizate, ca urmare a imposibilităţii </w:t>
      </w:r>
      <w:proofErr w:type="spellStart"/>
      <w:r w:rsidRPr="00446F65">
        <w:rPr>
          <w:rFonts w:ascii="Times New Roman" w:hAnsi="Times New Roman" w:cs="Times New Roman"/>
          <w:sz w:val="26"/>
          <w:szCs w:val="26"/>
          <w:lang w:val="ro-MO"/>
        </w:rPr>
        <w:t>degrupării</w:t>
      </w:r>
      <w:proofErr w:type="spellEnd"/>
      <w:r w:rsidRPr="00446F65">
        <w:rPr>
          <w:rFonts w:ascii="Times New Roman" w:hAnsi="Times New Roman" w:cs="Times New Roman"/>
          <w:sz w:val="26"/>
          <w:szCs w:val="26"/>
          <w:lang w:val="ro-MO"/>
        </w:rPr>
        <w:t>, din punct de vedere tehnic.</w:t>
      </w:r>
    </w:p>
    <w:p w:rsidR="00F6354E" w:rsidRPr="00446F65" w:rsidRDefault="00F6354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261754" w:rsidRPr="00446F65" w:rsidRDefault="00392BB5" w:rsidP="00317915">
      <w:pPr>
        <w:pStyle w:val="Heading5"/>
        <w:spacing w:line="240" w:lineRule="auto"/>
        <w:ind w:firstLine="720"/>
        <w:rPr>
          <w:rFonts w:ascii="Times New Roman" w:hAnsi="Times New Roman" w:cs="Times New Roman"/>
          <w:b/>
          <w:color w:val="auto"/>
          <w:sz w:val="26"/>
          <w:szCs w:val="26"/>
          <w:lang w:val="ro-MO"/>
        </w:rPr>
      </w:pPr>
      <w:bookmarkStart w:id="15" w:name="_Toc492907374"/>
      <w:r w:rsidRPr="00446F65">
        <w:rPr>
          <w:rFonts w:ascii="Times New Roman" w:eastAsiaTheme="minorHAnsi" w:hAnsi="Times New Roman" w:cs="Times New Roman"/>
          <w:b/>
          <w:color w:val="auto"/>
          <w:sz w:val="26"/>
          <w:szCs w:val="26"/>
          <w:lang w:val="ro-MO"/>
        </w:rPr>
        <w:t>3.1.</w:t>
      </w:r>
      <w:r w:rsidR="00720375" w:rsidRPr="00446F65">
        <w:rPr>
          <w:rFonts w:ascii="Times New Roman" w:hAnsi="Times New Roman" w:cs="Times New Roman"/>
          <w:b/>
          <w:color w:val="auto"/>
          <w:sz w:val="26"/>
          <w:szCs w:val="26"/>
          <w:lang w:val="ro-MO"/>
        </w:rPr>
        <w:t>1.3</w:t>
      </w:r>
      <w:r w:rsidR="00261754" w:rsidRPr="00446F65">
        <w:rPr>
          <w:rFonts w:ascii="Times New Roman" w:hAnsi="Times New Roman" w:cs="Times New Roman"/>
          <w:b/>
          <w:color w:val="auto"/>
          <w:sz w:val="26"/>
          <w:szCs w:val="26"/>
          <w:lang w:val="ro-MO"/>
        </w:rPr>
        <w:t xml:space="preserve">  Sumarul analizei pieţei produsului</w:t>
      </w:r>
      <w:bookmarkEnd w:id="15"/>
      <w:r w:rsidR="00261754" w:rsidRPr="00446F65">
        <w:rPr>
          <w:rFonts w:ascii="Times New Roman" w:hAnsi="Times New Roman" w:cs="Times New Roman"/>
          <w:b/>
          <w:color w:val="auto"/>
          <w:sz w:val="26"/>
          <w:szCs w:val="26"/>
          <w:lang w:val="ro-MO"/>
        </w:rPr>
        <w:t xml:space="preserve"> </w:t>
      </w:r>
    </w:p>
    <w:p w:rsidR="00720375" w:rsidRPr="00446F65" w:rsidRDefault="00720375" w:rsidP="00317915">
      <w:pPr>
        <w:spacing w:after="0" w:line="240" w:lineRule="auto"/>
        <w:rPr>
          <w:rFonts w:ascii="Times New Roman" w:hAnsi="Times New Roman" w:cs="Times New Roman"/>
          <w:sz w:val="26"/>
          <w:szCs w:val="26"/>
          <w:lang w:val="ro-MO"/>
        </w:rPr>
      </w:pPr>
    </w:p>
    <w:p w:rsidR="00261754" w:rsidRPr="00446F65" w:rsidRDefault="00261754"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a identificat că produsul focal </w:t>
      </w:r>
      <w:r w:rsidR="00E700AC" w:rsidRPr="00446F65">
        <w:rPr>
          <w:rFonts w:ascii="Times New Roman" w:hAnsi="Times New Roman" w:cs="Times New Roman"/>
          <w:sz w:val="26"/>
          <w:szCs w:val="26"/>
          <w:lang w:val="ro-MO"/>
        </w:rPr>
        <w:t xml:space="preserve">pentru Piața WLA </w:t>
      </w:r>
      <w:r w:rsidR="00D72FE2" w:rsidRPr="00446F65">
        <w:rPr>
          <w:rFonts w:ascii="Times New Roman" w:hAnsi="Times New Roman" w:cs="Times New Roman"/>
          <w:sz w:val="26"/>
          <w:szCs w:val="26"/>
          <w:lang w:val="ro-MO"/>
        </w:rPr>
        <w:t xml:space="preserve">este </w:t>
      </w:r>
      <w:r w:rsidR="00D72FE2" w:rsidRPr="00446F65">
        <w:rPr>
          <w:rFonts w:ascii="Times New Roman" w:hAnsi="Times New Roman" w:cs="Times New Roman"/>
          <w:b/>
          <w:i/>
          <w:sz w:val="26"/>
          <w:szCs w:val="26"/>
          <w:lang w:val="ro-MO"/>
        </w:rPr>
        <w:t>serviciul de acces la buclele</w:t>
      </w:r>
      <w:r w:rsidR="007421C8" w:rsidRPr="00446F65">
        <w:rPr>
          <w:rFonts w:ascii="Times New Roman" w:hAnsi="Times New Roman" w:cs="Times New Roman"/>
          <w:b/>
          <w:i/>
          <w:sz w:val="26"/>
          <w:szCs w:val="26"/>
          <w:lang w:val="ro-MO"/>
        </w:rPr>
        <w:t xml:space="preserve"> </w:t>
      </w:r>
      <w:r w:rsidR="00D72FE2" w:rsidRPr="00446F65">
        <w:rPr>
          <w:rFonts w:ascii="Times New Roman" w:hAnsi="Times New Roman" w:cs="Times New Roman"/>
          <w:b/>
          <w:i/>
          <w:sz w:val="26"/>
          <w:szCs w:val="26"/>
          <w:lang w:val="ro-MO"/>
        </w:rPr>
        <w:t>locale din cupru</w:t>
      </w:r>
      <w:r w:rsidR="00552211" w:rsidRPr="00446F65">
        <w:rPr>
          <w:rFonts w:ascii="Times New Roman" w:hAnsi="Times New Roman" w:cs="Times New Roman"/>
          <w:b/>
          <w:i/>
          <w:sz w:val="26"/>
          <w:szCs w:val="26"/>
          <w:lang w:val="ro-MO"/>
        </w:rPr>
        <w:t xml:space="preserve"> și cele bazate pe fibră optică</w:t>
      </w:r>
      <w:r w:rsidRPr="00446F65">
        <w:rPr>
          <w:rFonts w:ascii="Times New Roman" w:hAnsi="Times New Roman" w:cs="Times New Roman"/>
          <w:sz w:val="26"/>
          <w:szCs w:val="26"/>
          <w:lang w:val="ro-MO"/>
        </w:rPr>
        <w:t xml:space="preserve">. </w:t>
      </w:r>
    </w:p>
    <w:p w:rsidR="00552211" w:rsidRPr="00446F65" w:rsidRDefault="00261754"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Aplicarea testului monopolistului ipotetic </w:t>
      </w:r>
      <w:r w:rsidR="00552211" w:rsidRPr="00446F65">
        <w:rPr>
          <w:rFonts w:ascii="Times New Roman" w:hAnsi="Times New Roman" w:cs="Times New Roman"/>
          <w:sz w:val="26"/>
          <w:szCs w:val="26"/>
          <w:lang w:val="ro-MO"/>
        </w:rPr>
        <w:t xml:space="preserve">a </w:t>
      </w:r>
      <w:r w:rsidR="003E2C99" w:rsidRPr="00446F65">
        <w:rPr>
          <w:rFonts w:ascii="Times New Roman" w:hAnsi="Times New Roman" w:cs="Times New Roman"/>
          <w:sz w:val="26"/>
          <w:szCs w:val="26"/>
          <w:lang w:val="ro-MO"/>
        </w:rPr>
        <w:t xml:space="preserve">indica </w:t>
      </w:r>
      <w:r w:rsidRPr="00446F65">
        <w:rPr>
          <w:rFonts w:ascii="Times New Roman" w:hAnsi="Times New Roman" w:cs="Times New Roman"/>
          <w:sz w:val="26"/>
          <w:szCs w:val="26"/>
          <w:lang w:val="ro-MO"/>
        </w:rPr>
        <w:t xml:space="preserve">asupra </w:t>
      </w:r>
      <w:r w:rsidR="002E2AE6" w:rsidRPr="00446F65">
        <w:rPr>
          <w:rFonts w:ascii="Times New Roman" w:hAnsi="Times New Roman" w:cs="Times New Roman"/>
          <w:sz w:val="26"/>
          <w:szCs w:val="26"/>
          <w:lang w:val="ro-MO"/>
        </w:rPr>
        <w:t>următoarelor produse</w:t>
      </w:r>
      <w:r w:rsidR="00552211" w:rsidRPr="00446F65">
        <w:rPr>
          <w:rFonts w:ascii="Times New Roman" w:hAnsi="Times New Roman" w:cs="Times New Roman"/>
          <w:sz w:val="26"/>
          <w:szCs w:val="26"/>
          <w:lang w:val="ro-MO"/>
        </w:rPr>
        <w:t xml:space="preserve"> substituente produsului focal</w:t>
      </w:r>
      <w:r w:rsidR="002E2AE6" w:rsidRPr="00446F65">
        <w:rPr>
          <w:rFonts w:ascii="Times New Roman" w:hAnsi="Times New Roman" w:cs="Times New Roman"/>
          <w:sz w:val="26"/>
          <w:szCs w:val="26"/>
          <w:lang w:val="ro-MO"/>
        </w:rPr>
        <w:t>:</w:t>
      </w:r>
    </w:p>
    <w:p w:rsidR="002E2AE6" w:rsidRPr="00446F65" w:rsidRDefault="002E2AE6" w:rsidP="00317915">
      <w:pPr>
        <w:pStyle w:val="ListParagraph"/>
        <w:numPr>
          <w:ilvl w:val="0"/>
          <w:numId w:val="1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accesul local virtual necondiționat (VULA – </w:t>
      </w:r>
      <w:r w:rsidRPr="00653F5F">
        <w:rPr>
          <w:rFonts w:ascii="Times New Roman" w:hAnsi="Times New Roman" w:cs="Times New Roman"/>
          <w:i/>
          <w:sz w:val="26"/>
          <w:szCs w:val="26"/>
          <w:lang w:val="ro-MO"/>
        </w:rPr>
        <w:t xml:space="preserve">virtual </w:t>
      </w:r>
      <w:proofErr w:type="spellStart"/>
      <w:r w:rsidRPr="00653F5F">
        <w:rPr>
          <w:rFonts w:ascii="Times New Roman" w:hAnsi="Times New Roman" w:cs="Times New Roman"/>
          <w:i/>
          <w:sz w:val="26"/>
          <w:szCs w:val="26"/>
          <w:lang w:val="ro-MO"/>
        </w:rPr>
        <w:t>unbundled</w:t>
      </w:r>
      <w:proofErr w:type="spellEnd"/>
      <w:r w:rsidRPr="00653F5F">
        <w:rPr>
          <w:rFonts w:ascii="Times New Roman" w:hAnsi="Times New Roman" w:cs="Times New Roman"/>
          <w:i/>
          <w:sz w:val="26"/>
          <w:szCs w:val="26"/>
          <w:lang w:val="ro-MO"/>
        </w:rPr>
        <w:t xml:space="preserve"> local </w:t>
      </w:r>
      <w:proofErr w:type="spellStart"/>
      <w:r w:rsidRPr="00653F5F">
        <w:rPr>
          <w:rFonts w:ascii="Times New Roman" w:hAnsi="Times New Roman" w:cs="Times New Roman"/>
          <w:i/>
          <w:sz w:val="26"/>
          <w:szCs w:val="26"/>
          <w:lang w:val="ro-MO"/>
        </w:rPr>
        <w:t>access</w:t>
      </w:r>
      <w:proofErr w:type="spellEnd"/>
      <w:r w:rsidRPr="00446F65">
        <w:rPr>
          <w:rFonts w:ascii="Times New Roman" w:hAnsi="Times New Roman" w:cs="Times New Roman"/>
          <w:sz w:val="26"/>
          <w:szCs w:val="26"/>
          <w:lang w:val="ro-MO"/>
        </w:rPr>
        <w:t>);</w:t>
      </w:r>
    </w:p>
    <w:p w:rsidR="002E2AE6" w:rsidRPr="00446F65" w:rsidRDefault="002E2AE6" w:rsidP="00317915">
      <w:pPr>
        <w:pStyle w:val="ListParagraph"/>
        <w:numPr>
          <w:ilvl w:val="0"/>
          <w:numId w:val="1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cu ridicata auto-furnizat.</w:t>
      </w:r>
    </w:p>
    <w:p w:rsidR="002E2AE6" w:rsidRPr="00446F65" w:rsidDel="00552211" w:rsidRDefault="002E2AE6" w:rsidP="00317915">
      <w:pPr>
        <w:pStyle w:val="ListParagraph"/>
        <w:autoSpaceDE w:val="0"/>
        <w:autoSpaceDN w:val="0"/>
        <w:adjustRightInd w:val="0"/>
        <w:spacing w:after="0" w:line="240" w:lineRule="auto"/>
        <w:ind w:left="1446"/>
        <w:jc w:val="both"/>
        <w:rPr>
          <w:rFonts w:ascii="Times New Roman" w:hAnsi="Times New Roman" w:cs="Times New Roman"/>
          <w:sz w:val="26"/>
          <w:szCs w:val="26"/>
          <w:lang w:val="ro-MO"/>
        </w:rPr>
      </w:pPr>
    </w:p>
    <w:p w:rsidR="00261754"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concluzionează că piaţa relevantă a produsului este următoarea: </w:t>
      </w:r>
    </w:p>
    <w:p w:rsidR="00E700AC" w:rsidRPr="00446F65" w:rsidRDefault="00E700AC" w:rsidP="00317915">
      <w:pPr>
        <w:autoSpaceDE w:val="0"/>
        <w:autoSpaceDN w:val="0"/>
        <w:adjustRightInd w:val="0"/>
        <w:spacing w:after="0" w:line="240" w:lineRule="auto"/>
        <w:ind w:firstLine="567"/>
        <w:jc w:val="both"/>
        <w:rPr>
          <w:rFonts w:ascii="Times New Roman" w:hAnsi="Times New Roman" w:cs="Times New Roman"/>
          <w:b/>
          <w:bCs/>
          <w:i/>
          <w:sz w:val="26"/>
          <w:szCs w:val="26"/>
          <w:lang w:val="ro-MO"/>
        </w:rPr>
      </w:pPr>
    </w:p>
    <w:p w:rsidR="00BF6C4D" w:rsidRPr="00446F65" w:rsidRDefault="00261754" w:rsidP="00317915">
      <w:pPr>
        <w:autoSpaceDE w:val="0"/>
        <w:autoSpaceDN w:val="0"/>
        <w:adjustRightInd w:val="0"/>
        <w:spacing w:after="0" w:line="240" w:lineRule="auto"/>
        <w:ind w:firstLine="567"/>
        <w:jc w:val="both"/>
        <w:rPr>
          <w:rFonts w:ascii="Times New Roman" w:hAnsi="Times New Roman" w:cs="Times New Roman"/>
          <w:b/>
          <w:bCs/>
          <w:i/>
          <w:sz w:val="26"/>
          <w:szCs w:val="26"/>
          <w:lang w:val="ro-MO"/>
        </w:rPr>
      </w:pPr>
      <w:r w:rsidRPr="00446F65">
        <w:rPr>
          <w:rFonts w:ascii="Times New Roman" w:hAnsi="Times New Roman" w:cs="Times New Roman"/>
          <w:b/>
          <w:bCs/>
          <w:i/>
          <w:sz w:val="26"/>
          <w:szCs w:val="26"/>
          <w:lang w:val="ro-MO"/>
        </w:rPr>
        <w:t xml:space="preserve">Piaţa </w:t>
      </w:r>
      <w:r w:rsidR="00FE08C4" w:rsidRPr="00446F65">
        <w:rPr>
          <w:rFonts w:ascii="Times New Roman" w:hAnsi="Times New Roman" w:cs="Times New Roman"/>
          <w:b/>
          <w:bCs/>
          <w:i/>
          <w:sz w:val="26"/>
          <w:szCs w:val="26"/>
          <w:lang w:val="ro-MO"/>
        </w:rPr>
        <w:t xml:space="preserve">furnizării cu ridicata de servicii de acces local la puncte fixe </w:t>
      </w:r>
      <w:r w:rsidR="00E700AC" w:rsidRPr="00446F65">
        <w:rPr>
          <w:rFonts w:ascii="Times New Roman" w:hAnsi="Times New Roman" w:cs="Times New Roman"/>
          <w:b/>
          <w:bCs/>
          <w:i/>
          <w:sz w:val="26"/>
          <w:szCs w:val="26"/>
          <w:lang w:val="ro-MO"/>
        </w:rPr>
        <w:t xml:space="preserve">(WLA) </w:t>
      </w:r>
      <w:r w:rsidRPr="00446F65">
        <w:rPr>
          <w:rFonts w:ascii="Times New Roman" w:hAnsi="Times New Roman" w:cs="Times New Roman"/>
          <w:b/>
          <w:bCs/>
          <w:i/>
          <w:sz w:val="26"/>
          <w:szCs w:val="26"/>
          <w:lang w:val="ro-MO"/>
        </w:rPr>
        <w:t xml:space="preserve">cuprinde servicii de </w:t>
      </w:r>
      <w:r w:rsidR="00BF6C4D" w:rsidRPr="00446F65">
        <w:rPr>
          <w:rFonts w:ascii="Times New Roman" w:hAnsi="Times New Roman" w:cs="Times New Roman"/>
          <w:b/>
          <w:bCs/>
          <w:i/>
          <w:sz w:val="26"/>
          <w:szCs w:val="26"/>
          <w:lang w:val="ro-MO"/>
        </w:rPr>
        <w:t xml:space="preserve">acces </w:t>
      </w:r>
      <w:r w:rsidR="00E700AC" w:rsidRPr="00446F65">
        <w:rPr>
          <w:rFonts w:ascii="Times New Roman" w:hAnsi="Times New Roman" w:cs="Times New Roman"/>
          <w:b/>
          <w:bCs/>
          <w:i/>
          <w:sz w:val="26"/>
          <w:szCs w:val="26"/>
          <w:lang w:val="ro-MO"/>
        </w:rPr>
        <w:t xml:space="preserve">necondiționat </w:t>
      </w:r>
      <w:r w:rsidR="00BF6C4D" w:rsidRPr="00446F65">
        <w:rPr>
          <w:rFonts w:ascii="Times New Roman" w:hAnsi="Times New Roman" w:cs="Times New Roman"/>
          <w:b/>
          <w:bCs/>
          <w:i/>
          <w:sz w:val="26"/>
          <w:szCs w:val="26"/>
          <w:lang w:val="ro-MO"/>
        </w:rPr>
        <w:t>total la bucla</w:t>
      </w:r>
      <w:r w:rsidR="004B2E90" w:rsidRPr="00446F65">
        <w:rPr>
          <w:rFonts w:ascii="Times New Roman" w:hAnsi="Times New Roman" w:cs="Times New Roman"/>
          <w:b/>
          <w:bCs/>
          <w:i/>
          <w:sz w:val="26"/>
          <w:szCs w:val="26"/>
          <w:lang w:val="ro-MO"/>
        </w:rPr>
        <w:t xml:space="preserve"> şi sub-bucla</w:t>
      </w:r>
      <w:r w:rsidR="00BF6C4D" w:rsidRPr="00446F65">
        <w:rPr>
          <w:rFonts w:ascii="Times New Roman" w:hAnsi="Times New Roman" w:cs="Times New Roman"/>
          <w:b/>
          <w:bCs/>
          <w:i/>
          <w:sz w:val="26"/>
          <w:szCs w:val="26"/>
          <w:lang w:val="ro-MO"/>
        </w:rPr>
        <w:t xml:space="preserve"> locală</w:t>
      </w:r>
      <w:r w:rsidR="004B2E90" w:rsidRPr="00446F65">
        <w:rPr>
          <w:rFonts w:ascii="Times New Roman" w:hAnsi="Times New Roman" w:cs="Times New Roman"/>
          <w:b/>
          <w:bCs/>
          <w:i/>
          <w:sz w:val="26"/>
          <w:szCs w:val="26"/>
          <w:lang w:val="ro-MO"/>
        </w:rPr>
        <w:t xml:space="preserve"> de cupru</w:t>
      </w:r>
      <w:r w:rsidR="00BF6C4D" w:rsidRPr="00446F65">
        <w:rPr>
          <w:rFonts w:ascii="Times New Roman" w:hAnsi="Times New Roman" w:cs="Times New Roman"/>
          <w:b/>
          <w:bCs/>
          <w:i/>
          <w:sz w:val="26"/>
          <w:szCs w:val="26"/>
          <w:lang w:val="ro-MO"/>
        </w:rPr>
        <w:t>, acces partajat la bu</w:t>
      </w:r>
      <w:r w:rsidR="00451C96" w:rsidRPr="00446F65">
        <w:rPr>
          <w:rFonts w:ascii="Times New Roman" w:hAnsi="Times New Roman" w:cs="Times New Roman"/>
          <w:b/>
          <w:bCs/>
          <w:i/>
          <w:sz w:val="26"/>
          <w:szCs w:val="26"/>
          <w:lang w:val="ro-MO"/>
        </w:rPr>
        <w:t>cla locală</w:t>
      </w:r>
      <w:r w:rsidR="004B2E90" w:rsidRPr="00446F65">
        <w:rPr>
          <w:rFonts w:ascii="Times New Roman" w:hAnsi="Times New Roman" w:cs="Times New Roman"/>
          <w:b/>
          <w:bCs/>
          <w:i/>
          <w:sz w:val="26"/>
          <w:szCs w:val="26"/>
          <w:lang w:val="ro-MO"/>
        </w:rPr>
        <w:t xml:space="preserve"> de cupru</w:t>
      </w:r>
      <w:r w:rsidR="00451C96" w:rsidRPr="00446F65">
        <w:rPr>
          <w:rFonts w:ascii="Times New Roman" w:hAnsi="Times New Roman" w:cs="Times New Roman"/>
          <w:b/>
          <w:bCs/>
          <w:i/>
          <w:sz w:val="26"/>
          <w:szCs w:val="26"/>
          <w:lang w:val="ro-MO"/>
        </w:rPr>
        <w:t xml:space="preserve">, accesul </w:t>
      </w:r>
      <w:r w:rsidR="00C03601" w:rsidRPr="00446F65">
        <w:rPr>
          <w:rFonts w:ascii="Times New Roman" w:hAnsi="Times New Roman" w:cs="Times New Roman"/>
          <w:b/>
          <w:bCs/>
          <w:i/>
          <w:sz w:val="26"/>
          <w:szCs w:val="26"/>
          <w:lang w:val="ro-MO"/>
        </w:rPr>
        <w:t xml:space="preserve">total </w:t>
      </w:r>
      <w:r w:rsidRPr="00446F65">
        <w:rPr>
          <w:rFonts w:ascii="Times New Roman" w:hAnsi="Times New Roman" w:cs="Times New Roman"/>
          <w:b/>
          <w:bCs/>
          <w:i/>
          <w:sz w:val="26"/>
          <w:szCs w:val="26"/>
          <w:lang w:val="ro-MO"/>
        </w:rPr>
        <w:t>la</w:t>
      </w:r>
      <w:r w:rsidR="00BF6C4D" w:rsidRPr="00446F65">
        <w:rPr>
          <w:rFonts w:ascii="Times New Roman" w:hAnsi="Times New Roman" w:cs="Times New Roman"/>
          <w:b/>
          <w:bCs/>
          <w:i/>
          <w:sz w:val="26"/>
          <w:szCs w:val="26"/>
          <w:lang w:val="ro-MO"/>
        </w:rPr>
        <w:t xml:space="preserve"> bucla locală </w:t>
      </w:r>
      <w:r w:rsidR="004B2E90" w:rsidRPr="00446F65">
        <w:rPr>
          <w:rFonts w:ascii="Times New Roman" w:hAnsi="Times New Roman" w:cs="Times New Roman"/>
          <w:b/>
          <w:bCs/>
          <w:i/>
          <w:sz w:val="26"/>
          <w:szCs w:val="26"/>
          <w:lang w:val="ro-MO"/>
        </w:rPr>
        <w:t>bazată pe fibre</w:t>
      </w:r>
      <w:r w:rsidR="00771BAF" w:rsidRPr="00446F65">
        <w:rPr>
          <w:rFonts w:ascii="Times New Roman" w:hAnsi="Times New Roman" w:cs="Times New Roman"/>
          <w:b/>
          <w:bCs/>
          <w:i/>
          <w:sz w:val="26"/>
          <w:szCs w:val="26"/>
          <w:lang w:val="ro-MO"/>
        </w:rPr>
        <w:t xml:space="preserve"> </w:t>
      </w:r>
      <w:r w:rsidR="004B2E90" w:rsidRPr="00446F65">
        <w:rPr>
          <w:rFonts w:ascii="Times New Roman" w:hAnsi="Times New Roman" w:cs="Times New Roman"/>
          <w:b/>
          <w:bCs/>
          <w:i/>
          <w:sz w:val="26"/>
          <w:szCs w:val="26"/>
          <w:lang w:val="ro-MO"/>
        </w:rPr>
        <w:t>optice</w:t>
      </w:r>
      <w:r w:rsidR="00FE08C4" w:rsidRPr="00446F65">
        <w:rPr>
          <w:rFonts w:ascii="Times New Roman" w:hAnsi="Times New Roman" w:cs="Times New Roman"/>
          <w:b/>
          <w:bCs/>
          <w:i/>
          <w:sz w:val="26"/>
          <w:szCs w:val="26"/>
          <w:lang w:val="ro-MO"/>
        </w:rPr>
        <w:t>, accesul local virtual necondiționat (VULA)</w:t>
      </w:r>
      <w:r w:rsidRPr="00446F65">
        <w:rPr>
          <w:rFonts w:ascii="Times New Roman" w:hAnsi="Times New Roman" w:cs="Times New Roman"/>
          <w:b/>
          <w:bCs/>
          <w:i/>
          <w:sz w:val="26"/>
          <w:szCs w:val="26"/>
          <w:lang w:val="ro-MO"/>
        </w:rPr>
        <w:t xml:space="preserve">. </w:t>
      </w:r>
    </w:p>
    <w:p w:rsidR="004D4551" w:rsidRPr="00446F65" w:rsidRDefault="004D4551"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4D4551" w:rsidRPr="00446F65" w:rsidRDefault="004D4551"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ANRCETI consideră că la analizele viitoare, definiţia acestei pieţe ar putea fi extinsă dacă în viitor careva servicii vor deveni într-o măsură suficientă substituibile produsului focal.</w:t>
      </w:r>
    </w:p>
    <w:p w:rsidR="00261754" w:rsidRPr="00446F65" w:rsidRDefault="00392BB5" w:rsidP="00317915">
      <w:pPr>
        <w:pStyle w:val="Heading4"/>
        <w:spacing w:line="240" w:lineRule="auto"/>
        <w:ind w:firstLine="720"/>
        <w:rPr>
          <w:rFonts w:cs="Times New Roman"/>
          <w:i w:val="0"/>
          <w:color w:val="auto"/>
          <w:szCs w:val="26"/>
          <w:lang w:val="ro-MO"/>
        </w:rPr>
      </w:pPr>
      <w:bookmarkStart w:id="16" w:name="_Toc492907375"/>
      <w:r w:rsidRPr="00446F65">
        <w:rPr>
          <w:rFonts w:cs="Times New Roman"/>
          <w:i w:val="0"/>
          <w:color w:val="auto"/>
          <w:szCs w:val="26"/>
          <w:lang w:val="ro-MO"/>
        </w:rPr>
        <w:t>3.</w:t>
      </w:r>
      <w:r w:rsidR="00720375" w:rsidRPr="00446F65">
        <w:rPr>
          <w:rFonts w:cs="Times New Roman"/>
          <w:i w:val="0"/>
          <w:color w:val="auto"/>
          <w:szCs w:val="26"/>
          <w:lang w:val="ro-MO"/>
        </w:rPr>
        <w:t>1</w:t>
      </w:r>
      <w:r w:rsidRPr="00446F65">
        <w:rPr>
          <w:rFonts w:cs="Times New Roman"/>
          <w:i w:val="0"/>
          <w:color w:val="auto"/>
          <w:szCs w:val="26"/>
          <w:lang w:val="ro-MO"/>
        </w:rPr>
        <w:t>.</w:t>
      </w:r>
      <w:r w:rsidR="00720375" w:rsidRPr="00446F65">
        <w:rPr>
          <w:rFonts w:cs="Times New Roman"/>
          <w:i w:val="0"/>
          <w:color w:val="auto"/>
          <w:szCs w:val="26"/>
          <w:lang w:val="ro-MO"/>
        </w:rPr>
        <w:t>2</w:t>
      </w:r>
      <w:r w:rsidRPr="00446F65">
        <w:rPr>
          <w:rFonts w:cs="Times New Roman"/>
          <w:i w:val="0"/>
          <w:color w:val="auto"/>
          <w:szCs w:val="26"/>
          <w:lang w:val="ro-MO"/>
        </w:rPr>
        <w:t xml:space="preserve"> </w:t>
      </w:r>
      <w:r w:rsidR="00261754" w:rsidRPr="00446F65">
        <w:rPr>
          <w:rFonts w:cs="Times New Roman"/>
          <w:i w:val="0"/>
          <w:color w:val="auto"/>
          <w:szCs w:val="26"/>
          <w:lang w:val="ro-MO"/>
        </w:rPr>
        <w:t xml:space="preserve">Piaţa geografică </w:t>
      </w:r>
      <w:r w:rsidR="00FE08C4" w:rsidRPr="00446F65">
        <w:rPr>
          <w:rFonts w:cs="Times New Roman"/>
          <w:i w:val="0"/>
          <w:color w:val="auto"/>
          <w:szCs w:val="26"/>
          <w:lang w:val="ro-MO"/>
        </w:rPr>
        <w:t>cu ridicata</w:t>
      </w:r>
      <w:bookmarkEnd w:id="16"/>
    </w:p>
    <w:p w:rsidR="00BC3F32"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Piaţa geografică relevantă reprezintă zona în care sunt localizaţi furnizorii produselor din piaţa relevantă a produsului, zonă în care condiţiile de concurenţă sunt suficient de omogene şi care poate fi delimitată de arii geografice vecine datorită unor condiţii concurenţiale diferite. De asemenea, conform Instrucţiunilor C</w:t>
      </w:r>
      <w:r w:rsidR="00A248B6" w:rsidRPr="00446F65">
        <w:rPr>
          <w:rFonts w:ascii="Times New Roman" w:hAnsi="Times New Roman" w:cs="Times New Roman"/>
          <w:sz w:val="26"/>
          <w:szCs w:val="26"/>
          <w:lang w:val="ro-MO"/>
        </w:rPr>
        <w:t xml:space="preserve">omisiei </w:t>
      </w:r>
      <w:r w:rsidRPr="00446F65">
        <w:rPr>
          <w:rFonts w:ascii="Times New Roman" w:hAnsi="Times New Roman" w:cs="Times New Roman"/>
          <w:sz w:val="26"/>
          <w:szCs w:val="26"/>
          <w:lang w:val="ro-MO"/>
        </w:rPr>
        <w:t>E</w:t>
      </w:r>
      <w:r w:rsidR="00A248B6" w:rsidRPr="00446F65">
        <w:rPr>
          <w:rFonts w:ascii="Times New Roman" w:hAnsi="Times New Roman" w:cs="Times New Roman"/>
          <w:sz w:val="26"/>
          <w:szCs w:val="26"/>
          <w:lang w:val="ro-MO"/>
        </w:rPr>
        <w:t>uropene</w:t>
      </w:r>
      <w:r w:rsidRPr="00446F65">
        <w:rPr>
          <w:rFonts w:ascii="Times New Roman" w:hAnsi="Times New Roman" w:cs="Times New Roman"/>
          <w:sz w:val="26"/>
          <w:szCs w:val="26"/>
          <w:lang w:val="ro-MO"/>
        </w:rPr>
        <w:t xml:space="preserve">, în mod tradiţional, identificarea pieţei relevante geografice se realizează pe baza următoarelor criterii: aria acoperită de reţea şi existenţa unor limite geografice impuse prin lege sau prin acte administrative. </w:t>
      </w:r>
    </w:p>
    <w:p w:rsidR="00261754"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Analizând aceste criterii, ANRCETI a constatat că piaţa geografică relevantă corespunzătoare serviciilor de </w:t>
      </w:r>
      <w:r w:rsidR="00A12342" w:rsidRPr="00446F65">
        <w:rPr>
          <w:rFonts w:ascii="Times New Roman" w:hAnsi="Times New Roman" w:cs="Times New Roman"/>
          <w:sz w:val="26"/>
          <w:szCs w:val="26"/>
          <w:lang w:val="ro-MO"/>
        </w:rPr>
        <w:t>acces la infrastructura de rețea</w:t>
      </w:r>
      <w:r w:rsidRPr="00446F65">
        <w:rPr>
          <w:rFonts w:ascii="Times New Roman" w:hAnsi="Times New Roman" w:cs="Times New Roman"/>
          <w:sz w:val="26"/>
          <w:szCs w:val="26"/>
          <w:lang w:val="ro-MO"/>
        </w:rPr>
        <w:t xml:space="preserve"> este naţională, determinată de teritoriul Republicii Moldova, având în vedere că nu au fost identificate zone geografice în care condiţiile concurenţiale să fie suficient de diferite de restul teritoriului şi astfel să fie justificată delimitarea unor pieţe locale distincte. </w:t>
      </w:r>
    </w:p>
    <w:p w:rsidR="00204C9A" w:rsidRPr="00446F65" w:rsidRDefault="00204C9A"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prezent, condiţiile de autorizare a activităţii în domeniul prestării reţelelor şi serviciilor de comunicaţii electronice se petrece prin intermediul procedurii de autorizare generală. Prin aceasta, orice persoană care intenţionează să furnizeze reţele şi/sau servicii de comunicaţii electronice poate începe activitatea dată, cu informarea prealabilă a ANRCETI despre lansarea unei activităţi şi descrierea sumară a reţelei şi serviciilor prestate. Autorizarea generală permite persoanei autorizate să desfăşoare activitatea naţional. Astfel, orice zonă geografică a teritoriului naţional este caracterizată prin condiţii similare de autorizare, fără nici o excepţie, ceea ce denotă caracterul omogen al autorizaţiilor tuturor furnizorilor de pe piaţă şi a potenţialilor noi-intraţi.</w:t>
      </w:r>
    </w:p>
    <w:p w:rsidR="00FA6A2B" w:rsidRPr="00446F65" w:rsidRDefault="00204C9A"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Actualmente</w:t>
      </w:r>
      <w:r w:rsidR="00FA6A2B" w:rsidRPr="00446F65">
        <w:rPr>
          <w:rFonts w:ascii="Times New Roman" w:hAnsi="Times New Roman" w:cs="Times New Roman"/>
          <w:sz w:val="26"/>
          <w:szCs w:val="26"/>
          <w:lang w:val="ro-MO"/>
        </w:rPr>
        <w:t xml:space="preserve">, </w:t>
      </w:r>
      <w:r w:rsidR="00463EC0" w:rsidRPr="00446F65">
        <w:rPr>
          <w:rFonts w:ascii="Times New Roman" w:hAnsi="Times New Roman" w:cs="Times New Roman"/>
          <w:sz w:val="26"/>
          <w:szCs w:val="26"/>
          <w:lang w:val="ro-MO"/>
        </w:rPr>
        <w:t>Moldtelecom</w:t>
      </w:r>
      <w:r w:rsidR="00FA6A2B" w:rsidRPr="00446F65">
        <w:rPr>
          <w:rFonts w:ascii="Times New Roman" w:hAnsi="Times New Roman" w:cs="Times New Roman"/>
          <w:sz w:val="26"/>
          <w:szCs w:val="26"/>
          <w:lang w:val="ro-MO"/>
        </w:rPr>
        <w:t xml:space="preserve"> este singurul furnizor care oferă altor furnizori acces total sau partajat la bucla locală de cupru. Reţeaua </w:t>
      </w:r>
      <w:r w:rsidR="005A21BA" w:rsidRPr="00446F65">
        <w:rPr>
          <w:rFonts w:ascii="Times New Roman" w:hAnsi="Times New Roman" w:cs="Times New Roman"/>
          <w:sz w:val="26"/>
          <w:szCs w:val="26"/>
          <w:lang w:val="ro-MO"/>
        </w:rPr>
        <w:t>Moldtelecom</w:t>
      </w:r>
      <w:r w:rsidR="00FA6A2B" w:rsidRPr="00446F65">
        <w:rPr>
          <w:rFonts w:ascii="Times New Roman" w:hAnsi="Times New Roman" w:cs="Times New Roman"/>
          <w:sz w:val="26"/>
          <w:szCs w:val="26"/>
          <w:lang w:val="ro-MO"/>
        </w:rPr>
        <w:t xml:space="preserve"> are cea mai mare acoperire, fiind dezvoltată la nivel naţional</w:t>
      </w:r>
      <w:r w:rsidR="004D4551" w:rsidRPr="00446F65">
        <w:rPr>
          <w:rFonts w:ascii="Times New Roman" w:hAnsi="Times New Roman" w:cs="Times New Roman"/>
          <w:sz w:val="26"/>
          <w:szCs w:val="26"/>
          <w:lang w:val="ro-MO"/>
        </w:rPr>
        <w:t>.</w:t>
      </w:r>
      <w:r w:rsidR="00FA6A2B" w:rsidRPr="00446F65">
        <w:rPr>
          <w:rFonts w:ascii="Times New Roman" w:hAnsi="Times New Roman" w:cs="Times New Roman"/>
          <w:sz w:val="26"/>
          <w:szCs w:val="26"/>
          <w:lang w:val="ro-MO"/>
        </w:rPr>
        <w:t xml:space="preserve"> De asemenea, în unele zone sunt dezvoltate reţele locale, unde buc</w:t>
      </w:r>
      <w:r w:rsidR="007F0955" w:rsidRPr="00446F65">
        <w:rPr>
          <w:rFonts w:ascii="Times New Roman" w:hAnsi="Times New Roman" w:cs="Times New Roman"/>
          <w:sz w:val="26"/>
          <w:szCs w:val="26"/>
          <w:lang w:val="ro-MO"/>
        </w:rPr>
        <w:t>la locală este constituită din f</w:t>
      </w:r>
      <w:r w:rsidR="00FA6A2B" w:rsidRPr="00446F65">
        <w:rPr>
          <w:rFonts w:ascii="Times New Roman" w:hAnsi="Times New Roman" w:cs="Times New Roman"/>
          <w:sz w:val="26"/>
          <w:szCs w:val="26"/>
          <w:lang w:val="ro-MO"/>
        </w:rPr>
        <w:t xml:space="preserve">ibră optică. Aceste reţele sunt dezvoltate preponderent în zonele urbane, cu un număr mare de utilizatori, costurile per utilizator fiind, în general, mai scăzute. </w:t>
      </w:r>
    </w:p>
    <w:p w:rsidR="00FA6A2B" w:rsidRPr="00446F65" w:rsidRDefault="00FA6A2B"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Pornind de la aceste constatări şi de la analiza pieţei cu amănuntul a serviciilor în bandă largă la puncte fixe, s-a const</w:t>
      </w:r>
      <w:r w:rsidR="00771BAF" w:rsidRPr="00446F65">
        <w:rPr>
          <w:rFonts w:ascii="Times New Roman" w:hAnsi="Times New Roman" w:cs="Times New Roman"/>
          <w:sz w:val="26"/>
          <w:szCs w:val="26"/>
          <w:lang w:val="ro-MO"/>
        </w:rPr>
        <w:t>at</w:t>
      </w:r>
      <w:r w:rsidRPr="00446F65">
        <w:rPr>
          <w:rFonts w:ascii="Times New Roman" w:hAnsi="Times New Roman" w:cs="Times New Roman"/>
          <w:sz w:val="26"/>
          <w:szCs w:val="26"/>
          <w:lang w:val="ro-MO"/>
        </w:rPr>
        <w:t>at că în ultimii ani condiţiile concurenţiale diferă pe teritoriul R</w:t>
      </w:r>
      <w:r w:rsidR="00217504" w:rsidRPr="00446F65">
        <w:rPr>
          <w:rFonts w:ascii="Times New Roman" w:hAnsi="Times New Roman" w:cs="Times New Roman"/>
          <w:sz w:val="26"/>
          <w:szCs w:val="26"/>
          <w:lang w:val="ro-MO"/>
        </w:rPr>
        <w:t xml:space="preserve">epublicii </w:t>
      </w:r>
      <w:r w:rsidRPr="00446F65">
        <w:rPr>
          <w:rFonts w:ascii="Times New Roman" w:hAnsi="Times New Roman" w:cs="Times New Roman"/>
          <w:sz w:val="26"/>
          <w:szCs w:val="26"/>
          <w:lang w:val="ro-MO"/>
        </w:rPr>
        <w:t xml:space="preserve">Moldova, în principal în zonele urbane unde, în afară de </w:t>
      </w:r>
      <w:r w:rsidR="00463EC0" w:rsidRPr="00446F65">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sunt prezenţi furnizori alternativi care operează propriile reţele locale de acces pe suport de fire de fibră optică. În ceea ce priveşte zon</w:t>
      </w:r>
      <w:r w:rsidR="00E230E8" w:rsidRPr="00446F65">
        <w:rPr>
          <w:rFonts w:ascii="Times New Roman" w:hAnsi="Times New Roman" w:cs="Times New Roman"/>
          <w:sz w:val="26"/>
          <w:szCs w:val="26"/>
          <w:lang w:val="ro-MO"/>
        </w:rPr>
        <w:t xml:space="preserve">ele rurale, s-a constatat că au </w:t>
      </w:r>
      <w:r w:rsidRPr="00446F65">
        <w:rPr>
          <w:rFonts w:ascii="Times New Roman" w:hAnsi="Times New Roman" w:cs="Times New Roman"/>
          <w:sz w:val="26"/>
          <w:szCs w:val="26"/>
          <w:lang w:val="ro-MO"/>
        </w:rPr>
        <w:t>fost dezvoltate, în principal, reţele de acces pe suport de fire metalice torsadate de cupru</w:t>
      </w:r>
      <w:r w:rsidR="00E230E8" w:rsidRPr="00446F65">
        <w:rPr>
          <w:rFonts w:ascii="Times New Roman" w:hAnsi="Times New Roman" w:cs="Times New Roman"/>
          <w:sz w:val="26"/>
          <w:szCs w:val="26"/>
          <w:lang w:val="ro-MO"/>
        </w:rPr>
        <w:t xml:space="preserve"> aparţinând </w:t>
      </w:r>
      <w:r w:rsidR="00463EC0" w:rsidRPr="00446F65">
        <w:rPr>
          <w:rFonts w:ascii="Times New Roman" w:hAnsi="Times New Roman" w:cs="Times New Roman"/>
          <w:sz w:val="26"/>
          <w:szCs w:val="26"/>
          <w:lang w:val="ro-MO"/>
        </w:rPr>
        <w:t>Moldtelecom</w:t>
      </w:r>
      <w:r w:rsidR="00E230E8" w:rsidRPr="00446F65">
        <w:rPr>
          <w:rFonts w:ascii="Times New Roman" w:hAnsi="Times New Roman" w:cs="Times New Roman"/>
          <w:sz w:val="26"/>
          <w:szCs w:val="26"/>
          <w:lang w:val="ro-MO"/>
        </w:rPr>
        <w:t>.</w:t>
      </w:r>
    </w:p>
    <w:p w:rsidR="00FA6A2B" w:rsidRPr="00446F65" w:rsidRDefault="00FA6A2B"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Cu toate acestea, atât în prezent, cât şi în orizontu</w:t>
      </w:r>
      <w:r w:rsidR="00E230E8" w:rsidRPr="00446F65">
        <w:rPr>
          <w:rFonts w:ascii="Times New Roman" w:hAnsi="Times New Roman" w:cs="Times New Roman"/>
          <w:sz w:val="26"/>
          <w:szCs w:val="26"/>
          <w:lang w:val="ro-MO"/>
        </w:rPr>
        <w:t xml:space="preserve">l de timp al analizei de piaţă, existenţa acestor </w:t>
      </w:r>
      <w:r w:rsidRPr="00446F65">
        <w:rPr>
          <w:rFonts w:ascii="Times New Roman" w:hAnsi="Times New Roman" w:cs="Times New Roman"/>
          <w:sz w:val="26"/>
          <w:szCs w:val="26"/>
          <w:lang w:val="ro-MO"/>
        </w:rPr>
        <w:t>diferenţe la nivel local sau între mediul urban şi cel rural nu este sufic</w:t>
      </w:r>
      <w:r w:rsidR="00E230E8" w:rsidRPr="00446F65">
        <w:rPr>
          <w:rFonts w:ascii="Times New Roman" w:hAnsi="Times New Roman" w:cs="Times New Roman"/>
          <w:sz w:val="26"/>
          <w:szCs w:val="26"/>
          <w:lang w:val="ro-MO"/>
        </w:rPr>
        <w:t xml:space="preserve">ientă pentru definirea de pieţe </w:t>
      </w:r>
      <w:r w:rsidRPr="00446F65">
        <w:rPr>
          <w:rFonts w:ascii="Times New Roman" w:hAnsi="Times New Roman" w:cs="Times New Roman"/>
          <w:sz w:val="26"/>
          <w:szCs w:val="26"/>
          <w:lang w:val="ro-MO"/>
        </w:rPr>
        <w:t xml:space="preserve">geografice </w:t>
      </w:r>
      <w:r w:rsidR="00840518" w:rsidRPr="00446F65">
        <w:rPr>
          <w:rFonts w:ascii="Times New Roman" w:hAnsi="Times New Roman" w:cs="Times New Roman"/>
          <w:sz w:val="26"/>
          <w:szCs w:val="26"/>
          <w:lang w:val="ro-MO"/>
        </w:rPr>
        <w:t>cu ridicata</w:t>
      </w:r>
      <w:r w:rsidRPr="00446F65">
        <w:rPr>
          <w:rFonts w:ascii="Times New Roman" w:hAnsi="Times New Roman" w:cs="Times New Roman"/>
          <w:sz w:val="26"/>
          <w:szCs w:val="26"/>
          <w:lang w:val="ro-MO"/>
        </w:rPr>
        <w:t xml:space="preserve"> subnaţionale. AN</w:t>
      </w:r>
      <w:r w:rsidR="00E230E8" w:rsidRPr="00446F65">
        <w:rPr>
          <w:rFonts w:ascii="Times New Roman" w:hAnsi="Times New Roman" w:cs="Times New Roman"/>
          <w:sz w:val="26"/>
          <w:szCs w:val="26"/>
          <w:lang w:val="ro-MO"/>
        </w:rPr>
        <w:t>RCETI</w:t>
      </w:r>
      <w:r w:rsidRPr="00446F65">
        <w:rPr>
          <w:rFonts w:ascii="Times New Roman" w:hAnsi="Times New Roman" w:cs="Times New Roman"/>
          <w:sz w:val="26"/>
          <w:szCs w:val="26"/>
          <w:lang w:val="ro-MO"/>
        </w:rPr>
        <w:t xml:space="preserve"> consideră că datorită</w:t>
      </w:r>
      <w:r w:rsidR="00A248B6"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în principal</w:t>
      </w:r>
      <w:r w:rsidR="00A248B6"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caracterului fluid al pieţe</w:t>
      </w:r>
      <w:r w:rsidR="00E230E8" w:rsidRPr="00446F65">
        <w:rPr>
          <w:rFonts w:ascii="Times New Roman" w:hAnsi="Times New Roman" w:cs="Times New Roman"/>
          <w:sz w:val="26"/>
          <w:szCs w:val="26"/>
          <w:lang w:val="ro-MO"/>
        </w:rPr>
        <w:t xml:space="preserve">i şi eterogenităţii condiţiilor </w:t>
      </w:r>
      <w:r w:rsidRPr="00446F65">
        <w:rPr>
          <w:rFonts w:ascii="Times New Roman" w:hAnsi="Times New Roman" w:cs="Times New Roman"/>
          <w:sz w:val="26"/>
          <w:szCs w:val="26"/>
          <w:lang w:val="ro-MO"/>
        </w:rPr>
        <w:t>concurenţiale între diferite zone, o eventuală delimitare a pieţelor în funcţ</w:t>
      </w:r>
      <w:r w:rsidR="00E230E8" w:rsidRPr="00446F65">
        <w:rPr>
          <w:rFonts w:ascii="Times New Roman" w:hAnsi="Times New Roman" w:cs="Times New Roman"/>
          <w:sz w:val="26"/>
          <w:szCs w:val="26"/>
          <w:lang w:val="ro-MO"/>
        </w:rPr>
        <w:t xml:space="preserve">ie de factori structurali cum </w:t>
      </w:r>
      <w:r w:rsidRPr="00446F65">
        <w:rPr>
          <w:rFonts w:ascii="Times New Roman" w:hAnsi="Times New Roman" w:cs="Times New Roman"/>
          <w:sz w:val="26"/>
          <w:szCs w:val="26"/>
          <w:lang w:val="ro-MO"/>
        </w:rPr>
        <w:t>ar fi</w:t>
      </w:r>
      <w:r w:rsidR="00A248B6"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număr de </w:t>
      </w:r>
      <w:r w:rsidR="00951F8B" w:rsidRPr="00446F65">
        <w:rPr>
          <w:rFonts w:ascii="Times New Roman" w:hAnsi="Times New Roman" w:cs="Times New Roman"/>
          <w:sz w:val="26"/>
          <w:szCs w:val="26"/>
          <w:lang w:val="ro-MO"/>
        </w:rPr>
        <w:t>furnizor</w:t>
      </w:r>
      <w:r w:rsidRPr="00446F65">
        <w:rPr>
          <w:rFonts w:ascii="Times New Roman" w:hAnsi="Times New Roman" w:cs="Times New Roman"/>
          <w:sz w:val="26"/>
          <w:szCs w:val="26"/>
          <w:lang w:val="ro-MO"/>
        </w:rPr>
        <w:t>i, cote de piaţă, bariere la intrarea pe piaţă, tar</w:t>
      </w:r>
      <w:r w:rsidR="00E230E8" w:rsidRPr="00446F65">
        <w:rPr>
          <w:rFonts w:ascii="Times New Roman" w:hAnsi="Times New Roman" w:cs="Times New Roman"/>
          <w:sz w:val="26"/>
          <w:szCs w:val="26"/>
          <w:lang w:val="ro-MO"/>
        </w:rPr>
        <w:t xml:space="preserve">ife - este puţin probabil să se </w:t>
      </w:r>
      <w:r w:rsidRPr="00446F65">
        <w:rPr>
          <w:rFonts w:ascii="Times New Roman" w:hAnsi="Times New Roman" w:cs="Times New Roman"/>
          <w:sz w:val="26"/>
          <w:szCs w:val="26"/>
          <w:lang w:val="ro-MO"/>
        </w:rPr>
        <w:t>menţină stabilă în orizontul de timp al analizei de piaţă.</w:t>
      </w:r>
    </w:p>
    <w:p w:rsidR="00FA6A2B" w:rsidRDefault="00E230E8"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În acelaşi timp, ANRCETI</w:t>
      </w:r>
      <w:r w:rsidR="00FA6A2B" w:rsidRPr="00446F65">
        <w:rPr>
          <w:rFonts w:ascii="Times New Roman" w:hAnsi="Times New Roman" w:cs="Times New Roman"/>
          <w:sz w:val="26"/>
          <w:szCs w:val="26"/>
          <w:lang w:val="ro-MO"/>
        </w:rPr>
        <w:t xml:space="preserve"> subliniază faptul că o eventuală definire a </w:t>
      </w:r>
      <w:r w:rsidRPr="00446F65">
        <w:rPr>
          <w:rFonts w:ascii="Times New Roman" w:hAnsi="Times New Roman" w:cs="Times New Roman"/>
          <w:sz w:val="26"/>
          <w:szCs w:val="26"/>
          <w:lang w:val="ro-MO"/>
        </w:rPr>
        <w:t xml:space="preserve">unor pieţe geografice distincte </w:t>
      </w:r>
      <w:r w:rsidR="00FA6A2B" w:rsidRPr="00446F65">
        <w:rPr>
          <w:rFonts w:ascii="Times New Roman" w:hAnsi="Times New Roman" w:cs="Times New Roman"/>
          <w:sz w:val="26"/>
          <w:szCs w:val="26"/>
          <w:lang w:val="ro-MO"/>
        </w:rPr>
        <w:t>pentru mediul rural şi, respectiv, pentru mediul urban şi, respectiv, o even</w:t>
      </w:r>
      <w:r w:rsidRPr="00446F65">
        <w:rPr>
          <w:rFonts w:ascii="Times New Roman" w:hAnsi="Times New Roman" w:cs="Times New Roman"/>
          <w:sz w:val="26"/>
          <w:szCs w:val="26"/>
          <w:lang w:val="ro-MO"/>
        </w:rPr>
        <w:t xml:space="preserve">tuală diferenţiere a remediilor </w:t>
      </w:r>
      <w:r w:rsidR="00FA6A2B" w:rsidRPr="00446F65">
        <w:rPr>
          <w:rFonts w:ascii="Times New Roman" w:hAnsi="Times New Roman" w:cs="Times New Roman"/>
          <w:sz w:val="26"/>
          <w:szCs w:val="26"/>
          <w:lang w:val="ro-MO"/>
        </w:rPr>
        <w:t xml:space="preserve">în funcţie de condiţiile concurenţiale diferite, </w:t>
      </w:r>
      <w:r w:rsidR="00D9365A" w:rsidRPr="00446F65">
        <w:rPr>
          <w:rFonts w:ascii="Times New Roman" w:hAnsi="Times New Roman" w:cs="Times New Roman"/>
          <w:sz w:val="26"/>
          <w:szCs w:val="26"/>
          <w:lang w:val="ro-MO"/>
        </w:rPr>
        <w:t>este prematură</w:t>
      </w:r>
      <w:r w:rsidR="00FA6A2B" w:rsidRPr="00446F65">
        <w:rPr>
          <w:rFonts w:ascii="Times New Roman" w:hAnsi="Times New Roman" w:cs="Times New Roman"/>
          <w:sz w:val="26"/>
          <w:szCs w:val="26"/>
          <w:lang w:val="ro-MO"/>
        </w:rPr>
        <w:t>.</w:t>
      </w:r>
      <w:r w:rsidR="00D9365A" w:rsidRPr="00446F65">
        <w:rPr>
          <w:rFonts w:ascii="Times New Roman" w:hAnsi="Times New Roman" w:cs="Times New Roman"/>
          <w:sz w:val="26"/>
          <w:szCs w:val="26"/>
          <w:lang w:val="ro-MO"/>
        </w:rPr>
        <w:t xml:space="preserve"> Totodată nu </w:t>
      </w:r>
      <w:r w:rsidR="00204C9A" w:rsidRPr="00446F65">
        <w:rPr>
          <w:rFonts w:ascii="Times New Roman" w:hAnsi="Times New Roman" w:cs="Times New Roman"/>
          <w:sz w:val="26"/>
          <w:szCs w:val="26"/>
          <w:lang w:val="ro-MO"/>
        </w:rPr>
        <w:t xml:space="preserve">poate fi </w:t>
      </w:r>
      <w:r w:rsidR="00D9365A" w:rsidRPr="00446F65">
        <w:rPr>
          <w:rFonts w:ascii="Times New Roman" w:hAnsi="Times New Roman" w:cs="Times New Roman"/>
          <w:sz w:val="26"/>
          <w:szCs w:val="26"/>
          <w:lang w:val="ro-MO"/>
        </w:rPr>
        <w:t xml:space="preserve">exclus faptul ca la analizele viitoare să fie </w:t>
      </w:r>
      <w:r w:rsidR="00204C9A" w:rsidRPr="00446F65">
        <w:rPr>
          <w:rFonts w:ascii="Times New Roman" w:hAnsi="Times New Roman" w:cs="Times New Roman"/>
          <w:sz w:val="26"/>
          <w:szCs w:val="26"/>
          <w:lang w:val="ro-MO"/>
        </w:rPr>
        <w:t xml:space="preserve">identificate </w:t>
      </w:r>
      <w:r w:rsidR="00D9365A" w:rsidRPr="00446F65">
        <w:rPr>
          <w:rFonts w:ascii="Times New Roman" w:hAnsi="Times New Roman" w:cs="Times New Roman"/>
          <w:sz w:val="26"/>
          <w:szCs w:val="26"/>
          <w:lang w:val="ro-MO"/>
        </w:rPr>
        <w:t xml:space="preserve">piețe geografice distincte, datorită tehnologiilor alternative de acces dezvoltate de furnizorii alternativi, în special în </w:t>
      </w:r>
      <w:r w:rsidR="009A4227" w:rsidRPr="00446F65">
        <w:rPr>
          <w:rFonts w:ascii="Times New Roman" w:hAnsi="Times New Roman" w:cs="Times New Roman"/>
          <w:sz w:val="26"/>
          <w:szCs w:val="26"/>
          <w:lang w:val="ro-MO"/>
        </w:rPr>
        <w:t>mun</w:t>
      </w:r>
      <w:r w:rsidR="00E45C32" w:rsidRPr="00446F65">
        <w:rPr>
          <w:rFonts w:ascii="Times New Roman" w:hAnsi="Times New Roman" w:cs="Times New Roman"/>
          <w:sz w:val="26"/>
          <w:szCs w:val="26"/>
          <w:lang w:val="ro-MO"/>
        </w:rPr>
        <w:t xml:space="preserve">. Chișinău. Cu toate acestea, </w:t>
      </w:r>
      <w:r w:rsidR="009A4227" w:rsidRPr="00446F65">
        <w:rPr>
          <w:rFonts w:ascii="Times New Roman" w:hAnsi="Times New Roman" w:cs="Times New Roman"/>
          <w:sz w:val="26"/>
          <w:szCs w:val="26"/>
          <w:lang w:val="ro-MO"/>
        </w:rPr>
        <w:t xml:space="preserve">atâta </w:t>
      </w:r>
      <w:r w:rsidR="00E45C32" w:rsidRPr="00446F65">
        <w:rPr>
          <w:rFonts w:ascii="Times New Roman" w:hAnsi="Times New Roman" w:cs="Times New Roman"/>
          <w:sz w:val="26"/>
          <w:szCs w:val="26"/>
          <w:lang w:val="ro-MO"/>
        </w:rPr>
        <w:t xml:space="preserve">timp </w:t>
      </w:r>
      <w:r w:rsidR="004D4551" w:rsidRPr="00446F65">
        <w:rPr>
          <w:rFonts w:ascii="Times New Roman" w:hAnsi="Times New Roman" w:cs="Times New Roman"/>
          <w:sz w:val="26"/>
          <w:szCs w:val="26"/>
          <w:lang w:val="ro-MO"/>
        </w:rPr>
        <w:t xml:space="preserve">cât rămâne </w:t>
      </w:r>
      <w:r w:rsidR="00E45C32" w:rsidRPr="00446F65">
        <w:rPr>
          <w:rFonts w:ascii="Times New Roman" w:hAnsi="Times New Roman" w:cs="Times New Roman"/>
          <w:sz w:val="26"/>
          <w:szCs w:val="26"/>
          <w:lang w:val="ro-MO"/>
        </w:rPr>
        <w:t xml:space="preserve">cerința pentru prețuri medii </w:t>
      </w:r>
      <w:r w:rsidR="00840518" w:rsidRPr="00446F65">
        <w:rPr>
          <w:rFonts w:ascii="Times New Roman" w:hAnsi="Times New Roman" w:cs="Times New Roman"/>
          <w:sz w:val="26"/>
          <w:szCs w:val="26"/>
          <w:lang w:val="ro-MO"/>
        </w:rPr>
        <w:t xml:space="preserve">geografice cu amănuntul </w:t>
      </w:r>
      <w:r w:rsidR="00E45C32" w:rsidRPr="00446F65">
        <w:rPr>
          <w:rFonts w:ascii="Times New Roman" w:hAnsi="Times New Roman" w:cs="Times New Roman"/>
          <w:sz w:val="26"/>
          <w:szCs w:val="26"/>
          <w:lang w:val="ro-MO"/>
        </w:rPr>
        <w:t>pentru toată țara, acest lucru puțin probabil ar duce la condiții semnificativ diferite de ofertă în diferite zone ale țării.</w:t>
      </w:r>
    </w:p>
    <w:p w:rsidR="00EB4BBA" w:rsidRPr="00446F65" w:rsidRDefault="00EB4BBA"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A84A91" w:rsidRPr="00446F65" w:rsidRDefault="00E6197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eastAsiaTheme="majorEastAsia" w:hAnsi="Times New Roman" w:cs="Times New Roman"/>
          <w:b/>
          <w:bCs/>
          <w:sz w:val="26"/>
          <w:szCs w:val="26"/>
          <w:lang w:val="ro-MO"/>
        </w:rPr>
        <w:t xml:space="preserve">Concluzia ANRCETI: </w:t>
      </w:r>
      <w:r w:rsidRPr="00446F65">
        <w:rPr>
          <w:rFonts w:ascii="Times New Roman" w:eastAsiaTheme="majorEastAsia" w:hAnsi="Times New Roman" w:cs="Times New Roman"/>
          <w:bCs/>
          <w:sz w:val="26"/>
          <w:szCs w:val="26"/>
          <w:lang w:val="ro-MO"/>
        </w:rPr>
        <w:t>piaţa</w:t>
      </w:r>
      <w:r w:rsidRPr="00446F65">
        <w:rPr>
          <w:rFonts w:ascii="Times New Roman" w:hAnsi="Times New Roman" w:cs="Times New Roman"/>
          <w:sz w:val="26"/>
          <w:szCs w:val="26"/>
          <w:lang w:val="ro-MO"/>
        </w:rPr>
        <w:t xml:space="preserve"> geografică relevantă a </w:t>
      </w:r>
      <w:r w:rsidR="004D4551" w:rsidRPr="00446F65">
        <w:rPr>
          <w:rFonts w:ascii="Times New Roman" w:hAnsi="Times New Roman" w:cs="Times New Roman"/>
          <w:sz w:val="26"/>
          <w:szCs w:val="26"/>
          <w:lang w:val="ro-MO"/>
        </w:rPr>
        <w:t>serviciilor</w:t>
      </w:r>
      <w:r w:rsidR="004D4551" w:rsidRPr="00446F65" w:rsidDel="004D4551">
        <w:rPr>
          <w:rFonts w:ascii="Times New Roman" w:hAnsi="Times New Roman" w:cs="Times New Roman"/>
          <w:sz w:val="26"/>
          <w:szCs w:val="26"/>
          <w:lang w:val="ro-MO"/>
        </w:rPr>
        <w:t xml:space="preserve"> </w:t>
      </w:r>
      <w:r w:rsidR="004D4551" w:rsidRPr="00446F65">
        <w:rPr>
          <w:rFonts w:ascii="Times New Roman" w:hAnsi="Times New Roman" w:cs="Times New Roman"/>
          <w:sz w:val="26"/>
          <w:szCs w:val="26"/>
          <w:lang w:val="ro-MO"/>
        </w:rPr>
        <w:t xml:space="preserve">cu ridicata de acces local la puncte fixe </w:t>
      </w:r>
      <w:r w:rsidRPr="00446F65">
        <w:rPr>
          <w:rFonts w:ascii="Times New Roman" w:hAnsi="Times New Roman" w:cs="Times New Roman"/>
          <w:sz w:val="26"/>
          <w:szCs w:val="26"/>
          <w:lang w:val="ro-MO"/>
        </w:rPr>
        <w:t>este naţională, determinată de teritoriul Republicii Moldova.</w:t>
      </w:r>
    </w:p>
    <w:p w:rsidR="00261754" w:rsidRPr="00446F65" w:rsidRDefault="00720375" w:rsidP="00317915">
      <w:pPr>
        <w:pStyle w:val="Heading4"/>
        <w:spacing w:line="240" w:lineRule="auto"/>
        <w:ind w:firstLine="720"/>
        <w:rPr>
          <w:rFonts w:cs="Times New Roman"/>
          <w:i w:val="0"/>
          <w:color w:val="auto"/>
          <w:szCs w:val="26"/>
          <w:lang w:val="ro-MO"/>
        </w:rPr>
      </w:pPr>
      <w:bookmarkStart w:id="17" w:name="_Toc492907376"/>
      <w:r w:rsidRPr="00446F65">
        <w:rPr>
          <w:rFonts w:cs="Times New Roman"/>
          <w:i w:val="0"/>
          <w:color w:val="auto"/>
          <w:szCs w:val="26"/>
          <w:lang w:val="ro-MO"/>
        </w:rPr>
        <w:t>3.1.3</w:t>
      </w:r>
      <w:r w:rsidR="00261754" w:rsidRPr="00446F65">
        <w:rPr>
          <w:rFonts w:cs="Times New Roman"/>
          <w:i w:val="0"/>
          <w:color w:val="auto"/>
          <w:szCs w:val="26"/>
          <w:lang w:val="ro-MO"/>
        </w:rPr>
        <w:t xml:space="preserve"> Aplicarea testului celor trei criterii</w:t>
      </w:r>
      <w:bookmarkEnd w:id="17"/>
      <w:r w:rsidR="00261754" w:rsidRPr="00446F65">
        <w:rPr>
          <w:rFonts w:cs="Times New Roman"/>
          <w:i w:val="0"/>
          <w:color w:val="auto"/>
          <w:szCs w:val="26"/>
          <w:lang w:val="ro-MO"/>
        </w:rPr>
        <w:t xml:space="preserve"> </w:t>
      </w:r>
    </w:p>
    <w:p w:rsidR="00261754"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conformitate cu Legea </w:t>
      </w:r>
      <w:r w:rsidR="00343EA1" w:rsidRPr="00446F65">
        <w:rPr>
          <w:rFonts w:ascii="Times New Roman" w:hAnsi="Times New Roman" w:cs="Times New Roman"/>
          <w:sz w:val="26"/>
          <w:szCs w:val="26"/>
          <w:lang w:val="ro-MO"/>
        </w:rPr>
        <w:t>nr. 241/2007</w:t>
      </w:r>
      <w:r w:rsidRPr="00446F65">
        <w:rPr>
          <w:rFonts w:ascii="Times New Roman" w:hAnsi="Times New Roman" w:cs="Times New Roman"/>
          <w:sz w:val="26"/>
          <w:szCs w:val="26"/>
          <w:lang w:val="ro-MO"/>
        </w:rPr>
        <w:t>, pentru ca o piaţă să fie relevantă reglementării preventive de către ANRCETI, este important ca aceasta să întrunească caracteristici care să justifice impunerea obligaţiilor speciale preventive (</w:t>
      </w:r>
      <w:r w:rsidR="00343EA1" w:rsidRPr="00446F65">
        <w:rPr>
          <w:rFonts w:ascii="Times New Roman" w:hAnsi="Times New Roman" w:cs="Times New Roman"/>
          <w:sz w:val="26"/>
          <w:szCs w:val="26"/>
          <w:lang w:val="ro-MO"/>
        </w:rPr>
        <w:t>art</w:t>
      </w:r>
      <w:r w:rsidRPr="00446F65">
        <w:rPr>
          <w:rFonts w:ascii="Times New Roman" w:hAnsi="Times New Roman" w:cs="Times New Roman"/>
          <w:sz w:val="26"/>
          <w:szCs w:val="26"/>
          <w:lang w:val="ro-MO"/>
        </w:rPr>
        <w:t xml:space="preserve">.51 (1), </w:t>
      </w:r>
      <w:proofErr w:type="spellStart"/>
      <w:r w:rsidRPr="00446F65">
        <w:rPr>
          <w:rFonts w:ascii="Times New Roman" w:hAnsi="Times New Roman" w:cs="Times New Roman"/>
          <w:sz w:val="26"/>
          <w:szCs w:val="26"/>
          <w:lang w:val="ro-MO"/>
        </w:rPr>
        <w:t>lit.a</w:t>
      </w:r>
      <w:proofErr w:type="spellEnd"/>
      <w:r w:rsidRPr="00446F65">
        <w:rPr>
          <w:rFonts w:ascii="Times New Roman" w:hAnsi="Times New Roman" w:cs="Times New Roman"/>
          <w:sz w:val="26"/>
          <w:szCs w:val="26"/>
          <w:lang w:val="ro-MO"/>
        </w:rPr>
        <w:t xml:space="preserve">)). </w:t>
      </w:r>
    </w:p>
    <w:p w:rsidR="006869FD" w:rsidRPr="00446F65" w:rsidRDefault="006869FD"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6869FD" w:rsidRPr="00446F65" w:rsidRDefault="006869FD" w:rsidP="00317915">
      <w:pPr>
        <w:spacing w:line="240" w:lineRule="auto"/>
        <w:ind w:firstLine="567"/>
        <w:rPr>
          <w:rFonts w:ascii="Times New Roman" w:hAnsi="Times New Roman" w:cs="Times New Roman"/>
          <w:sz w:val="26"/>
          <w:szCs w:val="26"/>
          <w:lang w:val="ro-MO"/>
        </w:rPr>
      </w:pPr>
      <w:r w:rsidRPr="00446F65">
        <w:rPr>
          <w:rFonts w:ascii="Times New Roman" w:hAnsi="Times New Roman" w:cs="Times New Roman"/>
          <w:b/>
          <w:sz w:val="26"/>
          <w:szCs w:val="26"/>
          <w:lang w:val="ro-MO"/>
        </w:rPr>
        <w:t>Testul celor trei criterii</w:t>
      </w:r>
    </w:p>
    <w:p w:rsidR="006869FD" w:rsidRPr="00446F65" w:rsidRDefault="006869FD" w:rsidP="00317915">
      <w:pPr>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Acest test se referă la cele trei criterii care se aplică înainte de a supune piaţa unei reglementări preventive. Aceste criterii conform Regulamentului sunt: </w:t>
      </w:r>
    </w:p>
    <w:p w:rsidR="006869FD" w:rsidRPr="00446F65" w:rsidRDefault="006869FD" w:rsidP="00317915">
      <w:pPr>
        <w:pStyle w:val="ListParagraph"/>
        <w:numPr>
          <w:ilvl w:val="0"/>
          <w:numId w:val="7"/>
        </w:numPr>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Prezenţa unor bariere înalte la intrare pe piaţă; </w:t>
      </w:r>
    </w:p>
    <w:p w:rsidR="006869FD" w:rsidRPr="00446F65" w:rsidRDefault="006869FD" w:rsidP="00317915">
      <w:pPr>
        <w:pStyle w:val="ListParagraph"/>
        <w:numPr>
          <w:ilvl w:val="0"/>
          <w:numId w:val="7"/>
        </w:numPr>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Dinamica pieţei (lipsa tendinţelor evidente spre o concurenţă efectivă în viitor); </w:t>
      </w:r>
    </w:p>
    <w:p w:rsidR="006869FD" w:rsidRPr="00446F65" w:rsidRDefault="006869FD" w:rsidP="00317915">
      <w:pPr>
        <w:pStyle w:val="ListParagraph"/>
        <w:numPr>
          <w:ilvl w:val="0"/>
          <w:numId w:val="7"/>
        </w:numPr>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Insuficienţa aplicării prevederilor legislaţiei concurenţei.</w:t>
      </w:r>
    </w:p>
    <w:p w:rsidR="006869FD" w:rsidRPr="00446F65" w:rsidRDefault="006869FD" w:rsidP="00317915">
      <w:pPr>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Comisia Europeană sintetizează şi explică aceste criterii, după cum urmează:</w:t>
      </w:r>
    </w:p>
    <w:p w:rsidR="006869FD" w:rsidRPr="00446F65" w:rsidRDefault="006869FD" w:rsidP="00317915">
      <w:pPr>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Primul criteriu este prezenţa unor bariere înalte la intrarea pe piaţă. Dat fiind caracterul dinamic al pieţelor de comunicaţii electronice trebuie, de asemenea, să se ia în consideraţie şi posibilităţile pieţei de a tinde spre un rezultat competitiv, în pofida barierelor înalte la intrare.</w:t>
      </w:r>
    </w:p>
    <w:p w:rsidR="006869FD" w:rsidRPr="00446F65" w:rsidRDefault="006869FD" w:rsidP="00317915">
      <w:pPr>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Cel de-al doilea criteriu constă în faptul că dacă pe piaţa dată nu se observă tendinţe spre o concurenţă efectivă în viitor şi nici nu sunt fluctuaţii semnificative ale cotelor de piaţă care ar sugera o concurenţă vibrantă, există temei să se considere că piaţa dată necesită intervenţie de reglementare pentru a preveni şi limita efectele utilizării de către furnizorii semnificativi de pe aceasta a puterii lor în detrimentul concurenţei. Acest criteriu este unul dinamic şi ia în consideraţie un număr de aspecte structurale şi de comportament care la examinarea tuturor factorilor, indică dacă piaţa are sau nu caracteristici de natură să justifice impunerea obligaţiilor de reglementare.</w:t>
      </w:r>
    </w:p>
    <w:p w:rsidR="006869FD" w:rsidRPr="00446F65" w:rsidRDefault="006869FD" w:rsidP="00317915">
      <w:pPr>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Al treilea criteriu ţine de insuficienţa legislației concurenţei de a preveni de sine stătător eşecul pieţei sau de a-l remedia efectiv fără reglementarea preventivă. Prin acesta se presupune că dacă aplicarea doar a măsurilor prevăzute de instrumentarul legislaţiei generale a concurenţei, ar fi suficientă pentru a remedia efectiv eşecul concurenţei în cazul în care puterea semnificativă de piaţă este aplicată, atunci nu este necesară intervenţia </w:t>
      </w:r>
      <w:r w:rsidRPr="00446F65">
        <w:rPr>
          <w:rFonts w:ascii="Times New Roman" w:hAnsi="Times New Roman" w:cs="Times New Roman"/>
          <w:i/>
          <w:sz w:val="26"/>
          <w:szCs w:val="26"/>
          <w:lang w:val="ro-MO"/>
        </w:rPr>
        <w:t>ex-ante</w:t>
      </w:r>
      <w:r w:rsidRPr="00446F65">
        <w:rPr>
          <w:rFonts w:ascii="Times New Roman" w:hAnsi="Times New Roman" w:cs="Times New Roman"/>
          <w:sz w:val="26"/>
          <w:szCs w:val="26"/>
          <w:lang w:val="ro-MO"/>
        </w:rPr>
        <w:t>.</w:t>
      </w:r>
    </w:p>
    <w:p w:rsidR="006869FD" w:rsidRPr="00446F65" w:rsidRDefault="006869FD" w:rsidP="00317915">
      <w:pPr>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Astfel, dacă ANRCETI ajunge la concluzia că pentru intrarea şi ieşirea de pe piaţa relevantă a produsului există bariere semnificative, nu există semne că piaţa dată ar fi suficient de competitivă şi nici semne ale unor tendinţe spre o concurenţă efectivă în orizont scurt şi mediu de timp, precum şi ajunge la concluzia că aplicarea doar a instrumentelor legislaţiei generale a concurenţei este insuficientă pentru rezolvarea eşecului concurenţei, atunci piaţa dată este susceptibilă reglementării preventive. În asemenea caz, ANRCETI identifică prin decizia </w:t>
      </w:r>
      <w:r w:rsidRPr="00446F65">
        <w:rPr>
          <w:rFonts w:ascii="Times New Roman" w:hAnsi="Times New Roman" w:cs="Times New Roman"/>
          <w:sz w:val="26"/>
          <w:szCs w:val="26"/>
          <w:lang w:val="ro-MO"/>
        </w:rPr>
        <w:lastRenderedPageBreak/>
        <w:t xml:space="preserve">Consiliului de Administraţie piața dată drept relevantă reglementării preventive (reglementării </w:t>
      </w:r>
      <w:r w:rsidRPr="00446F65">
        <w:rPr>
          <w:rFonts w:ascii="Times New Roman" w:hAnsi="Times New Roman" w:cs="Times New Roman"/>
          <w:i/>
          <w:sz w:val="26"/>
          <w:szCs w:val="26"/>
          <w:lang w:val="ro-MO"/>
        </w:rPr>
        <w:t>ex-ante</w:t>
      </w:r>
      <w:r w:rsidRPr="00446F65">
        <w:rPr>
          <w:rFonts w:ascii="Times New Roman" w:hAnsi="Times New Roman" w:cs="Times New Roman"/>
          <w:sz w:val="26"/>
          <w:szCs w:val="26"/>
          <w:lang w:val="ro-MO"/>
        </w:rPr>
        <w:t>).</w:t>
      </w:r>
    </w:p>
    <w:p w:rsidR="006869FD" w:rsidRPr="00446F65" w:rsidRDefault="006869FD" w:rsidP="00317915">
      <w:pPr>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Pentru a lua decizia dacă o piaţă dată este sau nu susceptibilă unei reglementări preventive, ANRCETI, conform prevederilor Regulamentului, desfăşoară un proces în două etape: iniţial defineşte piaţa relevantă a produsului şi cea geografică; în caz că piaţa definită este determinată drept relevantă, testează susceptibilitatea pieţei la reglementarea preventivă.</w:t>
      </w:r>
    </w:p>
    <w:p w:rsidR="006869FD" w:rsidRPr="00446F65" w:rsidRDefault="006869FD"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261754"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a stabilit în Regulament că pentru determinarea faptului dacă o piaţă a produsului este relevantă </w:t>
      </w:r>
      <w:r w:rsidR="0086323C" w:rsidRPr="00446F65">
        <w:rPr>
          <w:rFonts w:ascii="Times New Roman" w:hAnsi="Times New Roman" w:cs="Times New Roman"/>
          <w:sz w:val="26"/>
          <w:szCs w:val="26"/>
          <w:lang w:val="ro-MO"/>
        </w:rPr>
        <w:t xml:space="preserve">reglementării </w:t>
      </w:r>
      <w:r w:rsidR="0086323C" w:rsidRPr="00446F65">
        <w:rPr>
          <w:rFonts w:ascii="Times New Roman" w:hAnsi="Times New Roman" w:cs="Times New Roman"/>
          <w:i/>
          <w:sz w:val="26"/>
          <w:szCs w:val="26"/>
          <w:lang w:val="ro-MO"/>
        </w:rPr>
        <w:t>ex ante</w:t>
      </w:r>
      <w:r w:rsidR="0086323C"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este necesar ca ea să întrunească respectarea a trei criterii (exerciţiu numit Testul celor trei criterii)</w:t>
      </w:r>
      <w:r w:rsidR="008C3114"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w:t>
      </w:r>
    </w:p>
    <w:p w:rsidR="00261754"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Cele trei criterii sunt: </w:t>
      </w:r>
    </w:p>
    <w:p w:rsidR="00261754"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bCs/>
          <w:sz w:val="26"/>
          <w:szCs w:val="26"/>
          <w:lang w:val="ro-MO"/>
        </w:rPr>
        <w:t>1.</w:t>
      </w:r>
      <w:r w:rsidRPr="00446F65">
        <w:rPr>
          <w:rFonts w:ascii="Times New Roman" w:hAnsi="Times New Roman" w:cs="Times New Roman"/>
          <w:b/>
          <w:bCs/>
          <w:sz w:val="26"/>
          <w:szCs w:val="26"/>
          <w:lang w:val="ro-MO"/>
        </w:rPr>
        <w:t xml:space="preserve"> </w:t>
      </w:r>
      <w:r w:rsidRPr="00446F65">
        <w:rPr>
          <w:rFonts w:ascii="Times New Roman" w:hAnsi="Times New Roman" w:cs="Times New Roman"/>
          <w:sz w:val="26"/>
          <w:szCs w:val="26"/>
          <w:lang w:val="ro-MO"/>
        </w:rPr>
        <w:t xml:space="preserve">dacă piaţa de comunicaţii electronice este caracterizată prin existenţa unor bariere înalte la intrare; </w:t>
      </w:r>
    </w:p>
    <w:p w:rsidR="00261754"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bCs/>
          <w:sz w:val="26"/>
          <w:szCs w:val="26"/>
          <w:lang w:val="ro-MO"/>
        </w:rPr>
        <w:t>2</w:t>
      </w:r>
      <w:r w:rsidRPr="00446F65">
        <w:rPr>
          <w:rFonts w:ascii="Times New Roman" w:hAnsi="Times New Roman" w:cs="Times New Roman"/>
          <w:b/>
          <w:bCs/>
          <w:sz w:val="26"/>
          <w:szCs w:val="26"/>
          <w:lang w:val="ro-MO"/>
        </w:rPr>
        <w:t xml:space="preserve">. </w:t>
      </w:r>
      <w:r w:rsidRPr="00446F65">
        <w:rPr>
          <w:rFonts w:ascii="Times New Roman" w:hAnsi="Times New Roman" w:cs="Times New Roman"/>
          <w:sz w:val="26"/>
          <w:szCs w:val="26"/>
          <w:lang w:val="ro-MO"/>
        </w:rPr>
        <w:t xml:space="preserve">dacă piaţa de comunicaţii electronice în cauză ar tinde pe termen scurt sau mediu, spre o concurenţă suficientă pentru a proteja interesele consumatorilor, chiar şi fără intervenţii de reglementare; şi </w:t>
      </w:r>
    </w:p>
    <w:p w:rsidR="008C3114"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bCs/>
          <w:sz w:val="26"/>
          <w:szCs w:val="26"/>
          <w:lang w:val="ro-MO"/>
        </w:rPr>
        <w:t>3</w:t>
      </w:r>
      <w:r w:rsidR="00015DB1" w:rsidRPr="00446F65">
        <w:rPr>
          <w:rFonts w:ascii="Times New Roman" w:hAnsi="Times New Roman" w:cs="Times New Roman"/>
          <w:sz w:val="26"/>
          <w:szCs w:val="26"/>
          <w:lang w:val="ro-MO"/>
        </w:rPr>
        <w:t>. d</w:t>
      </w:r>
      <w:r w:rsidRPr="00446F65">
        <w:rPr>
          <w:rFonts w:ascii="Times New Roman" w:hAnsi="Times New Roman" w:cs="Times New Roman"/>
          <w:sz w:val="26"/>
          <w:szCs w:val="26"/>
          <w:lang w:val="ro-MO"/>
        </w:rPr>
        <w:t xml:space="preserve">acă măsurile </w:t>
      </w:r>
      <w:r w:rsidR="00366C16" w:rsidRPr="00446F65">
        <w:rPr>
          <w:rFonts w:ascii="Times New Roman" w:hAnsi="Times New Roman" w:cs="Times New Roman"/>
          <w:i/>
          <w:iCs/>
          <w:sz w:val="26"/>
          <w:szCs w:val="26"/>
          <w:lang w:val="ro-MO"/>
        </w:rPr>
        <w:t>ex-</w:t>
      </w:r>
      <w:r w:rsidRPr="00446F65">
        <w:rPr>
          <w:rFonts w:ascii="Times New Roman" w:hAnsi="Times New Roman" w:cs="Times New Roman"/>
          <w:i/>
          <w:iCs/>
          <w:sz w:val="26"/>
          <w:szCs w:val="26"/>
          <w:lang w:val="ro-MO"/>
        </w:rPr>
        <w:t>post</w:t>
      </w:r>
      <w:r w:rsidRPr="00446F65">
        <w:rPr>
          <w:rFonts w:ascii="Times New Roman" w:hAnsi="Times New Roman" w:cs="Times New Roman"/>
          <w:sz w:val="26"/>
          <w:szCs w:val="26"/>
          <w:lang w:val="ro-MO"/>
        </w:rPr>
        <w:t xml:space="preserve">, în absenţa unor măsuri </w:t>
      </w:r>
      <w:r w:rsidRPr="00446F65">
        <w:rPr>
          <w:rFonts w:ascii="Times New Roman" w:hAnsi="Times New Roman" w:cs="Times New Roman"/>
          <w:i/>
          <w:iCs/>
          <w:sz w:val="26"/>
          <w:szCs w:val="26"/>
          <w:lang w:val="ro-MO"/>
        </w:rPr>
        <w:t xml:space="preserve">ex-ante </w:t>
      </w:r>
      <w:r w:rsidRPr="00446F65">
        <w:rPr>
          <w:rFonts w:ascii="Times New Roman" w:hAnsi="Times New Roman" w:cs="Times New Roman"/>
          <w:sz w:val="26"/>
          <w:szCs w:val="26"/>
          <w:lang w:val="ro-MO"/>
        </w:rPr>
        <w:t>impuse pe această piaţă, ar fi suficiente pentru a remedia îngrijorările legate de existenţa un</w:t>
      </w:r>
      <w:r w:rsidR="00103D22" w:rsidRPr="00446F65">
        <w:rPr>
          <w:rFonts w:ascii="Times New Roman" w:hAnsi="Times New Roman" w:cs="Times New Roman"/>
          <w:sz w:val="26"/>
          <w:szCs w:val="26"/>
          <w:lang w:val="ro-MO"/>
        </w:rPr>
        <w:t xml:space="preserve">ei poziţii dominante pe piaţă. </w:t>
      </w:r>
    </w:p>
    <w:p w:rsidR="00261754"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Este necesar de menţionat că aplicarea acestui test pentru aprecierea relevanţei pieţelor pentru reglementarea preventivă a fost elaborat de Comisia Europeană şi recomandat regulatorilor naţionali pentru exerciţiul de identificare a pieţelor. </w:t>
      </w:r>
    </w:p>
    <w:p w:rsidR="00261754"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Toate aceste criterii trebuie să fie îndeplinite împreună. În cazul în care, barierele la intrare nu sunt de durată, sau în cazul în care există dovezi recente de concurenţă sporită şi de o concurenţă care tinde spre creştere continuă pe termen scurt şi mediu, sau în cazul în care există anumite motive să se creadă că intervenţia </w:t>
      </w:r>
      <w:r w:rsidRPr="00446F65">
        <w:rPr>
          <w:rFonts w:ascii="Times New Roman" w:hAnsi="Times New Roman" w:cs="Times New Roman"/>
          <w:i/>
          <w:iCs/>
          <w:sz w:val="26"/>
          <w:szCs w:val="26"/>
          <w:lang w:val="ro-MO"/>
        </w:rPr>
        <w:t xml:space="preserve">ex-post </w:t>
      </w:r>
      <w:r w:rsidRPr="00446F65">
        <w:rPr>
          <w:rFonts w:ascii="Times New Roman" w:hAnsi="Times New Roman" w:cs="Times New Roman"/>
          <w:sz w:val="26"/>
          <w:szCs w:val="26"/>
          <w:lang w:val="ro-MO"/>
        </w:rPr>
        <w:t xml:space="preserve">de către regulator ar putea fi eficientă, atunci este rezonabil ca regulatorul să se abţină de la impunerea măsurilor preventive în sarcina furnizorului cu putere semnificativă. </w:t>
      </w:r>
    </w:p>
    <w:p w:rsidR="00261754"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cazul în care toate criteriile sunt îndeplinite, atunci ar fi justificată o analiză </w:t>
      </w:r>
      <w:r w:rsidR="00CB482E" w:rsidRPr="00446F65">
        <w:rPr>
          <w:rFonts w:ascii="Times New Roman" w:hAnsi="Times New Roman" w:cs="Times New Roman"/>
          <w:sz w:val="26"/>
          <w:szCs w:val="26"/>
          <w:lang w:val="ro-MO"/>
        </w:rPr>
        <w:t xml:space="preserve">detaliată </w:t>
      </w:r>
      <w:r w:rsidRPr="00446F65">
        <w:rPr>
          <w:rFonts w:ascii="Times New Roman" w:hAnsi="Times New Roman" w:cs="Times New Roman"/>
          <w:sz w:val="26"/>
          <w:szCs w:val="26"/>
          <w:lang w:val="ro-MO"/>
        </w:rPr>
        <w:t xml:space="preserve">de piaţă pentru a determina ce furnizor are putere semnificativă pe piaţă şi a stabili remediile </w:t>
      </w:r>
      <w:r w:rsidRPr="00446F65">
        <w:rPr>
          <w:rFonts w:ascii="Times New Roman" w:hAnsi="Times New Roman" w:cs="Times New Roman"/>
          <w:i/>
          <w:iCs/>
          <w:sz w:val="26"/>
          <w:szCs w:val="26"/>
          <w:lang w:val="ro-MO"/>
        </w:rPr>
        <w:t xml:space="preserve">preventive </w:t>
      </w:r>
      <w:r w:rsidRPr="00446F65">
        <w:rPr>
          <w:rFonts w:ascii="Times New Roman" w:hAnsi="Times New Roman" w:cs="Times New Roman"/>
          <w:sz w:val="26"/>
          <w:szCs w:val="26"/>
          <w:lang w:val="ro-MO"/>
        </w:rPr>
        <w:t xml:space="preserve">aplicate acestor furnizori. </w:t>
      </w:r>
    </w:p>
    <w:p w:rsidR="00CB482E" w:rsidRPr="00122CAE" w:rsidRDefault="00CB482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Este necesar de menţionat că aplicarea acestui test pentru aprecierea relevanţei pieţelor pentru reglementarea preventivă a fost elaborat de Comisia Europeană şi recomandat regulatorilor naţionali pentru exerciţiul de identificare a pieţelor.</w:t>
      </w:r>
      <w:r w:rsidRPr="00122CAE">
        <w:rPr>
          <w:rFonts w:ascii="Times New Roman" w:hAnsi="Times New Roman" w:cs="Times New Roman"/>
          <w:sz w:val="26"/>
          <w:szCs w:val="26"/>
          <w:lang w:val="ro-MO"/>
        </w:rPr>
        <w:t xml:space="preserve"> </w:t>
      </w:r>
    </w:p>
    <w:p w:rsidR="00261754" w:rsidRPr="00446F65" w:rsidRDefault="0098454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Compartimentul</w:t>
      </w:r>
      <w:r w:rsidR="00261754" w:rsidRPr="00446F65">
        <w:rPr>
          <w:rFonts w:ascii="Times New Roman" w:hAnsi="Times New Roman" w:cs="Times New Roman"/>
          <w:sz w:val="26"/>
          <w:szCs w:val="26"/>
          <w:lang w:val="ro-MO"/>
        </w:rPr>
        <w:t xml:space="preserve"> de mai jos aplică fiecare dintre aceste criterii la piaţa </w:t>
      </w:r>
      <w:r w:rsidR="00CB482E" w:rsidRPr="00446F65">
        <w:rPr>
          <w:rFonts w:ascii="Times New Roman" w:hAnsi="Times New Roman" w:cs="Times New Roman"/>
          <w:sz w:val="26"/>
          <w:szCs w:val="26"/>
          <w:lang w:val="ro-MO"/>
        </w:rPr>
        <w:t>furnizării cu ridicata de servicii de acces local la puncte fixe</w:t>
      </w:r>
      <w:r w:rsidR="00261754" w:rsidRPr="00446F65">
        <w:rPr>
          <w:rFonts w:ascii="Times New Roman" w:hAnsi="Times New Roman" w:cs="Times New Roman"/>
          <w:sz w:val="26"/>
          <w:szCs w:val="26"/>
          <w:lang w:val="ro-MO"/>
        </w:rPr>
        <w:t xml:space="preserve">. </w:t>
      </w:r>
    </w:p>
    <w:p w:rsidR="00F31969" w:rsidRPr="00446F65" w:rsidRDefault="00F31969"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261754" w:rsidRPr="00446F65" w:rsidRDefault="00720375" w:rsidP="00317915">
      <w:pPr>
        <w:pStyle w:val="Heading5"/>
        <w:spacing w:line="240" w:lineRule="auto"/>
        <w:ind w:firstLine="720"/>
        <w:rPr>
          <w:rFonts w:ascii="Times New Roman" w:hAnsi="Times New Roman" w:cs="Times New Roman"/>
          <w:b/>
          <w:color w:val="auto"/>
          <w:sz w:val="26"/>
          <w:szCs w:val="26"/>
          <w:lang w:val="ro-MO"/>
        </w:rPr>
      </w:pPr>
      <w:bookmarkStart w:id="18" w:name="_Toc492907377"/>
      <w:r w:rsidRPr="00446F65">
        <w:rPr>
          <w:rFonts w:ascii="Times New Roman" w:hAnsi="Times New Roman" w:cs="Times New Roman"/>
          <w:b/>
          <w:color w:val="auto"/>
          <w:sz w:val="26"/>
          <w:szCs w:val="26"/>
          <w:lang w:val="ro-MO"/>
        </w:rPr>
        <w:t xml:space="preserve">3.1.3.1 </w:t>
      </w:r>
      <w:r w:rsidR="00261754" w:rsidRPr="00446F65">
        <w:rPr>
          <w:rFonts w:ascii="Times New Roman" w:hAnsi="Times New Roman" w:cs="Times New Roman"/>
          <w:b/>
          <w:color w:val="auto"/>
          <w:sz w:val="26"/>
          <w:szCs w:val="26"/>
          <w:lang w:val="ro-MO"/>
        </w:rPr>
        <w:t xml:space="preserve"> Barierele de intrare</w:t>
      </w:r>
      <w:r w:rsidR="00037953" w:rsidRPr="00446F65">
        <w:rPr>
          <w:rFonts w:ascii="Times New Roman" w:hAnsi="Times New Roman" w:cs="Times New Roman"/>
          <w:b/>
          <w:color w:val="auto"/>
          <w:sz w:val="26"/>
          <w:szCs w:val="26"/>
          <w:lang w:val="ro-MO"/>
        </w:rPr>
        <w:t xml:space="preserve"> </w:t>
      </w:r>
      <w:r w:rsidR="00261754" w:rsidRPr="00446F65">
        <w:rPr>
          <w:rFonts w:ascii="Times New Roman" w:hAnsi="Times New Roman" w:cs="Times New Roman"/>
          <w:b/>
          <w:color w:val="auto"/>
          <w:sz w:val="26"/>
          <w:szCs w:val="26"/>
          <w:lang w:val="ro-MO"/>
        </w:rPr>
        <w:t>şi ieşire</w:t>
      </w:r>
      <w:bookmarkEnd w:id="18"/>
      <w:r w:rsidR="00261754" w:rsidRPr="00446F65">
        <w:rPr>
          <w:rFonts w:ascii="Times New Roman" w:hAnsi="Times New Roman" w:cs="Times New Roman"/>
          <w:b/>
          <w:color w:val="auto"/>
          <w:sz w:val="26"/>
          <w:szCs w:val="26"/>
          <w:lang w:val="ro-MO"/>
        </w:rPr>
        <w:t xml:space="preserve"> </w:t>
      </w:r>
    </w:p>
    <w:p w:rsidR="00261754" w:rsidRPr="00446F65" w:rsidRDefault="0026175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Barierele pentru intrarea pe sau ieşirea de pe piaţă pot fi de două tipuri: </w:t>
      </w:r>
    </w:p>
    <w:p w:rsidR="00261754" w:rsidRPr="00446F65" w:rsidRDefault="00261754" w:rsidP="00317915">
      <w:pPr>
        <w:pStyle w:val="ListParagraph"/>
        <w:numPr>
          <w:ilvl w:val="0"/>
          <w:numId w:val="3"/>
        </w:numPr>
        <w:tabs>
          <w:tab w:val="left" w:pos="426"/>
          <w:tab w:val="left" w:pos="993"/>
        </w:tabs>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b/>
          <w:bCs/>
          <w:sz w:val="26"/>
          <w:szCs w:val="26"/>
          <w:lang w:val="ro-MO"/>
        </w:rPr>
        <w:t>structurale</w:t>
      </w:r>
      <w:r w:rsidRPr="00446F65">
        <w:rPr>
          <w:rFonts w:ascii="Times New Roman" w:hAnsi="Times New Roman" w:cs="Times New Roman"/>
          <w:sz w:val="26"/>
          <w:szCs w:val="26"/>
          <w:lang w:val="ro-MO"/>
        </w:rPr>
        <w:t>: bazate pe economii de scară</w:t>
      </w:r>
      <w:r w:rsidR="00FD2023"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gamă</w:t>
      </w:r>
      <w:r w:rsidR="00FD2023" w:rsidRPr="00446F65">
        <w:rPr>
          <w:rFonts w:ascii="Times New Roman" w:hAnsi="Times New Roman" w:cs="Times New Roman"/>
          <w:sz w:val="26"/>
          <w:szCs w:val="26"/>
          <w:lang w:val="ro-MO"/>
        </w:rPr>
        <w:t xml:space="preserve"> și densitate</w:t>
      </w:r>
      <w:r w:rsidRPr="00446F65">
        <w:rPr>
          <w:rFonts w:ascii="Times New Roman" w:hAnsi="Times New Roman" w:cs="Times New Roman"/>
          <w:sz w:val="26"/>
          <w:szCs w:val="26"/>
          <w:lang w:val="ro-MO"/>
        </w:rPr>
        <w:t>, costuri irecuperabile şi constrângeri tehnice</w:t>
      </w:r>
      <w:r w:rsidR="00EE0E03" w:rsidRPr="00446F65">
        <w:rPr>
          <w:rFonts w:ascii="Times New Roman" w:hAnsi="Times New Roman" w:cs="Times New Roman"/>
          <w:sz w:val="26"/>
          <w:szCs w:val="26"/>
          <w:lang w:val="ro-MO"/>
        </w:rPr>
        <w:t xml:space="preserve"> </w:t>
      </w:r>
      <w:r w:rsidR="00CB482E" w:rsidRPr="00446F65">
        <w:rPr>
          <w:rFonts w:ascii="Times New Roman" w:hAnsi="Times New Roman" w:cs="Times New Roman"/>
          <w:sz w:val="26"/>
          <w:szCs w:val="26"/>
          <w:lang w:val="ro-MO"/>
        </w:rPr>
        <w:t>etc</w:t>
      </w:r>
      <w:r w:rsidR="002577F8" w:rsidRPr="00446F65">
        <w:rPr>
          <w:rFonts w:ascii="Times New Roman" w:hAnsi="Times New Roman" w:cs="Times New Roman"/>
          <w:sz w:val="26"/>
          <w:szCs w:val="26"/>
          <w:lang w:val="ro-MO"/>
        </w:rPr>
        <w:t>.</w:t>
      </w:r>
      <w:r w:rsidR="00EE0E03" w:rsidRPr="00446F65">
        <w:rPr>
          <w:rFonts w:ascii="Times New Roman" w:hAnsi="Times New Roman" w:cs="Times New Roman"/>
          <w:sz w:val="26"/>
          <w:szCs w:val="26"/>
          <w:lang w:val="ro-MO"/>
        </w:rPr>
        <w:t xml:space="preserve">; </w:t>
      </w:r>
    </w:p>
    <w:p w:rsidR="008C3E0A" w:rsidRPr="00446F65" w:rsidRDefault="00261754" w:rsidP="00317915">
      <w:pPr>
        <w:pStyle w:val="ListParagraph"/>
        <w:numPr>
          <w:ilvl w:val="0"/>
          <w:numId w:val="3"/>
        </w:numPr>
        <w:tabs>
          <w:tab w:val="left" w:pos="426"/>
          <w:tab w:val="left" w:pos="993"/>
        </w:tabs>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b/>
          <w:bCs/>
          <w:sz w:val="26"/>
          <w:szCs w:val="26"/>
          <w:lang w:val="ro-MO"/>
        </w:rPr>
        <w:t>legale</w:t>
      </w:r>
      <w:r w:rsidRPr="00446F65">
        <w:rPr>
          <w:rFonts w:ascii="Times New Roman" w:hAnsi="Times New Roman" w:cs="Times New Roman"/>
          <w:sz w:val="26"/>
          <w:szCs w:val="26"/>
          <w:lang w:val="ro-MO"/>
        </w:rPr>
        <w:t xml:space="preserve">: bazate pe politici cum ar fi acordarea licenţelor, drepturi de trecere şi alocarea spectrului de frecvenţe. </w:t>
      </w:r>
    </w:p>
    <w:p w:rsidR="00EF433D" w:rsidRPr="00446F65" w:rsidRDefault="008C3E0A"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consideră că </w:t>
      </w:r>
      <w:r w:rsidR="00B878FF" w:rsidRPr="00446F65">
        <w:rPr>
          <w:rFonts w:ascii="Times New Roman" w:hAnsi="Times New Roman" w:cs="Times New Roman"/>
          <w:sz w:val="26"/>
          <w:szCs w:val="26"/>
          <w:lang w:val="ro-MO"/>
        </w:rPr>
        <w:t xml:space="preserve">piaţa </w:t>
      </w:r>
      <w:r w:rsidR="00CB482E" w:rsidRPr="00446F65">
        <w:rPr>
          <w:rFonts w:ascii="Times New Roman" w:hAnsi="Times New Roman" w:cs="Times New Roman"/>
          <w:sz w:val="26"/>
          <w:szCs w:val="26"/>
          <w:lang w:val="ro-MO"/>
        </w:rPr>
        <w:t>furnizării cu ridicata de servicii de acces local la puncte fixe</w:t>
      </w:r>
      <w:r w:rsidR="00B878FF" w:rsidRPr="00446F65">
        <w:rPr>
          <w:rFonts w:ascii="Times New Roman" w:hAnsi="Times New Roman" w:cs="Times New Roman"/>
          <w:sz w:val="26"/>
          <w:szCs w:val="26"/>
          <w:lang w:val="ro-MO"/>
        </w:rPr>
        <w:t xml:space="preserve"> este capital-intensivă, caracterizată printr-un volum mare de investiţii necesare pentru intrarea pe această piaţă. </w:t>
      </w:r>
      <w:r w:rsidR="00FD2023" w:rsidRPr="00446F65">
        <w:rPr>
          <w:rFonts w:ascii="Times New Roman" w:hAnsi="Times New Roman" w:cs="Times New Roman"/>
          <w:sz w:val="26"/>
          <w:szCs w:val="26"/>
          <w:lang w:val="ro-MO"/>
        </w:rPr>
        <w:t xml:space="preserve">Aceasta generează costuri fixe înalte în structura costurilor unor astfel de furnizori. Prin urmare, modificarea volumului de servicii prestate influențează puternic costurile medii </w:t>
      </w:r>
      <w:r w:rsidR="00FD2023" w:rsidRPr="00446F65">
        <w:rPr>
          <w:rFonts w:ascii="Times New Roman" w:hAnsi="Times New Roman" w:cs="Times New Roman"/>
          <w:sz w:val="26"/>
          <w:szCs w:val="26"/>
          <w:lang w:val="ro-MO"/>
        </w:rPr>
        <w:lastRenderedPageBreak/>
        <w:t xml:space="preserve">unitare, fiind accentuată prezența efectului de economii de scară și de gamă de produse. Totuși, cea mai mare influență asupra costurilor medii unitare în cazul </w:t>
      </w:r>
      <w:r w:rsidR="00EF433D" w:rsidRPr="00446F65">
        <w:rPr>
          <w:rFonts w:ascii="Times New Roman" w:hAnsi="Times New Roman" w:cs="Times New Roman"/>
          <w:sz w:val="26"/>
          <w:szCs w:val="26"/>
          <w:lang w:val="ro-MO"/>
        </w:rPr>
        <w:t xml:space="preserve">analizat o are efectul de economii de densitate. Astfel, cu cât furnizorul reușește să asigure conectarea unui număr mai mare de utilizatori în zona de prezență, cu atât costurile medii unitare scad, iar furnizorul devine mai competitiv în raport cu concurența. </w:t>
      </w:r>
    </w:p>
    <w:p w:rsidR="00810AE1" w:rsidRPr="00446F65" w:rsidRDefault="00EF433D"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Pe de altă parte, un furnizor care încearcă să </w:t>
      </w:r>
      <w:r w:rsidR="00E320A0" w:rsidRPr="00446F65">
        <w:rPr>
          <w:rFonts w:ascii="Times New Roman" w:hAnsi="Times New Roman" w:cs="Times New Roman"/>
          <w:sz w:val="26"/>
          <w:szCs w:val="26"/>
          <w:lang w:val="ro-MO"/>
        </w:rPr>
        <w:t xml:space="preserve">intre </w:t>
      </w:r>
      <w:r w:rsidRPr="00446F65">
        <w:rPr>
          <w:rFonts w:ascii="Times New Roman" w:hAnsi="Times New Roman" w:cs="Times New Roman"/>
          <w:sz w:val="26"/>
          <w:szCs w:val="26"/>
          <w:lang w:val="ro-MO"/>
        </w:rPr>
        <w:t>pe piața dată se confruntă cu efecte adverse – lipsa efectelor de economii de scară și densitate și, prin urmare, competitivitate redusă a costurilor sale. Furnizorii deja prezenți pe piață au avantajul primului intrat și se pot bucura de efectul de inerție a bazei de abonați, volatilității reduse a consumului</w:t>
      </w:r>
      <w:r w:rsidR="00810AE1" w:rsidRPr="00446F65">
        <w:rPr>
          <w:rFonts w:ascii="Times New Roman" w:hAnsi="Times New Roman" w:cs="Times New Roman"/>
          <w:sz w:val="26"/>
          <w:szCs w:val="26"/>
          <w:lang w:val="ro-MO"/>
        </w:rPr>
        <w:t>, ceea ce reduce capacitatea furnizorilor ce intră nou pe piață de a egala performanțele de cost ale furnizorilor deja stabiliți pe piață.</w:t>
      </w:r>
      <w:r w:rsidR="00FD2023"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Aceasta reprezintă o barieră semnificativă pentru un ipotetic </w:t>
      </w:r>
      <w:r w:rsidR="00810AE1" w:rsidRPr="00446F65">
        <w:rPr>
          <w:rFonts w:ascii="Times New Roman" w:hAnsi="Times New Roman" w:cs="Times New Roman"/>
          <w:sz w:val="26"/>
          <w:szCs w:val="26"/>
          <w:lang w:val="ro-MO"/>
        </w:rPr>
        <w:t>nou intrat.</w:t>
      </w:r>
    </w:p>
    <w:p w:rsidR="00B878FF" w:rsidRPr="00446F65" w:rsidRDefault="00810AE1"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De asemenea, ANRCETI consideră că există bariere puternice pentru ieșirea de pe piața dată în cazul în care furnizorul intrat hotărăște să plece de pe ea. Având în vedere că nu există opțiuni de utilizare a infrastructurii de rețele de acces fix, precum și infrastructurii asociate lor, în alte domenii ale economiei, interesul față de asemenea infrastructură poate veni doar din partea unor alți furnizori de pe piața dată sau din partea unor companii care intenționează să între pe piața dată. </w:t>
      </w:r>
      <w:r w:rsidR="0011536A" w:rsidRPr="00446F65">
        <w:rPr>
          <w:rFonts w:ascii="Times New Roman" w:hAnsi="Times New Roman" w:cs="Times New Roman"/>
          <w:sz w:val="26"/>
          <w:szCs w:val="26"/>
          <w:lang w:val="ro-MO"/>
        </w:rPr>
        <w:t>Având un cerc redus de potențiali cumpărători pentru investițiile efectuate în cazul unei potențiale decizii de plecare de pe piață, lichiditatea acestor active este destul de redusă, iar posibilitatea de a nu recupera sumele investite atunci când se decide ieșirea de pe piață crește. Prin urmare, din cauza existenței costurilor înalte pentru plecarea de pe piață, o parte a investițiilor p</w:t>
      </w:r>
      <w:r w:rsidR="00366C16" w:rsidRPr="00446F65">
        <w:rPr>
          <w:rFonts w:ascii="Times New Roman" w:hAnsi="Times New Roman" w:cs="Times New Roman"/>
          <w:sz w:val="26"/>
          <w:szCs w:val="26"/>
          <w:lang w:val="ro-MO"/>
        </w:rPr>
        <w:t xml:space="preserve">oate deveni cost irecuperabil. </w:t>
      </w:r>
    </w:p>
    <w:p w:rsidR="00CB482E" w:rsidRPr="00446F65" w:rsidRDefault="009868C1" w:rsidP="00317915">
      <w:pPr>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nu a identificat bariere legale pentru accesul pe piața relevantă a produsului. </w:t>
      </w:r>
      <w:r w:rsidR="00AA2BAD" w:rsidRPr="00446F65">
        <w:rPr>
          <w:rFonts w:ascii="Times New Roman" w:hAnsi="Times New Roman" w:cs="Times New Roman"/>
          <w:sz w:val="26"/>
          <w:szCs w:val="26"/>
          <w:lang w:val="ro-MO"/>
        </w:rPr>
        <w:t>Însă pentru construirea rețelelor furnizorul are nevoie de a trece proceduri specifice și îndelungate de autorizare în domeniul construcțiilor civile, se poate confrunta cu constrângeri specifice de urbanism, ecologice și sanitare</w:t>
      </w:r>
      <w:r w:rsidR="00CB482E" w:rsidRPr="00446F65">
        <w:rPr>
          <w:rFonts w:ascii="Times New Roman" w:hAnsi="Times New Roman" w:cs="Times New Roman"/>
          <w:sz w:val="26"/>
          <w:szCs w:val="26"/>
          <w:lang w:val="ro-MO"/>
        </w:rPr>
        <w:t xml:space="preserve"> etc. </w:t>
      </w:r>
    </w:p>
    <w:p w:rsidR="00286BDA" w:rsidRPr="00446F65" w:rsidRDefault="0011536A" w:rsidP="00317915">
      <w:pPr>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concluzie, ANRCETI consideră că </w:t>
      </w:r>
      <w:r w:rsidR="00AA2BAD" w:rsidRPr="00446F65">
        <w:rPr>
          <w:rFonts w:ascii="Times New Roman" w:hAnsi="Times New Roman" w:cs="Times New Roman"/>
          <w:sz w:val="26"/>
          <w:szCs w:val="26"/>
          <w:lang w:val="ro-MO"/>
        </w:rPr>
        <w:t xml:space="preserve">există </w:t>
      </w:r>
      <w:r w:rsidRPr="00446F65">
        <w:rPr>
          <w:rFonts w:ascii="Times New Roman" w:hAnsi="Times New Roman" w:cs="Times New Roman"/>
          <w:sz w:val="26"/>
          <w:szCs w:val="26"/>
          <w:lang w:val="ro-MO"/>
        </w:rPr>
        <w:t xml:space="preserve">puternice bariere structurale </w:t>
      </w:r>
      <w:r w:rsidR="00AA2BAD" w:rsidRPr="00446F65">
        <w:rPr>
          <w:rFonts w:ascii="Times New Roman" w:hAnsi="Times New Roman" w:cs="Times New Roman"/>
          <w:sz w:val="26"/>
          <w:szCs w:val="26"/>
          <w:lang w:val="ro-MO"/>
        </w:rPr>
        <w:t>și legale pentru intrarea furnizorilor pe piața relevantă a produsului.</w:t>
      </w:r>
    </w:p>
    <w:p w:rsidR="00366C16" w:rsidRPr="00446F65" w:rsidRDefault="00366C16" w:rsidP="00317915">
      <w:pPr>
        <w:spacing w:after="0" w:line="240" w:lineRule="auto"/>
        <w:jc w:val="both"/>
        <w:rPr>
          <w:rFonts w:ascii="Times New Roman" w:hAnsi="Times New Roman" w:cs="Times New Roman"/>
          <w:sz w:val="26"/>
          <w:szCs w:val="26"/>
          <w:lang w:val="ro-MO"/>
        </w:rPr>
      </w:pPr>
    </w:p>
    <w:p w:rsidR="00302DCC" w:rsidRPr="00446F65" w:rsidRDefault="00720375" w:rsidP="00317915">
      <w:pPr>
        <w:pStyle w:val="Heading5"/>
        <w:spacing w:line="240" w:lineRule="auto"/>
        <w:ind w:firstLine="720"/>
        <w:rPr>
          <w:rFonts w:ascii="Times New Roman" w:hAnsi="Times New Roman" w:cs="Times New Roman"/>
          <w:b/>
          <w:color w:val="auto"/>
          <w:sz w:val="26"/>
          <w:szCs w:val="26"/>
          <w:lang w:val="ro-MO"/>
        </w:rPr>
      </w:pPr>
      <w:bookmarkStart w:id="19" w:name="_Toc492907378"/>
      <w:r w:rsidRPr="00446F65">
        <w:rPr>
          <w:rFonts w:ascii="Times New Roman" w:hAnsi="Times New Roman" w:cs="Times New Roman"/>
          <w:b/>
          <w:color w:val="auto"/>
          <w:sz w:val="26"/>
          <w:szCs w:val="26"/>
          <w:lang w:val="ro-MO"/>
        </w:rPr>
        <w:t xml:space="preserve">3.1.3.2 </w:t>
      </w:r>
      <w:r w:rsidR="008C3E0A" w:rsidRPr="00446F65">
        <w:rPr>
          <w:rFonts w:ascii="Times New Roman" w:hAnsi="Times New Roman" w:cs="Times New Roman"/>
          <w:b/>
          <w:color w:val="auto"/>
          <w:sz w:val="26"/>
          <w:szCs w:val="26"/>
          <w:lang w:val="ro-MO"/>
        </w:rPr>
        <w:t>Tendințe spre o concurență efectivă</w:t>
      </w:r>
      <w:bookmarkEnd w:id="19"/>
    </w:p>
    <w:p w:rsidR="009A6E9E" w:rsidRPr="00446F65" w:rsidRDefault="009A6E9E" w:rsidP="00317915">
      <w:pPr>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Pe unele pieţe rămâne posibilitatea creării unei concurenţe efective chiar și în pofida existenței de bariere înalte pentru intrare.</w:t>
      </w:r>
    </w:p>
    <w:p w:rsidR="00302DCC" w:rsidRPr="00446F65" w:rsidRDefault="00302DCC"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Deşi o cotă mare de piaţă nu este suficientă pentru identificarea unui furnizor ca având putere semnificativă, totuşi este puţin probabil ca un </w:t>
      </w:r>
      <w:r w:rsidR="00951F8B" w:rsidRPr="00446F65">
        <w:rPr>
          <w:rFonts w:ascii="Times New Roman" w:hAnsi="Times New Roman" w:cs="Times New Roman"/>
          <w:sz w:val="26"/>
          <w:szCs w:val="26"/>
          <w:lang w:val="ro-MO"/>
        </w:rPr>
        <w:t>furnizor</w:t>
      </w:r>
      <w:r w:rsidRPr="00446F65">
        <w:rPr>
          <w:rFonts w:ascii="Times New Roman" w:hAnsi="Times New Roman" w:cs="Times New Roman"/>
          <w:sz w:val="26"/>
          <w:szCs w:val="26"/>
          <w:lang w:val="ro-MO"/>
        </w:rPr>
        <w:t xml:space="preserve"> să fie dominant, fără a deţine o cotă de piaţă semnificativă.</w:t>
      </w:r>
    </w:p>
    <w:p w:rsidR="00302DCC" w:rsidRPr="00446F65" w:rsidRDefault="00302DCC"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Aşa cum se precizează şi în Instrucţiunile CE, o cotă de piaţă mai mare de 50% este prin ea însăşi un indiciu al manifestării unei poziţii dominante pe piaţă. </w:t>
      </w:r>
    </w:p>
    <w:p w:rsidR="002B5220" w:rsidRPr="00446F65" w:rsidRDefault="00F2482C"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color w:val="000000"/>
          <w:sz w:val="26"/>
          <w:szCs w:val="26"/>
          <w:lang w:val="ro-MO"/>
        </w:rPr>
        <w:t>Gradul de concentrare a pieţei este exemplificat de faptul că la sfârşitul anului 2014 cota veniturilor pe piaţa de acces cu amânuntul în bandă largă a Moldtelecom constituia 64,2%, iar la sfârşitul anului 2016 această pondere reprezintă 64,6% (Diagrama 6). De asemenea la sfârșitul anului 2014 cota abonaților Moldtelecom constituia 66,6%, iar la sfârșitul anului 2016 această pondere reprezintă 65,3% (Diagrama 2). Acestea indică asupra faptului că nu există o tendinţă către o concurenţă eficientă în spatele barierelor de intrare pe piaţă.</w:t>
      </w:r>
      <w:r w:rsidR="00CD4820" w:rsidRPr="00446F65">
        <w:rPr>
          <w:rFonts w:ascii="Times New Roman" w:hAnsi="Times New Roman" w:cs="Times New Roman"/>
          <w:sz w:val="26"/>
          <w:szCs w:val="26"/>
          <w:lang w:val="ro-MO"/>
        </w:rPr>
        <w:t xml:space="preserve"> </w:t>
      </w:r>
    </w:p>
    <w:p w:rsidR="00366C16" w:rsidRPr="00446F65" w:rsidRDefault="00366C16" w:rsidP="00317915">
      <w:pPr>
        <w:autoSpaceDE w:val="0"/>
        <w:autoSpaceDN w:val="0"/>
        <w:adjustRightInd w:val="0"/>
        <w:spacing w:after="0" w:line="240" w:lineRule="auto"/>
        <w:ind w:firstLine="567"/>
        <w:jc w:val="center"/>
        <w:rPr>
          <w:rFonts w:ascii="Times New Roman" w:hAnsi="Times New Roman" w:cs="Times New Roman"/>
          <w:sz w:val="26"/>
          <w:szCs w:val="26"/>
          <w:lang w:val="ro-MO"/>
        </w:rPr>
      </w:pPr>
    </w:p>
    <w:p w:rsidR="00D524FE" w:rsidRPr="00446F65" w:rsidRDefault="00CD4820"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consideră că </w:t>
      </w:r>
      <w:r w:rsidR="002B5220" w:rsidRPr="00446F65">
        <w:rPr>
          <w:rFonts w:ascii="Times New Roman" w:hAnsi="Times New Roman" w:cs="Times New Roman"/>
          <w:sz w:val="26"/>
          <w:szCs w:val="26"/>
          <w:lang w:val="ro-MO"/>
        </w:rPr>
        <w:t xml:space="preserve">nu există motiv să creadă că în viitorul previzibil situația privind </w:t>
      </w:r>
      <w:r w:rsidRPr="00446F65">
        <w:rPr>
          <w:rFonts w:ascii="Times New Roman" w:hAnsi="Times New Roman" w:cs="Times New Roman"/>
          <w:sz w:val="26"/>
          <w:szCs w:val="26"/>
          <w:lang w:val="ro-MO"/>
        </w:rPr>
        <w:t xml:space="preserve">nivelul cotei de piaţă a </w:t>
      </w:r>
      <w:r w:rsidR="00463EC0" w:rsidRPr="00446F65">
        <w:rPr>
          <w:rFonts w:ascii="Times New Roman" w:hAnsi="Times New Roman" w:cs="Times New Roman"/>
          <w:sz w:val="26"/>
          <w:szCs w:val="26"/>
          <w:lang w:val="ro-MO"/>
        </w:rPr>
        <w:t>Moldtelecom</w:t>
      </w:r>
      <w:r w:rsidR="002B5220" w:rsidRPr="00446F65">
        <w:rPr>
          <w:rFonts w:ascii="Times New Roman" w:hAnsi="Times New Roman" w:cs="Times New Roman"/>
          <w:sz w:val="26"/>
          <w:szCs w:val="26"/>
          <w:lang w:val="ro-MO"/>
        </w:rPr>
        <w:t xml:space="preserve"> să se schimbe esențial spre micșorare</w:t>
      </w:r>
      <w:r w:rsidRPr="00446F65">
        <w:rPr>
          <w:rFonts w:ascii="Times New Roman" w:hAnsi="Times New Roman" w:cs="Times New Roman"/>
          <w:sz w:val="26"/>
          <w:szCs w:val="26"/>
          <w:lang w:val="ro-MO"/>
        </w:rPr>
        <w:t>.</w:t>
      </w:r>
      <w:r w:rsidR="002B5220" w:rsidRPr="00446F65">
        <w:rPr>
          <w:rFonts w:ascii="Times New Roman" w:hAnsi="Times New Roman" w:cs="Times New Roman"/>
          <w:sz w:val="26"/>
          <w:szCs w:val="26"/>
          <w:lang w:val="ro-MO"/>
        </w:rPr>
        <w:t xml:space="preserve"> Dimpotrivă atingerea unui grad sporit de penetrare a serviciil</w:t>
      </w:r>
      <w:r w:rsidR="002F1542" w:rsidRPr="00446F65">
        <w:rPr>
          <w:rFonts w:ascii="Times New Roman" w:hAnsi="Times New Roman" w:cs="Times New Roman"/>
          <w:sz w:val="26"/>
          <w:szCs w:val="26"/>
          <w:lang w:val="ro-MO"/>
        </w:rPr>
        <w:t>or de acces în bandă largă în mun</w:t>
      </w:r>
      <w:r w:rsidR="002B5220" w:rsidRPr="00446F65">
        <w:rPr>
          <w:rFonts w:ascii="Times New Roman" w:hAnsi="Times New Roman" w:cs="Times New Roman"/>
          <w:sz w:val="26"/>
          <w:szCs w:val="26"/>
          <w:lang w:val="ro-MO"/>
        </w:rPr>
        <w:t>.</w:t>
      </w:r>
      <w:r w:rsidR="00E6197E" w:rsidRPr="00446F65">
        <w:rPr>
          <w:rFonts w:ascii="Times New Roman" w:hAnsi="Times New Roman" w:cs="Times New Roman"/>
          <w:sz w:val="26"/>
          <w:szCs w:val="26"/>
          <w:lang w:val="ro-MO"/>
        </w:rPr>
        <w:t xml:space="preserve"> </w:t>
      </w:r>
      <w:r w:rsidR="002B5220" w:rsidRPr="00446F65">
        <w:rPr>
          <w:rFonts w:ascii="Times New Roman" w:hAnsi="Times New Roman" w:cs="Times New Roman"/>
          <w:sz w:val="26"/>
          <w:szCs w:val="26"/>
          <w:lang w:val="ro-MO"/>
        </w:rPr>
        <w:t xml:space="preserve">Chișinău, unde sunt </w:t>
      </w:r>
      <w:r w:rsidR="002B5220" w:rsidRPr="00446F65">
        <w:rPr>
          <w:rFonts w:ascii="Times New Roman" w:hAnsi="Times New Roman" w:cs="Times New Roman"/>
          <w:sz w:val="26"/>
          <w:szCs w:val="26"/>
          <w:lang w:val="ro-MO"/>
        </w:rPr>
        <w:lastRenderedPageBreak/>
        <w:t>concentrați principalii competitori, face ca ritmul de conectări noi al acestor furnizori să poată încetini într-o mă</w:t>
      </w:r>
      <w:r w:rsidR="00AD238B" w:rsidRPr="00446F65">
        <w:rPr>
          <w:rFonts w:ascii="Times New Roman" w:hAnsi="Times New Roman" w:cs="Times New Roman"/>
          <w:sz w:val="26"/>
          <w:szCs w:val="26"/>
          <w:lang w:val="ro-MO"/>
        </w:rPr>
        <w:t>sură mai mare decât cel al Moldtelecom</w:t>
      </w:r>
      <w:r w:rsidR="002B5220" w:rsidRPr="00446F65">
        <w:rPr>
          <w:rFonts w:ascii="Times New Roman" w:hAnsi="Times New Roman" w:cs="Times New Roman"/>
          <w:sz w:val="26"/>
          <w:szCs w:val="26"/>
          <w:lang w:val="ro-MO"/>
        </w:rPr>
        <w:t>, care are prezență mult mai puternică în alte zone geografice</w:t>
      </w:r>
      <w:r w:rsidR="00377B39" w:rsidRPr="00446F65">
        <w:rPr>
          <w:rFonts w:ascii="Times New Roman" w:hAnsi="Times New Roman" w:cs="Times New Roman"/>
          <w:sz w:val="26"/>
          <w:szCs w:val="26"/>
          <w:lang w:val="ro-MO"/>
        </w:rPr>
        <w:t>. Aceasta face probabilă creș</w:t>
      </w:r>
      <w:r w:rsidR="002F1542" w:rsidRPr="00446F65">
        <w:rPr>
          <w:rFonts w:ascii="Times New Roman" w:hAnsi="Times New Roman" w:cs="Times New Roman"/>
          <w:sz w:val="26"/>
          <w:szCs w:val="26"/>
          <w:lang w:val="ro-MO"/>
        </w:rPr>
        <w:t xml:space="preserve">terea ponderii de piață a </w:t>
      </w:r>
      <w:r w:rsidR="00AD238B" w:rsidRPr="00446F65">
        <w:rPr>
          <w:rFonts w:ascii="Times New Roman" w:hAnsi="Times New Roman" w:cs="Times New Roman"/>
          <w:sz w:val="26"/>
          <w:szCs w:val="26"/>
          <w:lang w:val="ro-MO"/>
        </w:rPr>
        <w:t>Moldtelecom</w:t>
      </w:r>
      <w:r w:rsidR="00377B39" w:rsidRPr="00446F65">
        <w:rPr>
          <w:rFonts w:ascii="Times New Roman" w:hAnsi="Times New Roman" w:cs="Times New Roman"/>
          <w:sz w:val="26"/>
          <w:szCs w:val="26"/>
          <w:lang w:val="ro-MO"/>
        </w:rPr>
        <w:t xml:space="preserve"> în lipsa intervenției de reglementare.</w:t>
      </w:r>
      <w:r w:rsidR="002B5220" w:rsidRPr="00446F65">
        <w:rPr>
          <w:rFonts w:ascii="Times New Roman" w:hAnsi="Times New Roman" w:cs="Times New Roman"/>
          <w:sz w:val="26"/>
          <w:szCs w:val="26"/>
          <w:lang w:val="ro-MO"/>
        </w:rPr>
        <w:t xml:space="preserve"> </w:t>
      </w:r>
    </w:p>
    <w:p w:rsidR="00F31969" w:rsidRPr="00446F65" w:rsidRDefault="00D524FE"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 xml:space="preserve">Concluzie: </w:t>
      </w:r>
      <w:r w:rsidR="002D1441" w:rsidRPr="00446F65">
        <w:rPr>
          <w:rFonts w:ascii="Times New Roman" w:hAnsi="Times New Roman" w:cs="Times New Roman"/>
          <w:sz w:val="26"/>
          <w:szCs w:val="26"/>
          <w:lang w:val="ro-MO"/>
        </w:rPr>
        <w:t xml:space="preserve">ANRCETI concluzionează că pe piaţa relevantă nu există tendinţe semnificative spre o piaţă concurenţială, ceea ce confirmă necesitatea reglementării </w:t>
      </w:r>
      <w:r w:rsidR="002D1441" w:rsidRPr="00446F65">
        <w:rPr>
          <w:rFonts w:ascii="Times New Roman" w:hAnsi="Times New Roman" w:cs="Times New Roman"/>
          <w:i/>
          <w:sz w:val="26"/>
          <w:szCs w:val="26"/>
          <w:lang w:val="ro-MO"/>
        </w:rPr>
        <w:t>ex-ante</w:t>
      </w:r>
      <w:r w:rsidR="002D1441" w:rsidRPr="00446F65">
        <w:rPr>
          <w:rFonts w:ascii="Times New Roman" w:hAnsi="Times New Roman" w:cs="Times New Roman"/>
          <w:sz w:val="26"/>
          <w:szCs w:val="26"/>
          <w:lang w:val="ro-MO"/>
        </w:rPr>
        <w:t xml:space="preserve"> a pieţei date.</w:t>
      </w:r>
    </w:p>
    <w:p w:rsidR="00856F5D" w:rsidRPr="00446F65" w:rsidRDefault="00856F5D" w:rsidP="00317915">
      <w:pPr>
        <w:spacing w:line="240" w:lineRule="auto"/>
        <w:rPr>
          <w:rFonts w:ascii="Times New Roman" w:hAnsi="Times New Roman" w:cs="Times New Roman"/>
          <w:sz w:val="26"/>
          <w:szCs w:val="26"/>
          <w:lang w:val="ro-MO"/>
        </w:rPr>
      </w:pPr>
    </w:p>
    <w:p w:rsidR="00E45C32" w:rsidRPr="00446F65" w:rsidRDefault="00856F5D" w:rsidP="00317915">
      <w:pPr>
        <w:pStyle w:val="Heading5"/>
        <w:spacing w:line="240" w:lineRule="auto"/>
        <w:ind w:firstLine="720"/>
        <w:rPr>
          <w:rFonts w:ascii="Times New Roman" w:hAnsi="Times New Roman" w:cs="Times New Roman"/>
          <w:b/>
          <w:color w:val="auto"/>
          <w:sz w:val="26"/>
          <w:szCs w:val="26"/>
          <w:lang w:val="ro-MO"/>
        </w:rPr>
      </w:pPr>
      <w:bookmarkStart w:id="20" w:name="_Toc492907379"/>
      <w:r w:rsidRPr="00446F65">
        <w:rPr>
          <w:rFonts w:ascii="Times New Roman" w:hAnsi="Times New Roman" w:cs="Times New Roman"/>
          <w:b/>
          <w:color w:val="auto"/>
          <w:sz w:val="26"/>
          <w:szCs w:val="26"/>
          <w:lang w:val="ro-MO"/>
        </w:rPr>
        <w:t xml:space="preserve">3.1.3.3 </w:t>
      </w:r>
      <w:r w:rsidR="00384EBB" w:rsidRPr="00446F65">
        <w:rPr>
          <w:rFonts w:ascii="Times New Roman" w:hAnsi="Times New Roman" w:cs="Times New Roman"/>
          <w:b/>
          <w:color w:val="auto"/>
          <w:sz w:val="26"/>
          <w:szCs w:val="26"/>
          <w:lang w:val="ro-MO"/>
        </w:rPr>
        <w:t>Suficiența aplicării</w:t>
      </w:r>
      <w:r w:rsidR="00EB7BA0" w:rsidRPr="00446F65">
        <w:rPr>
          <w:rFonts w:ascii="Times New Roman" w:hAnsi="Times New Roman" w:cs="Times New Roman"/>
          <w:b/>
          <w:color w:val="auto"/>
          <w:sz w:val="26"/>
          <w:szCs w:val="26"/>
          <w:lang w:val="ro-MO"/>
        </w:rPr>
        <w:t xml:space="preserve"> legislației concurenței</w:t>
      </w:r>
      <w:bookmarkEnd w:id="20"/>
    </w:p>
    <w:p w:rsidR="00366C87" w:rsidRPr="00446F65" w:rsidRDefault="00366C8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principal, legislația generală a concurenței se bazează pe instrumentul ex-post de intervenție în cadrul piețelor. Aceasta presupune că dacă există o anumită reclamație sau sesizare privind comportamentul unui sau unor jucători care perturbează concurența, autoritatea concurenței analizează cazul și poate emite diferite decizii care să impună stoparea acțiunilor a căror caracter neloial se confirmă, să fie penalizat comportamentul neloial pe piață sau chiar să fie aplicate diferite măsuri corective, până la separarea companiilor în entități distincte.</w:t>
      </w:r>
    </w:p>
    <w:p w:rsidR="00366C87" w:rsidRPr="00446F65" w:rsidRDefault="00366C8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Astfel, conform prevederilor art. 41 alin. (2) din Legea concurenţei nr. 183 din 11 iunie 2012, dacă Plenul Consiliului Concurenţei, acţionând ca urmare a unei plângeri sau din oficiu, constată o încălcare ale art. 5, 7, 9 sau 11, acesta solicită printr-o decizie întreprinderilor şi asociaţiilor de întreprinderi în cauză să înceteze respectiva încălcare. În acest scop, Plenul Consiliului Concurenţei le poate impune orice măsuri corective comportamentale sau structurale care sunt proporţionale cu încălcarea comisă şi sânt necesare pentru încetarea efectivă a încălcării.</w:t>
      </w:r>
    </w:p>
    <w:p w:rsidR="00366C87" w:rsidRPr="00446F65" w:rsidRDefault="00366C8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Cazurile de acțiune ex-ante a autorităților din domeniul concurenței, inclusiv al Consiliului Concurenței în cazul Republicii Moldova sunt limitate la examinarea cazurilor de fuziune și concentrări a întreprinderilor. În asemenea cazuri, autoritatea concurenței examinează dacă noua entitate nu va produce o influență prea puternică pe piață și nu va denatura concurența și, dacă este cazul, blochează fuzionarea.</w:t>
      </w:r>
    </w:p>
    <w:p w:rsidR="00366C87" w:rsidRPr="00446F65" w:rsidRDefault="00366C87" w:rsidP="00317915">
      <w:pPr>
        <w:pStyle w:val="BodyText"/>
        <w:ind w:firstLine="720"/>
        <w:jc w:val="both"/>
        <w:rPr>
          <w:sz w:val="26"/>
          <w:szCs w:val="26"/>
          <w:lang w:val="ro-MO"/>
        </w:rPr>
      </w:pPr>
      <w:r w:rsidRPr="00446F65">
        <w:rPr>
          <w:sz w:val="26"/>
          <w:szCs w:val="26"/>
          <w:lang w:val="ro-MO"/>
        </w:rPr>
        <w:t xml:space="preserve">Motivele pentru care legislația sectorială specifică (Legea </w:t>
      </w:r>
      <w:r w:rsidR="00653F5F">
        <w:rPr>
          <w:sz w:val="26"/>
          <w:szCs w:val="26"/>
          <w:lang w:val="ro-MO"/>
        </w:rPr>
        <w:t>241/2007</w:t>
      </w:r>
      <w:r w:rsidRPr="00446F65">
        <w:rPr>
          <w:sz w:val="26"/>
          <w:szCs w:val="26"/>
          <w:lang w:val="ro-MO"/>
        </w:rPr>
        <w:t>) prevede posibilitatea intervenției ex-ante sunt următoarele:</w:t>
      </w:r>
    </w:p>
    <w:p w:rsidR="00366C87" w:rsidRPr="00446F65" w:rsidRDefault="00366C87" w:rsidP="00317915">
      <w:pPr>
        <w:pStyle w:val="ListParagraph"/>
        <w:numPr>
          <w:ilvl w:val="0"/>
          <w:numId w:val="17"/>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Sunt necesare intervenţii de reglementare frecvente şi în timp util. </w:t>
      </w:r>
    </w:p>
    <w:p w:rsidR="00366C87" w:rsidRPr="00446F65" w:rsidRDefault="00366C87"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Astfel, intervențiile ex-post au loc ulterior producerii fenomenelor de abuz de poziția dominantă pe piață. Analiza comportamentului pretins, efectuarea studiilor de piață, determinarea măsurilor necesare, aplicarea măsurilor și, ulterior, posibila contestare pe cale judiciară a deciziilor fac ca măsurile să fie aplicate chiar și peste câțiva ani după producerea sau începerea producerii comportamentului abuziv. În asemenea situație, chiar dacă în final măsurile au fost aplicate, acestea pot fi întârziate, deoarece concurența de pe piață deja a fost afectată iremediabil, îndeosebi pe piețele aflate în perioada de creștere la momentul producerii abuzului. Astfel, chiar dacă persoana care a produs abuzul este penalizată, aceasta nu poate ajuta concurenței să se revigoreze, având în vedere că sectorul comunicațiilor electronice se caracterizează printr-un grad sporit de investiții necesare, influența masivă a economiilor de scară și densitate, prezența unor costuri irecuperabile (</w:t>
      </w:r>
      <w:proofErr w:type="spellStart"/>
      <w:r w:rsidRPr="00446F65">
        <w:rPr>
          <w:rFonts w:ascii="Times New Roman" w:hAnsi="Times New Roman" w:cs="Times New Roman"/>
          <w:sz w:val="26"/>
          <w:szCs w:val="26"/>
          <w:lang w:val="ro-MO"/>
        </w:rPr>
        <w:t>sunk</w:t>
      </w:r>
      <w:proofErr w:type="spellEnd"/>
      <w:r w:rsidRPr="00446F65">
        <w:rPr>
          <w:rFonts w:ascii="Times New Roman" w:hAnsi="Times New Roman" w:cs="Times New Roman"/>
          <w:sz w:val="26"/>
          <w:szCs w:val="26"/>
          <w:lang w:val="ro-MO"/>
        </w:rPr>
        <w:t xml:space="preserve"> </w:t>
      </w:r>
      <w:proofErr w:type="spellStart"/>
      <w:r w:rsidRPr="00446F65">
        <w:rPr>
          <w:rFonts w:ascii="Times New Roman" w:hAnsi="Times New Roman" w:cs="Times New Roman"/>
          <w:sz w:val="26"/>
          <w:szCs w:val="26"/>
          <w:lang w:val="ro-MO"/>
        </w:rPr>
        <w:t>costs</w:t>
      </w:r>
      <w:proofErr w:type="spellEnd"/>
      <w:r w:rsidRPr="00446F65">
        <w:rPr>
          <w:rFonts w:ascii="Times New Roman" w:hAnsi="Times New Roman" w:cs="Times New Roman"/>
          <w:sz w:val="26"/>
          <w:szCs w:val="26"/>
          <w:lang w:val="ro-MO"/>
        </w:rPr>
        <w:t xml:space="preserve">) înalte. </w:t>
      </w:r>
    </w:p>
    <w:p w:rsidR="00366C87" w:rsidRPr="00446F65" w:rsidRDefault="00366C87" w:rsidP="00317915">
      <w:pPr>
        <w:pStyle w:val="ListParagraph"/>
        <w:numPr>
          <w:ilvl w:val="0"/>
          <w:numId w:val="17"/>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Măsurile aplicate de autoritățile concurenței sunt în general diferite de cele aplicate de autoritățile sectoriale de reglementare care au funcții de intervenție ex-ante. Acestea sunt îndreptate nu atât spre penalizarea comportamentului neloial al întreprinderilor, cât spre împiedicarea aplicării puterii de piață în detrimentul concurenței. Reieșind din aceasta, autoritățile sectoriale utilizează impunerea de obligaţii specifice pe durata existenței puterii semnificative pe piață și controlul respectării lor. Aceste măsuri, spre exemplu, sunt: </w:t>
      </w:r>
    </w:p>
    <w:p w:rsidR="00366C87" w:rsidRPr="00446F65" w:rsidRDefault="00366C87" w:rsidP="00317915">
      <w:pPr>
        <w:pStyle w:val="ListParagraph"/>
        <w:numPr>
          <w:ilvl w:val="0"/>
          <w:numId w:val="21"/>
        </w:numPr>
        <w:spacing w:after="0" w:line="240" w:lineRule="auto"/>
        <w:ind w:left="0" w:firstLine="720"/>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 xml:space="preserve">oferirea accesului la diferite elemente de rețea și infrastructură și condițiile în care acesta este oferit; </w:t>
      </w:r>
    </w:p>
    <w:p w:rsidR="003F5AB7" w:rsidRPr="00446F65" w:rsidRDefault="00366C87" w:rsidP="00317915">
      <w:pPr>
        <w:pStyle w:val="ListParagraph"/>
        <w:numPr>
          <w:ilvl w:val="0"/>
          <w:numId w:val="21"/>
        </w:numPr>
        <w:spacing w:after="0" w:line="240" w:lineRule="auto"/>
        <w:ind w:left="0" w:firstLine="720"/>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orientarea la costuri a preţurilor și stabilirea mecanismelor metodologice pentru acestea, controlul tarifelor, </w:t>
      </w:r>
    </w:p>
    <w:p w:rsidR="003F5AB7" w:rsidRPr="00446F65" w:rsidRDefault="00366C87" w:rsidP="00317915">
      <w:pPr>
        <w:pStyle w:val="ListParagraph"/>
        <w:numPr>
          <w:ilvl w:val="0"/>
          <w:numId w:val="21"/>
        </w:numPr>
        <w:spacing w:after="0" w:line="240" w:lineRule="auto"/>
        <w:ind w:left="0" w:firstLine="720"/>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normele de evidenţă şi calcul al costurilor și de evidență contabilă pentru asigurarea transparenței furnizărilor; </w:t>
      </w:r>
    </w:p>
    <w:p w:rsidR="003F5AB7" w:rsidRPr="00446F65" w:rsidRDefault="00366C87" w:rsidP="00317915">
      <w:pPr>
        <w:pStyle w:val="ListParagraph"/>
        <w:numPr>
          <w:ilvl w:val="0"/>
          <w:numId w:val="21"/>
        </w:numPr>
        <w:spacing w:after="0" w:line="240" w:lineRule="auto"/>
        <w:ind w:left="0" w:firstLine="720"/>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asigurarea nediscriminării în legătură cu furnizarea accesului. </w:t>
      </w:r>
    </w:p>
    <w:p w:rsidR="003F5AB7" w:rsidRPr="00446F65" w:rsidRDefault="00366C87" w:rsidP="00317915">
      <w:pPr>
        <w:pStyle w:val="ListParagraph"/>
        <w:numPr>
          <w:ilvl w:val="0"/>
          <w:numId w:val="17"/>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Lipsa specializării autorității din domeniul concurenței. Acest factor îngreunează posibilitatea identificării în timp util a măsurilor corective necesare, impunerea și exercitarea controlului respectării măsurilor impuse. </w:t>
      </w:r>
    </w:p>
    <w:p w:rsidR="003F5AB7" w:rsidRPr="00446F65" w:rsidRDefault="00366C87" w:rsidP="00317915">
      <w:pPr>
        <w:pStyle w:val="ListParagraph"/>
        <w:numPr>
          <w:ilvl w:val="0"/>
          <w:numId w:val="17"/>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Necesitatea stringentă de siguranţă juridică.</w:t>
      </w:r>
    </w:p>
    <w:p w:rsidR="00856F5D" w:rsidRPr="00446F65" w:rsidRDefault="00856F5D" w:rsidP="00317915">
      <w:pPr>
        <w:spacing w:after="0" w:line="240" w:lineRule="auto"/>
        <w:ind w:firstLine="720"/>
        <w:jc w:val="both"/>
        <w:rPr>
          <w:rFonts w:ascii="Times New Roman" w:hAnsi="Times New Roman" w:cs="Times New Roman"/>
          <w:sz w:val="26"/>
          <w:szCs w:val="26"/>
          <w:lang w:val="ro-MO"/>
        </w:rPr>
      </w:pPr>
    </w:p>
    <w:p w:rsidR="00E45C32" w:rsidRPr="00446F65" w:rsidRDefault="004716B1" w:rsidP="00317915">
      <w:pPr>
        <w:spacing w:after="0" w:line="240" w:lineRule="auto"/>
        <w:ind w:firstLine="720"/>
        <w:jc w:val="both"/>
        <w:rPr>
          <w:rFonts w:ascii="Times New Roman" w:hAnsi="Times New Roman" w:cs="Times New Roman"/>
          <w:i/>
          <w:iCs/>
          <w:sz w:val="26"/>
          <w:szCs w:val="26"/>
          <w:lang w:val="ro-MO"/>
        </w:rPr>
      </w:pPr>
      <w:r w:rsidRPr="00446F65">
        <w:rPr>
          <w:rFonts w:ascii="Times New Roman" w:hAnsi="Times New Roman" w:cs="Times New Roman"/>
          <w:sz w:val="26"/>
          <w:szCs w:val="26"/>
          <w:lang w:val="ro-MO"/>
        </w:rPr>
        <w:t>M</w:t>
      </w:r>
      <w:r w:rsidR="00384EBB" w:rsidRPr="00446F65">
        <w:rPr>
          <w:rFonts w:ascii="Times New Roman" w:hAnsi="Times New Roman" w:cs="Times New Roman"/>
          <w:sz w:val="26"/>
          <w:szCs w:val="26"/>
          <w:lang w:val="ro-MO"/>
        </w:rPr>
        <w:t>otive</w:t>
      </w:r>
      <w:r w:rsidRPr="00446F65">
        <w:rPr>
          <w:rFonts w:ascii="Times New Roman" w:hAnsi="Times New Roman" w:cs="Times New Roman"/>
          <w:sz w:val="26"/>
          <w:szCs w:val="26"/>
          <w:lang w:val="ro-MO"/>
        </w:rPr>
        <w:t xml:space="preserve">le date fac ANRCETI să concluzioneze că aplicarea doar a mijloacelor </w:t>
      </w:r>
      <w:r w:rsidR="00A54022" w:rsidRPr="00446F65">
        <w:rPr>
          <w:rFonts w:ascii="Times New Roman" w:hAnsi="Times New Roman" w:cs="Times New Roman"/>
          <w:sz w:val="26"/>
          <w:szCs w:val="26"/>
          <w:lang w:val="ro-MO"/>
        </w:rPr>
        <w:t>legislației</w:t>
      </w:r>
      <w:r w:rsidRPr="00446F65">
        <w:rPr>
          <w:rFonts w:ascii="Times New Roman" w:hAnsi="Times New Roman" w:cs="Times New Roman"/>
          <w:sz w:val="26"/>
          <w:szCs w:val="26"/>
          <w:lang w:val="ro-MO"/>
        </w:rPr>
        <w:t xml:space="preserve"> concurenței</w:t>
      </w:r>
      <w:r w:rsidR="00384EBB"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pentru rezolvarea problemelor legate de concurență pe piața relevantă a produsului nu este suficientă și este necesară reglementarea </w:t>
      </w:r>
      <w:r w:rsidRPr="00446F65">
        <w:rPr>
          <w:rFonts w:ascii="Times New Roman" w:hAnsi="Times New Roman" w:cs="Times New Roman"/>
          <w:i/>
          <w:sz w:val="26"/>
          <w:szCs w:val="26"/>
          <w:lang w:val="ro-MO"/>
        </w:rPr>
        <w:t>ex-ante</w:t>
      </w:r>
      <w:r w:rsidRPr="00446F65">
        <w:rPr>
          <w:rFonts w:ascii="Times New Roman" w:hAnsi="Times New Roman" w:cs="Times New Roman"/>
          <w:sz w:val="26"/>
          <w:szCs w:val="26"/>
          <w:lang w:val="ro-MO"/>
        </w:rPr>
        <w:t xml:space="preserve">. ANRCETI notează că situația privind insuficiența instrumentarului legislației generale a concurenței este similară cu cea din Uniunea Europeană. Astfel </w:t>
      </w:r>
      <w:r w:rsidR="00384EBB" w:rsidRPr="00446F65">
        <w:rPr>
          <w:rFonts w:ascii="Times New Roman" w:hAnsi="Times New Roman" w:cs="Times New Roman"/>
          <w:sz w:val="26"/>
          <w:szCs w:val="26"/>
          <w:lang w:val="ro-MO"/>
        </w:rPr>
        <w:t>Comisia Europeană deduce:</w:t>
      </w:r>
      <w:r w:rsidR="00BE4378" w:rsidRPr="00446F65">
        <w:rPr>
          <w:rFonts w:ascii="Times New Roman" w:hAnsi="Times New Roman" w:cs="Times New Roman"/>
          <w:sz w:val="26"/>
          <w:szCs w:val="26"/>
          <w:lang w:val="ro-MO"/>
        </w:rPr>
        <w:t xml:space="preserve"> L</w:t>
      </w:r>
      <w:r w:rsidR="00384EBB" w:rsidRPr="00446F65">
        <w:rPr>
          <w:rFonts w:ascii="Times New Roman" w:hAnsi="Times New Roman" w:cs="Times New Roman"/>
          <w:i/>
          <w:iCs/>
          <w:sz w:val="26"/>
          <w:szCs w:val="26"/>
          <w:lang w:val="ro-MO"/>
        </w:rPr>
        <w:t xml:space="preserve">egislaţia concurenţei </w:t>
      </w:r>
      <w:r w:rsidR="0088327E" w:rsidRPr="00446F65">
        <w:rPr>
          <w:rFonts w:ascii="Times New Roman" w:hAnsi="Times New Roman" w:cs="Times New Roman"/>
          <w:i/>
          <w:iCs/>
          <w:sz w:val="26"/>
          <w:szCs w:val="26"/>
          <w:lang w:val="ro-MO"/>
        </w:rPr>
        <w:t xml:space="preserve">nu </w:t>
      </w:r>
      <w:r w:rsidR="00384EBB" w:rsidRPr="00446F65">
        <w:rPr>
          <w:rFonts w:ascii="Times New Roman" w:hAnsi="Times New Roman" w:cs="Times New Roman"/>
          <w:i/>
          <w:iCs/>
          <w:sz w:val="26"/>
          <w:szCs w:val="26"/>
          <w:lang w:val="ro-MO"/>
        </w:rPr>
        <w:t>ar fi insuficientă pentru redresarea eşecului pieţei accesului la bucla locală, deoarece există cerinţe pentru intervenţia pe această piaţă (inclusiv necesitatea evidenţei detaliate, evaluării costurilor şi monitorizării termenilor şi condiţiilor de furnizare, i</w:t>
      </w:r>
      <w:r w:rsidR="00C16EAC" w:rsidRPr="00446F65">
        <w:rPr>
          <w:rFonts w:ascii="Times New Roman" w:hAnsi="Times New Roman" w:cs="Times New Roman"/>
          <w:i/>
          <w:iCs/>
          <w:sz w:val="26"/>
          <w:szCs w:val="26"/>
          <w:lang w:val="ro-MO"/>
        </w:rPr>
        <w:t xml:space="preserve">nclusiv parametrilor tehnici). </w:t>
      </w:r>
    </w:p>
    <w:p w:rsidR="00856F5D" w:rsidRPr="00446F65" w:rsidRDefault="00856F5D" w:rsidP="00317915">
      <w:pPr>
        <w:spacing w:after="0" w:line="240" w:lineRule="auto"/>
        <w:ind w:firstLine="720"/>
        <w:jc w:val="both"/>
        <w:rPr>
          <w:rFonts w:ascii="Times New Roman" w:hAnsi="Times New Roman" w:cs="Times New Roman"/>
          <w:i/>
          <w:iCs/>
          <w:sz w:val="26"/>
          <w:szCs w:val="26"/>
          <w:lang w:val="ro-MO"/>
        </w:rPr>
      </w:pPr>
    </w:p>
    <w:p w:rsidR="00A84A91" w:rsidRPr="00446F65" w:rsidRDefault="00E6197E" w:rsidP="00317915">
      <w:pPr>
        <w:pStyle w:val="Default"/>
        <w:ind w:firstLine="720"/>
        <w:jc w:val="both"/>
        <w:rPr>
          <w:color w:val="auto"/>
          <w:sz w:val="26"/>
          <w:szCs w:val="26"/>
          <w:lang w:val="ro-MO"/>
        </w:rPr>
      </w:pPr>
      <w:r w:rsidRPr="00446F65">
        <w:rPr>
          <w:b/>
          <w:bCs/>
          <w:sz w:val="26"/>
          <w:szCs w:val="26"/>
          <w:lang w:val="ro-MO"/>
        </w:rPr>
        <w:t xml:space="preserve">Concluzia ANRCETI: </w:t>
      </w:r>
      <w:r w:rsidRPr="00446F65">
        <w:rPr>
          <w:bCs/>
          <w:sz w:val="26"/>
          <w:szCs w:val="26"/>
          <w:lang w:val="ro-MO"/>
        </w:rPr>
        <w:t>În cadrul pieţei identificate, ANRCETI este de părere că există bariere înalte la intrarea pe piaţă, nu există o tendinţă către o concurenţă vizibilă în spatele acestor bariere, iar aplicarea doar a Legii nr. 183 din 11.07.2012 (</w:t>
      </w:r>
      <w:r w:rsidRPr="00446F65">
        <w:rPr>
          <w:bCs/>
          <w:i/>
          <w:iCs/>
          <w:sz w:val="26"/>
          <w:szCs w:val="26"/>
          <w:lang w:val="ro-MO"/>
        </w:rPr>
        <w:t xml:space="preserve">Monitorul Oficial al Republicii Moldova,2012, nr.193-197, art.667) </w:t>
      </w:r>
      <w:r w:rsidRPr="00446F65">
        <w:rPr>
          <w:bCs/>
          <w:sz w:val="26"/>
          <w:szCs w:val="26"/>
          <w:lang w:val="ro-MO"/>
        </w:rPr>
        <w:t>nu este suficientă pentru a rezolva aceste deficienţe de piaţă. Această piaţă este prin urmare susceptibilă reglementării preventive</w:t>
      </w:r>
      <w:r w:rsidRPr="00446F65">
        <w:rPr>
          <w:sz w:val="26"/>
          <w:szCs w:val="26"/>
          <w:lang w:val="ro-MO"/>
        </w:rPr>
        <w:t>.</w:t>
      </w:r>
    </w:p>
    <w:p w:rsidR="00BE4378" w:rsidRPr="00446F65" w:rsidRDefault="00856F5D" w:rsidP="00317915">
      <w:pPr>
        <w:pStyle w:val="Heading4"/>
        <w:spacing w:line="240" w:lineRule="auto"/>
        <w:ind w:firstLine="720"/>
        <w:rPr>
          <w:rFonts w:cs="Times New Roman"/>
          <w:i w:val="0"/>
          <w:color w:val="auto"/>
          <w:szCs w:val="26"/>
          <w:lang w:val="ro-MO"/>
        </w:rPr>
      </w:pPr>
      <w:bookmarkStart w:id="21" w:name="_Toc492907380"/>
      <w:r w:rsidRPr="00446F65">
        <w:rPr>
          <w:rFonts w:cs="Times New Roman"/>
          <w:i w:val="0"/>
          <w:color w:val="auto"/>
          <w:szCs w:val="26"/>
          <w:lang w:val="ro-MO"/>
        </w:rPr>
        <w:t>3.1.4</w:t>
      </w:r>
      <w:r w:rsidR="00E45C32" w:rsidRPr="00446F65">
        <w:rPr>
          <w:rFonts w:cs="Times New Roman"/>
          <w:i w:val="0"/>
          <w:color w:val="auto"/>
          <w:szCs w:val="26"/>
          <w:lang w:val="ro-MO"/>
        </w:rPr>
        <w:t xml:space="preserve"> </w:t>
      </w:r>
      <w:r w:rsidR="00BE4378" w:rsidRPr="00446F65">
        <w:rPr>
          <w:rFonts w:cs="Times New Roman"/>
          <w:i w:val="0"/>
          <w:color w:val="auto"/>
          <w:szCs w:val="26"/>
          <w:lang w:val="ro-MO"/>
        </w:rPr>
        <w:t>Concluzii privind identificarea pieței relevante</w:t>
      </w:r>
      <w:bookmarkEnd w:id="21"/>
    </w:p>
    <w:p w:rsidR="00BE4378" w:rsidRPr="00446F65" w:rsidRDefault="00BE4378" w:rsidP="00317915">
      <w:pPr>
        <w:pStyle w:val="BodyText"/>
        <w:ind w:firstLine="720"/>
        <w:jc w:val="both"/>
        <w:rPr>
          <w:sz w:val="26"/>
          <w:szCs w:val="26"/>
          <w:lang w:val="ro-MO"/>
        </w:rPr>
      </w:pPr>
      <w:r w:rsidRPr="00446F65">
        <w:rPr>
          <w:sz w:val="26"/>
          <w:szCs w:val="26"/>
          <w:lang w:val="ro-MO"/>
        </w:rPr>
        <w:t xml:space="preserve">ANRCETI a aplicat Testul Monopolistului Ipotetic pentru a identifica limitele pieţei </w:t>
      </w:r>
      <w:r w:rsidR="006470AD" w:rsidRPr="00446F65">
        <w:rPr>
          <w:sz w:val="26"/>
          <w:szCs w:val="26"/>
          <w:lang w:val="ro-MO"/>
        </w:rPr>
        <w:t>furnizării cu ridicata de servicii de acces local la puncte fixe</w:t>
      </w:r>
      <w:r w:rsidRPr="00446F65">
        <w:rPr>
          <w:sz w:val="26"/>
          <w:szCs w:val="26"/>
          <w:lang w:val="ro-MO"/>
        </w:rPr>
        <w:t xml:space="preserve">. ANRCETI a aplicat, de asemenea, testul celor trei criterii pentru a testa dacă această piaţă este susceptibilă reglementării preventive. </w:t>
      </w:r>
    </w:p>
    <w:p w:rsidR="00EB4BBA" w:rsidRDefault="00EB4BBA" w:rsidP="00317915">
      <w:pPr>
        <w:pStyle w:val="BodyText"/>
        <w:ind w:firstLine="720"/>
        <w:jc w:val="both"/>
        <w:rPr>
          <w:sz w:val="26"/>
          <w:szCs w:val="26"/>
          <w:lang w:val="ro-MO"/>
        </w:rPr>
      </w:pPr>
    </w:p>
    <w:p w:rsidR="00BE4378" w:rsidRPr="00446F65" w:rsidRDefault="00BE4378" w:rsidP="00317915">
      <w:pPr>
        <w:pStyle w:val="BodyText"/>
        <w:ind w:firstLine="720"/>
        <w:jc w:val="both"/>
        <w:rPr>
          <w:sz w:val="26"/>
          <w:szCs w:val="26"/>
          <w:lang w:val="ro-MO"/>
        </w:rPr>
      </w:pPr>
      <w:r w:rsidRPr="00446F65">
        <w:rPr>
          <w:sz w:val="26"/>
          <w:szCs w:val="26"/>
          <w:lang w:val="ro-MO"/>
        </w:rPr>
        <w:t xml:space="preserve">Prin urmare, ANRCETI consideră că următoarea piaţă este relevantă reglementării preventive: </w:t>
      </w:r>
    </w:p>
    <w:p w:rsidR="00BE4378" w:rsidRPr="00446F65" w:rsidRDefault="00BE4378" w:rsidP="00317915">
      <w:pPr>
        <w:spacing w:after="0" w:line="240" w:lineRule="auto"/>
        <w:ind w:firstLine="720"/>
        <w:jc w:val="both"/>
        <w:rPr>
          <w:rFonts w:ascii="Times New Roman" w:hAnsi="Times New Roman" w:cs="Times New Roman"/>
          <w:b/>
          <w:i/>
          <w:iCs/>
          <w:sz w:val="26"/>
          <w:szCs w:val="26"/>
          <w:lang w:val="ro-MO"/>
        </w:rPr>
      </w:pPr>
      <w:r w:rsidRPr="00446F65">
        <w:rPr>
          <w:rFonts w:ascii="Times New Roman" w:hAnsi="Times New Roman" w:cs="Times New Roman"/>
          <w:b/>
          <w:i/>
          <w:iCs/>
          <w:sz w:val="26"/>
          <w:szCs w:val="26"/>
          <w:lang w:val="ro-MO"/>
        </w:rPr>
        <w:t xml:space="preserve">Piaţa </w:t>
      </w:r>
      <w:r w:rsidR="006470AD" w:rsidRPr="00446F65">
        <w:rPr>
          <w:rFonts w:ascii="Times New Roman" w:hAnsi="Times New Roman" w:cs="Times New Roman"/>
          <w:b/>
          <w:i/>
          <w:iCs/>
          <w:sz w:val="26"/>
          <w:szCs w:val="26"/>
          <w:lang w:val="ro-MO"/>
        </w:rPr>
        <w:t>furnizării</w:t>
      </w:r>
      <w:r w:rsidR="000C3EDB" w:rsidRPr="00446F65">
        <w:rPr>
          <w:rFonts w:ascii="Times New Roman" w:hAnsi="Times New Roman" w:cs="Times New Roman"/>
          <w:b/>
          <w:i/>
          <w:iCs/>
          <w:sz w:val="26"/>
          <w:szCs w:val="26"/>
          <w:lang w:val="ro-MO"/>
        </w:rPr>
        <w:t xml:space="preserve"> </w:t>
      </w:r>
      <w:r w:rsidR="006470AD" w:rsidRPr="00446F65">
        <w:rPr>
          <w:rFonts w:ascii="Times New Roman" w:hAnsi="Times New Roman" w:cs="Times New Roman"/>
          <w:b/>
          <w:i/>
          <w:iCs/>
          <w:sz w:val="26"/>
          <w:szCs w:val="26"/>
          <w:lang w:val="ro-MO"/>
        </w:rPr>
        <w:t>cu ridicata de servicii de acces local la puncte fixe</w:t>
      </w:r>
      <w:r w:rsidRPr="00446F65">
        <w:rPr>
          <w:rFonts w:ascii="Times New Roman" w:hAnsi="Times New Roman" w:cs="Times New Roman"/>
          <w:b/>
          <w:i/>
          <w:iCs/>
          <w:sz w:val="26"/>
          <w:szCs w:val="26"/>
          <w:lang w:val="ro-MO"/>
        </w:rPr>
        <w:t>.</w:t>
      </w:r>
    </w:p>
    <w:p w:rsidR="00BE4378" w:rsidRPr="00446F65" w:rsidRDefault="00BE4378"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iCs/>
          <w:sz w:val="26"/>
          <w:szCs w:val="26"/>
          <w:lang w:val="ro-MO"/>
        </w:rPr>
        <w:t>Această piaţă include</w:t>
      </w:r>
      <w:r w:rsidR="00D639D3" w:rsidRPr="00446F65">
        <w:rPr>
          <w:rFonts w:ascii="Times New Roman" w:hAnsi="Times New Roman" w:cs="Times New Roman"/>
          <w:sz w:val="26"/>
          <w:szCs w:val="26"/>
          <w:lang w:val="ro-MO"/>
        </w:rPr>
        <w:t xml:space="preserve"> </w:t>
      </w:r>
      <w:r w:rsidR="00D639D3" w:rsidRPr="00446F65">
        <w:rPr>
          <w:rFonts w:ascii="Times New Roman" w:hAnsi="Times New Roman" w:cs="Times New Roman"/>
          <w:iCs/>
          <w:sz w:val="26"/>
          <w:szCs w:val="26"/>
          <w:lang w:val="ro-MO"/>
        </w:rPr>
        <w:t xml:space="preserve">servicii de acces total la bucla şi sub-bucla locală de cupru, acces partajat la bucla locală de cupru, accesul </w:t>
      </w:r>
      <w:r w:rsidR="00217504" w:rsidRPr="00446F65">
        <w:rPr>
          <w:rFonts w:ascii="Times New Roman" w:hAnsi="Times New Roman" w:cs="Times New Roman"/>
          <w:iCs/>
          <w:sz w:val="26"/>
          <w:szCs w:val="26"/>
          <w:lang w:val="ro-MO"/>
        </w:rPr>
        <w:t xml:space="preserve">total </w:t>
      </w:r>
      <w:r w:rsidR="00D639D3" w:rsidRPr="00446F65">
        <w:rPr>
          <w:rFonts w:ascii="Times New Roman" w:hAnsi="Times New Roman" w:cs="Times New Roman"/>
          <w:iCs/>
          <w:sz w:val="26"/>
          <w:szCs w:val="26"/>
          <w:lang w:val="ro-MO"/>
        </w:rPr>
        <w:t>la bucla locală bazată pe fibre optice</w:t>
      </w:r>
      <w:r w:rsidR="006470AD" w:rsidRPr="00446F65">
        <w:rPr>
          <w:rFonts w:ascii="Times New Roman" w:hAnsi="Times New Roman" w:cs="Times New Roman"/>
          <w:iCs/>
          <w:sz w:val="26"/>
          <w:szCs w:val="26"/>
          <w:lang w:val="ro-MO"/>
        </w:rPr>
        <w:t xml:space="preserve"> și accesul local virtual necondiționat (VULA)</w:t>
      </w:r>
      <w:r w:rsidR="00D639D3" w:rsidRPr="00446F65">
        <w:rPr>
          <w:rFonts w:ascii="Times New Roman" w:hAnsi="Times New Roman" w:cs="Times New Roman"/>
          <w:iCs/>
          <w:sz w:val="26"/>
          <w:szCs w:val="26"/>
          <w:lang w:val="ro-MO"/>
        </w:rPr>
        <w:t xml:space="preserve">. </w:t>
      </w:r>
      <w:r w:rsidRPr="00446F65">
        <w:rPr>
          <w:rFonts w:ascii="Times New Roman" w:hAnsi="Times New Roman" w:cs="Times New Roman"/>
          <w:iCs/>
          <w:sz w:val="26"/>
          <w:szCs w:val="26"/>
          <w:lang w:val="ro-MO"/>
        </w:rPr>
        <w:t xml:space="preserve">Limitele geografice ale acestei pieţe sunt teritoriul naţional. </w:t>
      </w:r>
    </w:p>
    <w:p w:rsidR="00BE4378" w:rsidRPr="00446F65" w:rsidRDefault="00BE4378"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conformitate cu cerinţele Legii</w:t>
      </w:r>
      <w:r w:rsidR="00126CAD" w:rsidRPr="00446F65">
        <w:rPr>
          <w:rFonts w:ascii="Times New Roman" w:hAnsi="Times New Roman" w:cs="Times New Roman"/>
          <w:sz w:val="26"/>
          <w:szCs w:val="26"/>
          <w:lang w:val="ro-MO"/>
        </w:rPr>
        <w:t xml:space="preserve"> </w:t>
      </w:r>
      <w:r w:rsidR="00DA7F2A" w:rsidRPr="00446F65">
        <w:rPr>
          <w:rFonts w:ascii="Times New Roman" w:hAnsi="Times New Roman" w:cs="Times New Roman"/>
          <w:sz w:val="26"/>
          <w:szCs w:val="26"/>
          <w:lang w:val="ro-MO"/>
        </w:rPr>
        <w:t>nr. 241/2007</w:t>
      </w:r>
      <w:r w:rsidRPr="00446F65">
        <w:rPr>
          <w:rFonts w:ascii="Times New Roman" w:hAnsi="Times New Roman" w:cs="Times New Roman"/>
          <w:sz w:val="26"/>
          <w:szCs w:val="26"/>
          <w:lang w:val="ro-MO"/>
        </w:rPr>
        <w:t xml:space="preserve">, această definiţie a pieţei poate fi subiect al revizuirii cel puţin o dată la doi ani. </w:t>
      </w:r>
    </w:p>
    <w:p w:rsidR="008A5631" w:rsidRPr="00446F65" w:rsidRDefault="00BE4378" w:rsidP="00317915">
      <w:pPr>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urma constatărilor acestei analize, ANRCETI poate lua decizia privind relevanţa </w:t>
      </w:r>
      <w:r w:rsidR="00605B72" w:rsidRPr="00446F65">
        <w:rPr>
          <w:rFonts w:ascii="Times New Roman" w:hAnsi="Times New Roman" w:cs="Times New Roman"/>
          <w:sz w:val="26"/>
          <w:szCs w:val="26"/>
          <w:lang w:val="ro-MO"/>
        </w:rPr>
        <w:t>ei pentru reglementare</w:t>
      </w:r>
      <w:r w:rsidR="006E1719" w:rsidRPr="00446F65">
        <w:rPr>
          <w:rFonts w:ascii="Times New Roman" w:hAnsi="Times New Roman" w:cs="Times New Roman"/>
          <w:sz w:val="26"/>
          <w:szCs w:val="26"/>
          <w:lang w:val="ro-MO"/>
        </w:rPr>
        <w:t xml:space="preserve"> </w:t>
      </w:r>
      <w:r w:rsidR="005B0E79" w:rsidRPr="00446F65">
        <w:rPr>
          <w:rFonts w:ascii="Times New Roman" w:hAnsi="Times New Roman" w:cs="Times New Roman"/>
          <w:i/>
          <w:sz w:val="26"/>
          <w:szCs w:val="26"/>
          <w:lang w:val="ro-MO"/>
        </w:rPr>
        <w:t>ex-ante</w:t>
      </w:r>
      <w:r w:rsidRPr="00446F65">
        <w:rPr>
          <w:rFonts w:ascii="Times New Roman" w:hAnsi="Times New Roman" w:cs="Times New Roman"/>
          <w:sz w:val="26"/>
          <w:szCs w:val="26"/>
          <w:lang w:val="ro-MO"/>
        </w:rPr>
        <w:t xml:space="preserve">. Drept urmare, </w:t>
      </w:r>
      <w:r w:rsidR="007C0F02" w:rsidRPr="00446F65">
        <w:rPr>
          <w:rFonts w:ascii="Times New Roman" w:hAnsi="Times New Roman" w:cs="Times New Roman"/>
          <w:sz w:val="26"/>
          <w:szCs w:val="26"/>
          <w:lang w:val="ro-MO"/>
        </w:rPr>
        <w:t>a fost</w:t>
      </w:r>
      <w:r w:rsidRPr="00446F65">
        <w:rPr>
          <w:rFonts w:ascii="Times New Roman" w:hAnsi="Times New Roman" w:cs="Times New Roman"/>
          <w:sz w:val="26"/>
          <w:szCs w:val="26"/>
          <w:lang w:val="ro-MO"/>
        </w:rPr>
        <w:t xml:space="preserve"> necesară o analiză mai detaliată a acestei pieţe pentru a determina dacă există furnizori care deţin o putere semnificativă pe această piaţă şi, dacă va fi cazul, pentru a stabili obligaţii preventive speciale ce urmează a fi impuse unor astfel de furnizori.</w:t>
      </w:r>
      <w:r w:rsidR="007C0F02" w:rsidRPr="00446F65">
        <w:rPr>
          <w:rFonts w:ascii="Times New Roman" w:hAnsi="Times New Roman" w:cs="Times New Roman"/>
          <w:sz w:val="26"/>
          <w:szCs w:val="26"/>
          <w:lang w:val="ro-MO"/>
        </w:rPr>
        <w:t xml:space="preserve"> Analiza dată este prezentată în </w:t>
      </w:r>
      <w:r w:rsidR="00AD238B" w:rsidRPr="00446F65">
        <w:rPr>
          <w:rFonts w:ascii="Times New Roman" w:hAnsi="Times New Roman" w:cs="Times New Roman"/>
          <w:sz w:val="26"/>
          <w:szCs w:val="26"/>
          <w:lang w:val="ro-MO"/>
        </w:rPr>
        <w:t>compartimentul</w:t>
      </w:r>
      <w:r w:rsidR="007C0F02" w:rsidRPr="00446F65">
        <w:rPr>
          <w:rFonts w:ascii="Times New Roman" w:hAnsi="Times New Roman" w:cs="Times New Roman"/>
          <w:sz w:val="26"/>
          <w:szCs w:val="26"/>
          <w:lang w:val="ro-MO"/>
        </w:rPr>
        <w:t xml:space="preserve"> de mai jos.</w:t>
      </w:r>
      <w:r w:rsidR="008A5631" w:rsidRPr="00446F65">
        <w:rPr>
          <w:rFonts w:ascii="Times New Roman" w:hAnsi="Times New Roman" w:cs="Times New Roman"/>
          <w:sz w:val="26"/>
          <w:szCs w:val="26"/>
          <w:lang w:val="ro-MO"/>
        </w:rPr>
        <w:br w:type="page"/>
      </w:r>
    </w:p>
    <w:p w:rsidR="00155E01" w:rsidRPr="00446F65" w:rsidRDefault="006429CE" w:rsidP="00317915">
      <w:pPr>
        <w:pStyle w:val="Heading2"/>
        <w:numPr>
          <w:ilvl w:val="1"/>
          <w:numId w:val="20"/>
        </w:numPr>
        <w:spacing w:before="0" w:line="240" w:lineRule="auto"/>
        <w:ind w:left="0" w:firstLine="720"/>
        <w:rPr>
          <w:rFonts w:eastAsiaTheme="minorHAnsi" w:cs="Times New Roman"/>
          <w:b w:val="0"/>
          <w:bCs w:val="0"/>
          <w:color w:val="auto"/>
          <w:sz w:val="26"/>
          <w:lang w:val="ro-MO"/>
        </w:rPr>
      </w:pPr>
      <w:bookmarkStart w:id="22" w:name="_Toc492907381"/>
      <w:r w:rsidRPr="00446F65">
        <w:rPr>
          <w:rFonts w:cs="Times New Roman"/>
          <w:color w:val="auto"/>
          <w:sz w:val="26"/>
          <w:lang w:val="ro-MO"/>
        </w:rPr>
        <w:lastRenderedPageBreak/>
        <w:t xml:space="preserve">Analiza pieței </w:t>
      </w:r>
      <w:r w:rsidR="000C3EDB" w:rsidRPr="00446F65">
        <w:rPr>
          <w:rFonts w:cs="Times New Roman"/>
          <w:color w:val="auto"/>
          <w:sz w:val="26"/>
          <w:lang w:val="ro-MO"/>
        </w:rPr>
        <w:t>furnizării cu ridicata de servicii de acces local la puncte fixe</w:t>
      </w:r>
      <w:r w:rsidR="00CD795E" w:rsidRPr="00446F65">
        <w:rPr>
          <w:rFonts w:cs="Times New Roman"/>
          <w:color w:val="auto"/>
          <w:sz w:val="26"/>
          <w:lang w:val="ro-MO"/>
        </w:rPr>
        <w:t xml:space="preserve"> (WLA)</w:t>
      </w:r>
      <w:bookmarkEnd w:id="22"/>
    </w:p>
    <w:p w:rsidR="0087669E" w:rsidRPr="00446F65" w:rsidRDefault="0087669E" w:rsidP="00317915">
      <w:pPr>
        <w:pStyle w:val="Heading4"/>
        <w:spacing w:before="0" w:line="240" w:lineRule="auto"/>
        <w:ind w:firstLine="720"/>
        <w:rPr>
          <w:rFonts w:cs="Times New Roman"/>
          <w:i w:val="0"/>
          <w:color w:val="auto"/>
          <w:szCs w:val="26"/>
          <w:lang w:val="ro-MO"/>
        </w:rPr>
      </w:pPr>
      <w:bookmarkStart w:id="23" w:name="_Toc492907382"/>
      <w:r w:rsidRPr="00446F65">
        <w:rPr>
          <w:rFonts w:cs="Times New Roman"/>
          <w:i w:val="0"/>
          <w:color w:val="auto"/>
          <w:szCs w:val="26"/>
          <w:lang w:val="ro-MO"/>
        </w:rPr>
        <w:t>3.</w:t>
      </w:r>
      <w:r w:rsidR="00CD795E" w:rsidRPr="00446F65">
        <w:rPr>
          <w:rFonts w:cs="Times New Roman"/>
          <w:i w:val="0"/>
          <w:color w:val="auto"/>
          <w:szCs w:val="26"/>
          <w:lang w:val="ro-MO"/>
        </w:rPr>
        <w:t xml:space="preserve">2.1 </w:t>
      </w:r>
      <w:r w:rsidRPr="00446F65">
        <w:rPr>
          <w:rFonts w:cs="Times New Roman"/>
          <w:i w:val="0"/>
          <w:color w:val="auto"/>
          <w:szCs w:val="26"/>
          <w:lang w:val="ro-MO"/>
        </w:rPr>
        <w:t>Evaluarea cotei de piață</w:t>
      </w:r>
      <w:bookmarkEnd w:id="23"/>
    </w:p>
    <w:p w:rsidR="002B3FD3" w:rsidRPr="00446F65" w:rsidRDefault="008F15BF"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w:t>
      </w:r>
      <w:r w:rsidR="002B3FD3" w:rsidRPr="00446F65">
        <w:rPr>
          <w:rFonts w:ascii="Times New Roman" w:hAnsi="Times New Roman" w:cs="Times New Roman"/>
          <w:sz w:val="26"/>
          <w:szCs w:val="26"/>
          <w:lang w:val="ro-MO"/>
        </w:rPr>
        <w:t xml:space="preserve">ota de piaţă este indicatorul principal al existenţei PSP. Astfel </w:t>
      </w:r>
      <w:r w:rsidR="005A0663" w:rsidRPr="00446F65">
        <w:rPr>
          <w:rFonts w:ascii="Times New Roman" w:hAnsi="Times New Roman" w:cs="Times New Roman"/>
          <w:sz w:val="26"/>
          <w:szCs w:val="26"/>
          <w:lang w:val="ro-MO"/>
        </w:rPr>
        <w:t xml:space="preserve">o </w:t>
      </w:r>
      <w:r w:rsidR="002B3FD3" w:rsidRPr="00446F65">
        <w:rPr>
          <w:rFonts w:ascii="Times New Roman" w:hAnsi="Times New Roman" w:cs="Times New Roman"/>
          <w:sz w:val="26"/>
          <w:szCs w:val="26"/>
          <w:lang w:val="ro-MO"/>
        </w:rPr>
        <w:t xml:space="preserve">cota de piaţă </w:t>
      </w:r>
      <w:r w:rsidRPr="00446F65">
        <w:rPr>
          <w:rFonts w:ascii="Times New Roman" w:hAnsi="Times New Roman" w:cs="Times New Roman"/>
          <w:sz w:val="26"/>
          <w:szCs w:val="26"/>
          <w:lang w:val="ro-MO"/>
        </w:rPr>
        <w:t>mare</w:t>
      </w:r>
      <w:r w:rsidR="002B3FD3" w:rsidRPr="00446F65">
        <w:rPr>
          <w:rFonts w:ascii="Times New Roman" w:hAnsi="Times New Roman" w:cs="Times New Roman"/>
          <w:sz w:val="26"/>
          <w:szCs w:val="26"/>
          <w:lang w:val="ro-MO"/>
        </w:rPr>
        <w:t xml:space="preserve"> este o condiţie necesară, nu însă şi suficientă pentru desemnarea unui furnizor individual cu putere semnificativă pe o anumită piaţă relevantă. Pentru a confirma prezenţa PSP, ANRCETI trebuie să efectueze analiza </w:t>
      </w:r>
      <w:r w:rsidR="00AD238B" w:rsidRPr="00446F65">
        <w:rPr>
          <w:rFonts w:ascii="Times New Roman" w:hAnsi="Times New Roman" w:cs="Times New Roman"/>
          <w:sz w:val="26"/>
          <w:szCs w:val="26"/>
          <w:lang w:val="ro-MO"/>
        </w:rPr>
        <w:t>detaliată</w:t>
      </w:r>
      <w:r w:rsidR="002B3FD3" w:rsidRPr="00446F65">
        <w:rPr>
          <w:rFonts w:ascii="Times New Roman" w:hAnsi="Times New Roman" w:cs="Times New Roman"/>
          <w:sz w:val="26"/>
          <w:szCs w:val="26"/>
          <w:lang w:val="ro-MO"/>
        </w:rPr>
        <w:t xml:space="preserve"> a pieţei după cum este descris mai jos pentru a stabili dacă un furnizor poate acţiona în mare măsură independent de alţi furnizori. </w:t>
      </w:r>
    </w:p>
    <w:p w:rsidR="002B3FD3" w:rsidRPr="00446F65" w:rsidRDefault="002B3FD3"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Regulamentul prevede posibilitatea calculării cotei de piaţă în mai multe moduri, inclusiv conform venitului, numărului de abonaţi, capacităţii instalate, traficului. </w:t>
      </w:r>
    </w:p>
    <w:p w:rsidR="006944C7" w:rsidRPr="00446F65" w:rsidRDefault="006944C7"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Deşi existenţa unei cote de piaţă ridicate nu este suficientă pentru a desemna un furnizor ca având putere semnificativă, este puţin probabil ca un furnizor să deţină putere semnificativă fără să aibă, în acelaşi timp, o cotă de piaţă ridicată.</w:t>
      </w:r>
    </w:p>
    <w:p w:rsidR="00974BC6" w:rsidRPr="00446F65" w:rsidRDefault="002B3FD3" w:rsidP="00317915">
      <w:pPr>
        <w:tabs>
          <w:tab w:val="left" w:pos="720"/>
        </w:tabs>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cazul pieţei date ANRCETI a calculat cota de piaţă în funcţie de</w:t>
      </w:r>
      <w:r w:rsidR="00C4668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numărul de bucle locale de cupru</w:t>
      </w:r>
      <w:r w:rsidR="00C50CEB" w:rsidRPr="00446F65">
        <w:rPr>
          <w:rFonts w:ascii="Times New Roman" w:hAnsi="Times New Roman" w:cs="Times New Roman"/>
          <w:sz w:val="26"/>
          <w:szCs w:val="26"/>
          <w:lang w:val="ro-MO"/>
        </w:rPr>
        <w:t xml:space="preserve"> și fibre optice</w:t>
      </w:r>
      <w:r w:rsidRPr="00446F65">
        <w:rPr>
          <w:rFonts w:ascii="Times New Roman" w:hAnsi="Times New Roman" w:cs="Times New Roman"/>
          <w:sz w:val="26"/>
          <w:szCs w:val="26"/>
          <w:lang w:val="ro-MO"/>
        </w:rPr>
        <w:t xml:space="preserve"> și evoluția acest</w:t>
      </w:r>
      <w:r w:rsidR="00CA277A" w:rsidRPr="00446F65">
        <w:rPr>
          <w:rFonts w:ascii="Times New Roman" w:hAnsi="Times New Roman" w:cs="Times New Roman"/>
          <w:sz w:val="26"/>
          <w:szCs w:val="26"/>
          <w:lang w:val="ro-MO"/>
        </w:rPr>
        <w:t>ora</w:t>
      </w:r>
      <w:r w:rsidRPr="00446F65">
        <w:rPr>
          <w:rFonts w:ascii="Times New Roman" w:hAnsi="Times New Roman" w:cs="Times New Roman"/>
          <w:sz w:val="26"/>
          <w:szCs w:val="26"/>
          <w:lang w:val="ro-MO"/>
        </w:rPr>
        <w:t xml:space="preserve">. </w:t>
      </w:r>
    </w:p>
    <w:p w:rsidR="00E762D8" w:rsidRPr="00446F65" w:rsidRDefault="002B3FD3" w:rsidP="00317915">
      <w:pPr>
        <w:tabs>
          <w:tab w:val="left" w:pos="720"/>
        </w:tabs>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Conform datelor statistice prezentat</w:t>
      </w:r>
      <w:r w:rsidR="00932F27" w:rsidRPr="00446F65">
        <w:rPr>
          <w:rFonts w:ascii="Times New Roman" w:hAnsi="Times New Roman" w:cs="Times New Roman"/>
          <w:sz w:val="26"/>
          <w:szCs w:val="26"/>
          <w:lang w:val="ro-MO"/>
        </w:rPr>
        <w:t>e</w:t>
      </w:r>
      <w:r w:rsidRPr="00446F65">
        <w:rPr>
          <w:rFonts w:ascii="Times New Roman" w:hAnsi="Times New Roman" w:cs="Times New Roman"/>
          <w:sz w:val="26"/>
          <w:szCs w:val="26"/>
          <w:lang w:val="ro-MO"/>
        </w:rPr>
        <w:t xml:space="preserve"> de către furnizorii de reţele şi/sau servicii de comunicaţii electronice </w:t>
      </w:r>
      <w:r w:rsidR="00A560A9" w:rsidRPr="00446F65">
        <w:rPr>
          <w:rFonts w:ascii="Times New Roman" w:hAnsi="Times New Roman" w:cs="Times New Roman"/>
          <w:sz w:val="26"/>
          <w:szCs w:val="26"/>
          <w:lang w:val="ro-MO"/>
        </w:rPr>
        <w:t xml:space="preserve">în anul </w:t>
      </w:r>
      <w:r w:rsidR="000C3EDB" w:rsidRPr="00446F65">
        <w:rPr>
          <w:rFonts w:ascii="Times New Roman" w:hAnsi="Times New Roman" w:cs="Times New Roman"/>
          <w:sz w:val="26"/>
          <w:szCs w:val="26"/>
          <w:lang w:val="ro-MO"/>
        </w:rPr>
        <w:t>2016</w:t>
      </w:r>
      <w:r w:rsidRPr="00446F65">
        <w:rPr>
          <w:rFonts w:ascii="Times New Roman" w:hAnsi="Times New Roman" w:cs="Times New Roman"/>
          <w:sz w:val="26"/>
          <w:szCs w:val="26"/>
          <w:lang w:val="ro-MO"/>
        </w:rPr>
        <w:t xml:space="preserve">, cota de piaţă în funcţie de </w:t>
      </w:r>
      <w:r w:rsidR="00932F27" w:rsidRPr="00446F65">
        <w:rPr>
          <w:rFonts w:ascii="Times New Roman" w:hAnsi="Times New Roman" w:cs="Times New Roman"/>
          <w:sz w:val="26"/>
          <w:szCs w:val="26"/>
          <w:lang w:val="ro-MO"/>
        </w:rPr>
        <w:t>numărul</w:t>
      </w:r>
      <w:r w:rsidRPr="00446F65">
        <w:rPr>
          <w:rFonts w:ascii="Times New Roman" w:hAnsi="Times New Roman" w:cs="Times New Roman"/>
          <w:sz w:val="26"/>
          <w:szCs w:val="26"/>
          <w:lang w:val="ro-MO"/>
        </w:rPr>
        <w:t xml:space="preserve"> de bucle locale </w:t>
      </w:r>
      <w:r w:rsidR="0088327E" w:rsidRPr="00446F65">
        <w:rPr>
          <w:rFonts w:ascii="Times New Roman" w:hAnsi="Times New Roman" w:cs="Times New Roman"/>
          <w:sz w:val="26"/>
          <w:szCs w:val="26"/>
          <w:lang w:val="ro-MO"/>
        </w:rPr>
        <w:t xml:space="preserve">(bazate pe cupru și pe fibră optică) </w:t>
      </w:r>
      <w:r w:rsidRPr="00446F65">
        <w:rPr>
          <w:rFonts w:ascii="Times New Roman" w:hAnsi="Times New Roman" w:cs="Times New Roman"/>
          <w:sz w:val="26"/>
          <w:szCs w:val="26"/>
          <w:lang w:val="ro-MO"/>
        </w:rPr>
        <w:t xml:space="preserve">ale </w:t>
      </w:r>
      <w:r w:rsidR="00951F8B" w:rsidRPr="00446F65">
        <w:rPr>
          <w:rFonts w:ascii="Times New Roman" w:hAnsi="Times New Roman" w:cs="Times New Roman"/>
          <w:sz w:val="26"/>
          <w:szCs w:val="26"/>
          <w:lang w:val="ro-MO"/>
        </w:rPr>
        <w:t>furnizor</w:t>
      </w:r>
      <w:r w:rsidRPr="00446F65">
        <w:rPr>
          <w:rFonts w:ascii="Times New Roman" w:hAnsi="Times New Roman" w:cs="Times New Roman"/>
          <w:sz w:val="26"/>
          <w:szCs w:val="26"/>
          <w:lang w:val="ro-MO"/>
        </w:rPr>
        <w:t xml:space="preserve">ului istoric reprezintă </w:t>
      </w:r>
      <w:r w:rsidR="00A560A9" w:rsidRPr="00446F65">
        <w:rPr>
          <w:rFonts w:ascii="Times New Roman" w:hAnsi="Times New Roman" w:cs="Times New Roman"/>
          <w:sz w:val="26"/>
          <w:szCs w:val="26"/>
          <w:lang w:val="ro-MO"/>
        </w:rPr>
        <w:t>89</w:t>
      </w:r>
      <w:r w:rsidR="00932F27" w:rsidRPr="00446F65">
        <w:rPr>
          <w:rFonts w:ascii="Times New Roman" w:hAnsi="Times New Roman" w:cs="Times New Roman"/>
          <w:sz w:val="26"/>
          <w:szCs w:val="26"/>
          <w:lang w:val="ro-MO"/>
        </w:rPr>
        <w:t>%</w:t>
      </w:r>
      <w:r w:rsidR="006944C7" w:rsidRPr="00446F65">
        <w:rPr>
          <w:rFonts w:ascii="Times New Roman" w:hAnsi="Times New Roman" w:cs="Times New Roman"/>
          <w:sz w:val="26"/>
          <w:szCs w:val="26"/>
          <w:lang w:val="ro-MO"/>
        </w:rPr>
        <w:t>.</w:t>
      </w:r>
    </w:p>
    <w:p w:rsidR="00CD795E" w:rsidRPr="00446F65" w:rsidRDefault="00CD795E" w:rsidP="00317915">
      <w:pPr>
        <w:tabs>
          <w:tab w:val="left" w:pos="426"/>
        </w:tabs>
        <w:spacing w:after="0" w:line="240" w:lineRule="auto"/>
        <w:ind w:firstLine="567"/>
        <w:jc w:val="both"/>
        <w:rPr>
          <w:rFonts w:ascii="Times New Roman" w:hAnsi="Times New Roman" w:cs="Times New Roman"/>
          <w:sz w:val="26"/>
          <w:szCs w:val="26"/>
          <w:lang w:val="ro-MO"/>
        </w:rPr>
      </w:pPr>
    </w:p>
    <w:p w:rsidR="00CD795E" w:rsidRPr="00446F65" w:rsidRDefault="00CD795E" w:rsidP="00317915">
      <w:pPr>
        <w:tabs>
          <w:tab w:val="left" w:pos="426"/>
        </w:tabs>
        <w:spacing w:after="0" w:line="240" w:lineRule="auto"/>
        <w:ind w:firstLine="567"/>
        <w:jc w:val="both"/>
        <w:rPr>
          <w:rFonts w:ascii="Times New Roman" w:hAnsi="Times New Roman" w:cs="Times New Roman"/>
          <w:sz w:val="26"/>
          <w:szCs w:val="26"/>
          <w:lang w:val="ro-MO"/>
        </w:rPr>
      </w:pPr>
    </w:p>
    <w:p w:rsidR="004A5E68" w:rsidRPr="00446F65" w:rsidRDefault="00577584" w:rsidP="00317915">
      <w:pPr>
        <w:tabs>
          <w:tab w:val="left" w:pos="426"/>
        </w:tabs>
        <w:spacing w:line="240" w:lineRule="auto"/>
        <w:ind w:firstLine="567"/>
        <w:jc w:val="center"/>
        <w:rPr>
          <w:rFonts w:ascii="Times New Roman" w:hAnsi="Times New Roman" w:cs="Times New Roman"/>
          <w:sz w:val="26"/>
          <w:szCs w:val="26"/>
          <w:lang w:val="ro-MO"/>
        </w:rPr>
      </w:pPr>
      <w:r w:rsidRPr="00446F65">
        <w:rPr>
          <w:rFonts w:ascii="Times New Roman" w:hAnsi="Times New Roman" w:cs="Times New Roman"/>
          <w:noProof/>
          <w:sz w:val="26"/>
          <w:szCs w:val="26"/>
          <w:lang w:val="ro-MO"/>
        </w:rPr>
        <w:t xml:space="preserve"> </w:t>
      </w:r>
      <w:r w:rsidR="003708F6" w:rsidRPr="00446F65">
        <w:rPr>
          <w:rFonts w:ascii="Times New Roman" w:hAnsi="Times New Roman" w:cs="Times New Roman"/>
          <w:noProof/>
          <w:sz w:val="26"/>
          <w:szCs w:val="26"/>
        </w:rPr>
        <w:drawing>
          <wp:inline distT="0" distB="0" distL="0" distR="0" wp14:anchorId="6635BED5" wp14:editId="36E6E4D8">
            <wp:extent cx="4562949" cy="2743200"/>
            <wp:effectExtent l="0" t="0" r="9525" b="1905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74BC6" w:rsidRPr="00446F65" w:rsidRDefault="00472967" w:rsidP="00317915">
      <w:pPr>
        <w:tabs>
          <w:tab w:val="left" w:pos="426"/>
        </w:tabs>
        <w:spacing w:line="240" w:lineRule="auto"/>
        <w:ind w:firstLine="567"/>
        <w:jc w:val="center"/>
        <w:rPr>
          <w:rFonts w:ascii="Times New Roman" w:hAnsi="Times New Roman" w:cs="Times New Roman"/>
          <w:b/>
          <w:sz w:val="26"/>
          <w:szCs w:val="26"/>
          <w:lang w:val="ro-MO"/>
        </w:rPr>
      </w:pPr>
      <w:r w:rsidRPr="00446F65">
        <w:rPr>
          <w:rFonts w:ascii="Times New Roman" w:hAnsi="Times New Roman" w:cs="Times New Roman"/>
          <w:b/>
          <w:sz w:val="26"/>
          <w:szCs w:val="26"/>
          <w:lang w:val="ro-MO"/>
        </w:rPr>
        <w:t xml:space="preserve">Diagrama </w:t>
      </w:r>
      <w:r w:rsidR="00AD238B" w:rsidRPr="00446F65">
        <w:rPr>
          <w:rFonts w:ascii="Times New Roman" w:hAnsi="Times New Roman" w:cs="Times New Roman"/>
          <w:b/>
          <w:sz w:val="26"/>
          <w:szCs w:val="26"/>
          <w:lang w:val="ro-MO"/>
        </w:rPr>
        <w:t>8</w:t>
      </w:r>
      <w:r w:rsidR="00974BC6" w:rsidRPr="00446F65">
        <w:rPr>
          <w:rFonts w:ascii="Times New Roman" w:hAnsi="Times New Roman" w:cs="Times New Roman"/>
          <w:b/>
          <w:sz w:val="26"/>
          <w:szCs w:val="26"/>
          <w:lang w:val="ro-MO"/>
        </w:rPr>
        <w:t xml:space="preserve">. Evoluţia ponderii </w:t>
      </w:r>
      <w:r w:rsidR="00A560A9" w:rsidRPr="00446F65">
        <w:rPr>
          <w:rFonts w:ascii="Times New Roman" w:hAnsi="Times New Roman" w:cs="Times New Roman"/>
          <w:b/>
          <w:sz w:val="26"/>
          <w:szCs w:val="26"/>
          <w:lang w:val="ro-MO"/>
        </w:rPr>
        <w:t>buclelor locale bazate pe cupru și fibră optică</w:t>
      </w:r>
    </w:p>
    <w:p w:rsidR="00546950" w:rsidRPr="00446F65" w:rsidRDefault="00546950" w:rsidP="00317915">
      <w:pPr>
        <w:tabs>
          <w:tab w:val="left" w:pos="720"/>
        </w:tabs>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Aceasta a făcut ANRCETI să considere că cota Moldtelecom în numărul de bucle locale de cupru şi fibră optică este foarte înaltă şi stabilă, ceea ce indică asupra existenţei puterii semnificative de piaţă a furnizorului dat. </w:t>
      </w:r>
    </w:p>
    <w:p w:rsidR="0087669E" w:rsidRPr="00446F65" w:rsidRDefault="00423405" w:rsidP="00317915">
      <w:pPr>
        <w:tabs>
          <w:tab w:val="left" w:pos="720"/>
        </w:tabs>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E</w:t>
      </w:r>
      <w:r w:rsidR="004A5E68" w:rsidRPr="00446F65">
        <w:rPr>
          <w:rFonts w:ascii="Times New Roman" w:hAnsi="Times New Roman" w:cs="Times New Roman"/>
          <w:sz w:val="26"/>
          <w:szCs w:val="26"/>
          <w:lang w:val="ro-MO"/>
        </w:rPr>
        <w:t xml:space="preserve">xpansiunea </w:t>
      </w:r>
      <w:r w:rsidR="008D5CBC" w:rsidRPr="00446F65">
        <w:rPr>
          <w:rFonts w:ascii="Times New Roman" w:hAnsi="Times New Roman" w:cs="Times New Roman"/>
          <w:sz w:val="26"/>
          <w:szCs w:val="26"/>
          <w:lang w:val="ro-MO"/>
        </w:rPr>
        <w:t xml:space="preserve">în </w:t>
      </w:r>
      <w:r w:rsidR="00974BC6" w:rsidRPr="00446F65">
        <w:rPr>
          <w:rFonts w:ascii="Times New Roman" w:hAnsi="Times New Roman" w:cs="Times New Roman"/>
          <w:sz w:val="26"/>
          <w:szCs w:val="26"/>
          <w:lang w:val="ro-MO"/>
        </w:rPr>
        <w:t>mun</w:t>
      </w:r>
      <w:r w:rsidR="00C46687" w:rsidRPr="00446F65">
        <w:rPr>
          <w:rFonts w:ascii="Times New Roman" w:hAnsi="Times New Roman" w:cs="Times New Roman"/>
          <w:sz w:val="26"/>
          <w:szCs w:val="26"/>
          <w:lang w:val="ro-MO"/>
        </w:rPr>
        <w:t>. Chișinău</w:t>
      </w:r>
      <w:r w:rsidR="008D5CBC" w:rsidRPr="00446F65">
        <w:rPr>
          <w:rFonts w:ascii="Times New Roman" w:hAnsi="Times New Roman" w:cs="Times New Roman"/>
          <w:sz w:val="26"/>
          <w:szCs w:val="26"/>
          <w:lang w:val="ro-MO"/>
        </w:rPr>
        <w:t xml:space="preserve"> a </w:t>
      </w:r>
      <w:r w:rsidR="004A5E68" w:rsidRPr="00446F65">
        <w:rPr>
          <w:rFonts w:ascii="Times New Roman" w:hAnsi="Times New Roman" w:cs="Times New Roman"/>
          <w:sz w:val="26"/>
          <w:szCs w:val="26"/>
          <w:lang w:val="ro-MO"/>
        </w:rPr>
        <w:t>reţelelor</w:t>
      </w:r>
      <w:r w:rsidR="00C46687" w:rsidRPr="00446F65">
        <w:rPr>
          <w:rFonts w:ascii="Times New Roman" w:hAnsi="Times New Roman" w:cs="Times New Roman"/>
          <w:sz w:val="26"/>
          <w:szCs w:val="26"/>
          <w:lang w:val="ro-MO"/>
        </w:rPr>
        <w:t xml:space="preserve"> </w:t>
      </w:r>
      <w:r w:rsidR="004A5E68" w:rsidRPr="00446F65">
        <w:rPr>
          <w:rFonts w:ascii="Times New Roman" w:hAnsi="Times New Roman" w:cs="Times New Roman"/>
          <w:sz w:val="26"/>
          <w:szCs w:val="26"/>
          <w:lang w:val="ro-MO"/>
        </w:rPr>
        <w:t xml:space="preserve">FTTx ale furnizorilor </w:t>
      </w:r>
      <w:r w:rsidRPr="00446F65">
        <w:rPr>
          <w:rFonts w:ascii="Times New Roman" w:hAnsi="Times New Roman" w:cs="Times New Roman"/>
          <w:sz w:val="26"/>
          <w:szCs w:val="26"/>
          <w:lang w:val="ro-MO"/>
        </w:rPr>
        <w:t>a dus la</w:t>
      </w:r>
      <w:r w:rsidR="004A5E68" w:rsidRPr="00446F65">
        <w:rPr>
          <w:rFonts w:ascii="Times New Roman" w:hAnsi="Times New Roman" w:cs="Times New Roman"/>
          <w:sz w:val="26"/>
          <w:szCs w:val="26"/>
          <w:lang w:val="ro-MO"/>
        </w:rPr>
        <w:t xml:space="preserve"> creşterea numărului de abonaţi</w:t>
      </w:r>
      <w:r w:rsidRPr="00446F65">
        <w:rPr>
          <w:rFonts w:ascii="Times New Roman" w:hAnsi="Times New Roman" w:cs="Times New Roman"/>
          <w:sz w:val="26"/>
          <w:szCs w:val="26"/>
          <w:lang w:val="ro-MO"/>
        </w:rPr>
        <w:t xml:space="preserve"> </w:t>
      </w:r>
      <w:r w:rsidR="00AC5413" w:rsidRPr="00446F65">
        <w:rPr>
          <w:rFonts w:ascii="Times New Roman" w:hAnsi="Times New Roman" w:cs="Times New Roman"/>
          <w:sz w:val="26"/>
          <w:szCs w:val="26"/>
          <w:lang w:val="ro-MO"/>
        </w:rPr>
        <w:t>conectați la</w:t>
      </w:r>
      <w:r w:rsidRPr="00446F65">
        <w:rPr>
          <w:rFonts w:ascii="Times New Roman" w:hAnsi="Times New Roman" w:cs="Times New Roman"/>
          <w:sz w:val="26"/>
          <w:szCs w:val="26"/>
          <w:lang w:val="ro-MO"/>
        </w:rPr>
        <w:t xml:space="preserve"> acest</w:t>
      </w:r>
      <w:r w:rsidR="00AC5413" w:rsidRPr="00446F65">
        <w:rPr>
          <w:rFonts w:ascii="Times New Roman" w:hAnsi="Times New Roman" w:cs="Times New Roman"/>
          <w:sz w:val="26"/>
          <w:szCs w:val="26"/>
          <w:lang w:val="ro-MO"/>
        </w:rPr>
        <w:t>ea</w:t>
      </w:r>
      <w:r w:rsidR="004A5E68" w:rsidRPr="00446F65">
        <w:rPr>
          <w:rFonts w:ascii="Times New Roman" w:hAnsi="Times New Roman" w:cs="Times New Roman"/>
          <w:sz w:val="26"/>
          <w:szCs w:val="26"/>
          <w:lang w:val="ro-MO"/>
        </w:rPr>
        <w:t xml:space="preserve">. Având în vedere că prezenţa furnizorilor alternativi de servicii FTTx în afara </w:t>
      </w:r>
      <w:r w:rsidR="00974BC6" w:rsidRPr="00446F65">
        <w:rPr>
          <w:rFonts w:ascii="Times New Roman" w:hAnsi="Times New Roman" w:cs="Times New Roman"/>
          <w:sz w:val="26"/>
          <w:szCs w:val="26"/>
          <w:lang w:val="ro-MO"/>
        </w:rPr>
        <w:t>mun</w:t>
      </w:r>
      <w:r w:rsidR="00C46687" w:rsidRPr="00446F65">
        <w:rPr>
          <w:rFonts w:ascii="Times New Roman" w:hAnsi="Times New Roman" w:cs="Times New Roman"/>
          <w:sz w:val="26"/>
          <w:szCs w:val="26"/>
          <w:lang w:val="ro-MO"/>
        </w:rPr>
        <w:t>. Chișinău</w:t>
      </w:r>
      <w:r w:rsidR="004A5E68" w:rsidRPr="00446F65">
        <w:rPr>
          <w:rFonts w:ascii="Times New Roman" w:hAnsi="Times New Roman" w:cs="Times New Roman"/>
          <w:sz w:val="26"/>
          <w:szCs w:val="26"/>
          <w:lang w:val="ro-MO"/>
        </w:rPr>
        <w:t xml:space="preserve"> este redusă, ANRCETI </w:t>
      </w:r>
      <w:r w:rsidR="00A560A9" w:rsidRPr="00446F65">
        <w:rPr>
          <w:rFonts w:ascii="Times New Roman" w:hAnsi="Times New Roman" w:cs="Times New Roman"/>
          <w:sz w:val="26"/>
          <w:szCs w:val="26"/>
          <w:lang w:val="ro-MO"/>
        </w:rPr>
        <w:t xml:space="preserve">consideră </w:t>
      </w:r>
      <w:r w:rsidR="004A5E68" w:rsidRPr="00446F65">
        <w:rPr>
          <w:rFonts w:ascii="Times New Roman" w:hAnsi="Times New Roman" w:cs="Times New Roman"/>
          <w:sz w:val="26"/>
          <w:szCs w:val="26"/>
          <w:lang w:val="ro-MO"/>
        </w:rPr>
        <w:t>că, în lipsa intervenţiei de reglementare,</w:t>
      </w:r>
      <w:r w:rsidR="00491A7C" w:rsidRPr="00446F65">
        <w:rPr>
          <w:rFonts w:ascii="Times New Roman" w:hAnsi="Times New Roman" w:cs="Times New Roman"/>
          <w:sz w:val="26"/>
          <w:szCs w:val="26"/>
          <w:lang w:val="ro-MO"/>
        </w:rPr>
        <w:t xml:space="preserve"> </w:t>
      </w:r>
      <w:r w:rsidR="00974BC6" w:rsidRPr="00446F65">
        <w:rPr>
          <w:rFonts w:ascii="Times New Roman" w:hAnsi="Times New Roman" w:cs="Times New Roman"/>
          <w:sz w:val="26"/>
          <w:szCs w:val="26"/>
          <w:lang w:val="ro-MO"/>
        </w:rPr>
        <w:t xml:space="preserve">cota </w:t>
      </w:r>
      <w:r w:rsidR="004A5E68" w:rsidRPr="00446F65">
        <w:rPr>
          <w:rFonts w:ascii="Times New Roman" w:hAnsi="Times New Roman" w:cs="Times New Roman"/>
          <w:sz w:val="26"/>
          <w:szCs w:val="26"/>
          <w:lang w:val="ro-MO"/>
        </w:rPr>
        <w:t xml:space="preserve">Moldtelecom pe segmentul de piaţă de acces în bandă largă prin conexiuni FTTx va creşte, ceea ce va stabiliza cota acestui furnizor în numărul total de conexiuni </w:t>
      </w:r>
      <w:r w:rsidR="00A560A9" w:rsidRPr="00446F65">
        <w:rPr>
          <w:rFonts w:ascii="Times New Roman" w:hAnsi="Times New Roman" w:cs="Times New Roman"/>
          <w:sz w:val="26"/>
          <w:szCs w:val="26"/>
          <w:lang w:val="ro-MO"/>
        </w:rPr>
        <w:t>bazate pe cupru și fibră optică</w:t>
      </w:r>
      <w:r w:rsidR="008D5CBC" w:rsidRPr="00446F65">
        <w:rPr>
          <w:rFonts w:ascii="Times New Roman" w:hAnsi="Times New Roman" w:cs="Times New Roman"/>
          <w:sz w:val="26"/>
          <w:szCs w:val="26"/>
          <w:lang w:val="ro-MO"/>
        </w:rPr>
        <w:t xml:space="preserve"> la un nivel destul de ridicat de cca 85%</w:t>
      </w:r>
      <w:r w:rsidR="0088327E" w:rsidRPr="00446F65">
        <w:rPr>
          <w:rFonts w:ascii="Times New Roman" w:hAnsi="Times New Roman" w:cs="Times New Roman"/>
          <w:sz w:val="26"/>
          <w:szCs w:val="26"/>
          <w:lang w:val="ro-MO"/>
        </w:rPr>
        <w:t xml:space="preserve"> sau aceasta ar putea începe a crește</w:t>
      </w:r>
      <w:r w:rsidR="008D5CBC" w:rsidRPr="00446F65">
        <w:rPr>
          <w:rFonts w:ascii="Times New Roman" w:hAnsi="Times New Roman" w:cs="Times New Roman"/>
          <w:sz w:val="26"/>
          <w:szCs w:val="26"/>
          <w:lang w:val="ro-MO"/>
        </w:rPr>
        <w:t>.</w:t>
      </w:r>
    </w:p>
    <w:p w:rsidR="00546950" w:rsidRPr="00446F65" w:rsidRDefault="00546950" w:rsidP="00317915">
      <w:pPr>
        <w:tabs>
          <w:tab w:val="left" w:pos="720"/>
        </w:tabs>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De asemenea menționăm că și la nivelul pieței cu amănuntul de bandă largă Moldtelecom deține o cotă de piață semnificativă (în funcție de abonați – 65,3%, iar în funcție de venituri – 64,6%), față de StarNet care este clasat pe locul al doilea (cota de piață în funcție de abonați – 20%, iar în funcție de venituri – 20,4%).</w:t>
      </w:r>
    </w:p>
    <w:p w:rsidR="00116CE8" w:rsidRDefault="00116CE8" w:rsidP="00317915">
      <w:pPr>
        <w:tabs>
          <w:tab w:val="left" w:pos="720"/>
        </w:tabs>
        <w:spacing w:after="0" w:line="240" w:lineRule="auto"/>
        <w:ind w:firstLine="720"/>
        <w:jc w:val="both"/>
        <w:rPr>
          <w:rFonts w:ascii="Times New Roman" w:hAnsi="Times New Roman" w:cs="Times New Roman"/>
          <w:b/>
          <w:sz w:val="26"/>
          <w:szCs w:val="26"/>
          <w:lang w:val="ro-MO"/>
        </w:rPr>
      </w:pPr>
    </w:p>
    <w:p w:rsidR="0032714B" w:rsidRPr="00446F65" w:rsidRDefault="00E6197E" w:rsidP="00317915">
      <w:pPr>
        <w:tabs>
          <w:tab w:val="left" w:pos="720"/>
        </w:tabs>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Concluzie</w:t>
      </w:r>
      <w:r w:rsidRPr="00446F65">
        <w:rPr>
          <w:rFonts w:ascii="Times New Roman" w:hAnsi="Times New Roman" w:cs="Times New Roman"/>
          <w:sz w:val="26"/>
          <w:szCs w:val="26"/>
          <w:lang w:val="ro-MO"/>
        </w:rPr>
        <w:t xml:space="preserve">: ANRCETI </w:t>
      </w:r>
      <w:r w:rsidR="008F15BF" w:rsidRPr="00446F65">
        <w:rPr>
          <w:rFonts w:ascii="Times New Roman" w:hAnsi="Times New Roman" w:cs="Times New Roman"/>
          <w:sz w:val="26"/>
          <w:szCs w:val="26"/>
          <w:lang w:val="ro-MO"/>
        </w:rPr>
        <w:t xml:space="preserve">a determinat </w:t>
      </w:r>
      <w:r w:rsidRPr="00446F65">
        <w:rPr>
          <w:rFonts w:ascii="Times New Roman" w:hAnsi="Times New Roman" w:cs="Times New Roman"/>
          <w:sz w:val="26"/>
          <w:szCs w:val="26"/>
          <w:lang w:val="ro-MO"/>
        </w:rPr>
        <w:t xml:space="preserve">că cota de piaţă a S.A.„Moldtelecom” pe piaţa </w:t>
      </w:r>
      <w:r w:rsidR="00A560A9" w:rsidRPr="00446F65">
        <w:rPr>
          <w:rFonts w:ascii="Times New Roman" w:hAnsi="Times New Roman" w:cs="Times New Roman"/>
          <w:sz w:val="26"/>
          <w:szCs w:val="26"/>
          <w:lang w:val="ro-MO"/>
        </w:rPr>
        <w:t>furnizării cu ridicata de servicii de acces local la puncte fixe</w:t>
      </w:r>
      <w:r w:rsidRPr="00446F65">
        <w:rPr>
          <w:rFonts w:ascii="Times New Roman" w:hAnsi="Times New Roman" w:cs="Times New Roman"/>
          <w:sz w:val="26"/>
          <w:szCs w:val="26"/>
          <w:lang w:val="ro-MO"/>
        </w:rPr>
        <w:t xml:space="preserve"> </w:t>
      </w:r>
      <w:r w:rsidR="008F15BF" w:rsidRPr="00446F65">
        <w:rPr>
          <w:rFonts w:ascii="Times New Roman" w:hAnsi="Times New Roman" w:cs="Times New Roman"/>
          <w:sz w:val="26"/>
          <w:szCs w:val="26"/>
          <w:lang w:val="ro-MO"/>
        </w:rPr>
        <w:t xml:space="preserve">este una </w:t>
      </w:r>
      <w:r w:rsidR="005A0663" w:rsidRPr="00446F65">
        <w:rPr>
          <w:rFonts w:ascii="Times New Roman" w:hAnsi="Times New Roman" w:cs="Times New Roman"/>
          <w:sz w:val="26"/>
          <w:szCs w:val="26"/>
          <w:lang w:val="ro-MO"/>
        </w:rPr>
        <w:t>ridicată</w:t>
      </w:r>
      <w:r w:rsidRPr="00446F65">
        <w:rPr>
          <w:rFonts w:ascii="Times New Roman" w:hAnsi="Times New Roman" w:cs="Times New Roman"/>
          <w:sz w:val="26"/>
          <w:szCs w:val="26"/>
          <w:lang w:val="ro-MO"/>
        </w:rPr>
        <w:t>, prin urmare există motive să fie presupusă existenţa puterii semnificative a furnizorului dat pe această piaţă.</w:t>
      </w:r>
    </w:p>
    <w:p w:rsidR="001451DC" w:rsidRPr="00446F65" w:rsidRDefault="001451DC" w:rsidP="00317915">
      <w:pPr>
        <w:pStyle w:val="Heading4"/>
        <w:spacing w:line="240" w:lineRule="auto"/>
        <w:ind w:firstLine="720"/>
        <w:rPr>
          <w:rFonts w:cs="Times New Roman"/>
          <w:i w:val="0"/>
          <w:color w:val="auto"/>
          <w:szCs w:val="26"/>
          <w:lang w:val="ro-MO"/>
        </w:rPr>
      </w:pPr>
      <w:bookmarkStart w:id="24" w:name="_Toc492907383"/>
      <w:r w:rsidRPr="00446F65">
        <w:rPr>
          <w:rFonts w:cs="Times New Roman"/>
          <w:i w:val="0"/>
          <w:color w:val="auto"/>
          <w:szCs w:val="26"/>
          <w:lang w:val="ro-MO"/>
        </w:rPr>
        <w:t>3.2</w:t>
      </w:r>
      <w:r w:rsidR="002F1357" w:rsidRPr="00446F65">
        <w:rPr>
          <w:rFonts w:cs="Times New Roman"/>
          <w:i w:val="0"/>
          <w:color w:val="auto"/>
          <w:szCs w:val="26"/>
          <w:lang w:val="ro-MO"/>
        </w:rPr>
        <w:t>.2</w:t>
      </w:r>
      <w:r w:rsidRPr="00446F65">
        <w:rPr>
          <w:rFonts w:cs="Times New Roman"/>
          <w:i w:val="0"/>
          <w:color w:val="auto"/>
          <w:szCs w:val="26"/>
          <w:lang w:val="ro-MO"/>
        </w:rPr>
        <w:t xml:space="preserve"> Analiza ulterioară a pieţei</w:t>
      </w:r>
      <w:bookmarkEnd w:id="24"/>
      <w:r w:rsidRPr="00446F65">
        <w:rPr>
          <w:rFonts w:cs="Times New Roman"/>
          <w:i w:val="0"/>
          <w:color w:val="auto"/>
          <w:szCs w:val="26"/>
          <w:lang w:val="ro-MO"/>
        </w:rPr>
        <w:t xml:space="preserve"> </w:t>
      </w:r>
    </w:p>
    <w:p w:rsidR="001451DC" w:rsidRPr="00446F65" w:rsidRDefault="001451DC"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cazul în care unul sau mai mulţi furnizori pe o piaţă sunt identificaţi cu o cotă </w:t>
      </w:r>
      <w:r w:rsidR="005A0663" w:rsidRPr="00446F65">
        <w:rPr>
          <w:rFonts w:ascii="Times New Roman" w:hAnsi="Times New Roman" w:cs="Times New Roman"/>
          <w:sz w:val="26"/>
          <w:szCs w:val="26"/>
          <w:lang w:val="ro-MO"/>
        </w:rPr>
        <w:t>ridicată</w:t>
      </w:r>
      <w:r w:rsidRPr="00446F65">
        <w:rPr>
          <w:rFonts w:ascii="Times New Roman" w:hAnsi="Times New Roman" w:cs="Times New Roman"/>
          <w:sz w:val="26"/>
          <w:szCs w:val="26"/>
          <w:lang w:val="ro-MO"/>
        </w:rPr>
        <w:t xml:space="preserve">, atunci conform ipotezei acest furnizor are putere semnificativă pe piaţă. O listă de criterii ce pot fi folosite pentru a testa această ipoteză este prezentată în Anexa 1 a Regulamentului. Aceste criterii sunt după cum urmează: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Cota de piaţă şi stabilitatea acesteia;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Dimensiunile furnizorului;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Controlul infrastructurii greu de </w:t>
      </w:r>
      <w:r w:rsidR="007F29CA" w:rsidRPr="00446F65">
        <w:rPr>
          <w:rFonts w:ascii="Times New Roman" w:hAnsi="Times New Roman" w:cs="Times New Roman"/>
          <w:sz w:val="26"/>
          <w:szCs w:val="26"/>
          <w:lang w:val="ro-MO"/>
        </w:rPr>
        <w:t>dublat</w:t>
      </w:r>
      <w:r w:rsidRPr="00446F65">
        <w:rPr>
          <w:rFonts w:ascii="Times New Roman" w:hAnsi="Times New Roman" w:cs="Times New Roman"/>
          <w:b/>
          <w:bCs/>
          <w:sz w:val="26"/>
          <w:szCs w:val="26"/>
          <w:lang w:val="ro-MO"/>
        </w:rPr>
        <w:t xml:space="preserve">;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Avantajul sau superioritatea tehnologică;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Puterea de contracarare a utilizatorilor</w:t>
      </w:r>
      <w:r w:rsidRPr="00446F65">
        <w:rPr>
          <w:rFonts w:ascii="Times New Roman" w:hAnsi="Times New Roman" w:cs="Times New Roman"/>
          <w:b/>
          <w:bCs/>
          <w:sz w:val="26"/>
          <w:szCs w:val="26"/>
          <w:lang w:val="ro-MO"/>
        </w:rPr>
        <w:t xml:space="preserve">;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Accesul la capital;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Economiile de scară;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Economiile de gamă de produse</w:t>
      </w:r>
      <w:r w:rsidRPr="00446F65">
        <w:rPr>
          <w:rFonts w:ascii="Times New Roman" w:hAnsi="Times New Roman" w:cs="Times New Roman"/>
          <w:b/>
          <w:bCs/>
          <w:sz w:val="26"/>
          <w:szCs w:val="26"/>
          <w:lang w:val="ro-MO"/>
        </w:rPr>
        <w:t xml:space="preserve">;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Economiile de densitate</w:t>
      </w:r>
      <w:r w:rsidRPr="00446F65">
        <w:rPr>
          <w:rFonts w:ascii="Times New Roman" w:hAnsi="Times New Roman" w:cs="Times New Roman"/>
          <w:b/>
          <w:bCs/>
          <w:sz w:val="26"/>
          <w:szCs w:val="26"/>
          <w:lang w:val="ro-MO"/>
        </w:rPr>
        <w:t xml:space="preserve">;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Diversificarea produselor şi serviciilor;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Integrarea pe verticală;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Reţele bine dezvoltate de distribuţie şi de vânzări;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Bariere în calea extinderii serviciilor;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Absenţa potenţialei concurenţe;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Numărul furnizorilor de pe piaţă;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Circumstanţele care determină stabilirea preţurilor pe </w:t>
      </w:r>
      <w:r w:rsidR="00E762D8" w:rsidRPr="00446F65">
        <w:rPr>
          <w:rFonts w:ascii="Times New Roman" w:hAnsi="Times New Roman" w:cs="Times New Roman"/>
          <w:sz w:val="26"/>
          <w:szCs w:val="26"/>
          <w:lang w:val="ro-MO"/>
        </w:rPr>
        <w:t>piaţă;</w:t>
      </w:r>
      <w:r w:rsidRPr="00446F65">
        <w:rPr>
          <w:rFonts w:ascii="Times New Roman" w:hAnsi="Times New Roman" w:cs="Times New Roman"/>
          <w:sz w:val="26"/>
          <w:szCs w:val="26"/>
          <w:lang w:val="ro-MO"/>
        </w:rPr>
        <w:t xml:space="preserve"> </w:t>
      </w:r>
    </w:p>
    <w:p w:rsidR="001451DC" w:rsidRPr="00446F65" w:rsidRDefault="001451DC"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Nivelul profitului. </w:t>
      </w:r>
    </w:p>
    <w:p w:rsidR="006C4C7A" w:rsidRPr="00446F65" w:rsidRDefault="001451DC"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Regulamentul prevede că lista criteriilor ce pot fi utiliza</w:t>
      </w:r>
      <w:r w:rsidR="004F1A66" w:rsidRPr="00446F65">
        <w:rPr>
          <w:rFonts w:ascii="Times New Roman" w:hAnsi="Times New Roman" w:cs="Times New Roman"/>
          <w:sz w:val="26"/>
          <w:szCs w:val="26"/>
          <w:lang w:val="ro-MO"/>
        </w:rPr>
        <w:t>ţi</w:t>
      </w:r>
      <w:r w:rsidRPr="00446F65">
        <w:rPr>
          <w:rFonts w:ascii="Times New Roman" w:hAnsi="Times New Roman" w:cs="Times New Roman"/>
          <w:sz w:val="26"/>
          <w:szCs w:val="26"/>
          <w:lang w:val="ro-MO"/>
        </w:rPr>
        <w:t xml:space="preserve"> de către ANRCETI pentru analiza de piaţă nu este exhaustivă, iar alegerea lor depinde de caracteristicile pieţei relevante. Acele criterii pe care ANRCETI le consideră corespunzătoare trebuie analizate cumulativ pentru a evalua impactul lor colectiv asupra faptului dacă un furniz</w:t>
      </w:r>
      <w:r w:rsidR="00974BC6" w:rsidRPr="00446F65">
        <w:rPr>
          <w:rFonts w:ascii="Times New Roman" w:hAnsi="Times New Roman" w:cs="Times New Roman"/>
          <w:sz w:val="26"/>
          <w:szCs w:val="26"/>
          <w:lang w:val="ro-MO"/>
        </w:rPr>
        <w:t xml:space="preserve">or are PSP. </w:t>
      </w:r>
    </w:p>
    <w:p w:rsidR="00841EA7" w:rsidRPr="00446F65" w:rsidRDefault="006C4C7A" w:rsidP="00317915">
      <w:pPr>
        <w:pStyle w:val="Heading5"/>
        <w:spacing w:line="240" w:lineRule="auto"/>
        <w:ind w:firstLine="720"/>
        <w:rPr>
          <w:rFonts w:ascii="Times New Roman" w:hAnsi="Times New Roman" w:cs="Times New Roman"/>
          <w:b/>
          <w:color w:val="auto"/>
          <w:sz w:val="26"/>
          <w:szCs w:val="26"/>
          <w:lang w:val="ro-MO"/>
        </w:rPr>
      </w:pPr>
      <w:bookmarkStart w:id="25" w:name="_Toc492907384"/>
      <w:r w:rsidRPr="00446F65">
        <w:rPr>
          <w:rFonts w:ascii="Times New Roman" w:hAnsi="Times New Roman" w:cs="Times New Roman"/>
          <w:b/>
          <w:color w:val="auto"/>
          <w:sz w:val="26"/>
          <w:szCs w:val="26"/>
          <w:lang w:val="ro-MO"/>
        </w:rPr>
        <w:t>3.2.</w:t>
      </w:r>
      <w:r w:rsidR="002F1357" w:rsidRPr="00446F65">
        <w:rPr>
          <w:rFonts w:ascii="Times New Roman" w:hAnsi="Times New Roman" w:cs="Times New Roman"/>
          <w:b/>
          <w:color w:val="auto"/>
          <w:sz w:val="26"/>
          <w:szCs w:val="26"/>
          <w:lang w:val="ro-MO"/>
        </w:rPr>
        <w:t xml:space="preserve">2.1 </w:t>
      </w:r>
      <w:r w:rsidR="00841EA7" w:rsidRPr="00446F65">
        <w:rPr>
          <w:rFonts w:ascii="Times New Roman" w:hAnsi="Times New Roman" w:cs="Times New Roman"/>
          <w:b/>
          <w:color w:val="auto"/>
          <w:sz w:val="26"/>
          <w:szCs w:val="26"/>
          <w:lang w:val="ro-MO"/>
        </w:rPr>
        <w:t>Cota de piaţă şi stabilitatea acesteia</w:t>
      </w:r>
      <w:bookmarkEnd w:id="25"/>
    </w:p>
    <w:p w:rsidR="00841EA7" w:rsidRPr="00446F65" w:rsidRDefault="00841EA7"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Deşi o cotă mare de piaţă nu este suficientă pentru identificarea unui furnizor ca având putere semnificativă, totuşi este puţin probabil ca un </w:t>
      </w:r>
      <w:r w:rsidR="00951F8B" w:rsidRPr="00446F65">
        <w:rPr>
          <w:rFonts w:ascii="Times New Roman" w:hAnsi="Times New Roman" w:cs="Times New Roman"/>
          <w:sz w:val="26"/>
          <w:szCs w:val="26"/>
          <w:lang w:val="ro-MO"/>
        </w:rPr>
        <w:t>furnizor</w:t>
      </w:r>
      <w:r w:rsidRPr="00446F65">
        <w:rPr>
          <w:rFonts w:ascii="Times New Roman" w:hAnsi="Times New Roman" w:cs="Times New Roman"/>
          <w:sz w:val="26"/>
          <w:szCs w:val="26"/>
          <w:lang w:val="ro-MO"/>
        </w:rPr>
        <w:t xml:space="preserve"> să fie dominant, fără a deţine o cotă de piaţă semnificativă.</w:t>
      </w:r>
    </w:p>
    <w:p w:rsidR="00841EA7" w:rsidRPr="00446F65" w:rsidRDefault="00841EA7"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Aşa cum se precizează şi în Instrucţiunile CE, o cotă de piaţă mai mare de 50% este prin ea însăşi un indiciu al manifestării unei poziţii dominante pe piaţă. De asemenea, în jurisprudenţa Curţii Europene de Justiţie s-a precizat că, în lipsa unor circumstanţe excepţionale, o cotă de piaţă mai mare de 50% instituie o prezumţie de dominanţă, sarcina probei că respectivul agent economic nu are poziţie dominantă pe o anumită piaţă aparţinând acestuia (</w:t>
      </w:r>
      <w:r w:rsidRPr="00FC0005">
        <w:rPr>
          <w:rFonts w:ascii="Times New Roman" w:hAnsi="Times New Roman" w:cs="Times New Roman"/>
          <w:i/>
          <w:sz w:val="26"/>
          <w:szCs w:val="26"/>
          <w:lang w:val="ro-MO"/>
        </w:rPr>
        <w:t xml:space="preserve">AKZO </w:t>
      </w:r>
      <w:proofErr w:type="spellStart"/>
      <w:r w:rsidRPr="00FC0005">
        <w:rPr>
          <w:rFonts w:ascii="Times New Roman" w:hAnsi="Times New Roman" w:cs="Times New Roman"/>
          <w:i/>
          <w:sz w:val="26"/>
          <w:szCs w:val="26"/>
          <w:lang w:val="ro-MO"/>
        </w:rPr>
        <w:t>ChemieBv</w:t>
      </w:r>
      <w:proofErr w:type="spellEnd"/>
      <w:r w:rsidRPr="00FC0005">
        <w:rPr>
          <w:rFonts w:ascii="Times New Roman" w:hAnsi="Times New Roman" w:cs="Times New Roman"/>
          <w:i/>
          <w:sz w:val="26"/>
          <w:szCs w:val="26"/>
          <w:lang w:val="ro-MO"/>
        </w:rPr>
        <w:t xml:space="preserve"> v. </w:t>
      </w:r>
      <w:proofErr w:type="spellStart"/>
      <w:r w:rsidRPr="00FC0005">
        <w:rPr>
          <w:rFonts w:ascii="Times New Roman" w:hAnsi="Times New Roman" w:cs="Times New Roman"/>
          <w:i/>
          <w:sz w:val="26"/>
          <w:szCs w:val="26"/>
          <w:lang w:val="ro-MO"/>
        </w:rPr>
        <w:t>Commission</w:t>
      </w:r>
      <w:proofErr w:type="spellEnd"/>
      <w:r w:rsidRPr="00FC0005">
        <w:rPr>
          <w:rFonts w:ascii="Times New Roman" w:hAnsi="Times New Roman" w:cs="Times New Roman"/>
          <w:i/>
          <w:sz w:val="26"/>
          <w:szCs w:val="26"/>
          <w:lang w:val="ro-MO"/>
        </w:rPr>
        <w:t xml:space="preserve">, Hoffmann-La Roche AG v. </w:t>
      </w:r>
      <w:proofErr w:type="spellStart"/>
      <w:r w:rsidRPr="00FC0005">
        <w:rPr>
          <w:rFonts w:ascii="Times New Roman" w:hAnsi="Times New Roman" w:cs="Times New Roman"/>
          <w:i/>
          <w:sz w:val="26"/>
          <w:szCs w:val="26"/>
          <w:lang w:val="ro-MO"/>
        </w:rPr>
        <w:t>Commission</w:t>
      </w:r>
      <w:proofErr w:type="spellEnd"/>
      <w:r w:rsidRPr="00FC0005">
        <w:rPr>
          <w:rFonts w:ascii="Times New Roman" w:hAnsi="Times New Roman" w:cs="Times New Roman"/>
          <w:i/>
          <w:sz w:val="26"/>
          <w:szCs w:val="26"/>
          <w:lang w:val="ro-MO"/>
        </w:rPr>
        <w:t>)</w:t>
      </w:r>
      <w:r w:rsidRPr="00446F65">
        <w:rPr>
          <w:rFonts w:ascii="Times New Roman" w:hAnsi="Times New Roman" w:cs="Times New Roman"/>
          <w:sz w:val="26"/>
          <w:szCs w:val="26"/>
          <w:lang w:val="ro-MO"/>
        </w:rPr>
        <w:t>. Chiar şi în cazul unei cote de piaţă mai mi</w:t>
      </w:r>
      <w:r w:rsidR="00052380" w:rsidRPr="00446F65">
        <w:rPr>
          <w:rFonts w:ascii="Times New Roman" w:hAnsi="Times New Roman" w:cs="Times New Roman"/>
          <w:sz w:val="26"/>
          <w:szCs w:val="26"/>
          <w:lang w:val="ro-MO"/>
        </w:rPr>
        <w:t xml:space="preserve">ci de 50%, dar mai mare de 40%, </w:t>
      </w:r>
      <w:r w:rsidRPr="00446F65">
        <w:rPr>
          <w:rFonts w:ascii="Times New Roman" w:hAnsi="Times New Roman" w:cs="Times New Roman"/>
          <w:sz w:val="26"/>
          <w:szCs w:val="26"/>
          <w:lang w:val="ro-MO"/>
        </w:rPr>
        <w:t xml:space="preserve">sau chiar în cazul unor cote de piaţă mai mici de 40%, un </w:t>
      </w:r>
      <w:r w:rsidRPr="00446F65">
        <w:rPr>
          <w:rFonts w:ascii="Times New Roman" w:hAnsi="Times New Roman" w:cs="Times New Roman"/>
          <w:sz w:val="26"/>
          <w:szCs w:val="26"/>
          <w:lang w:val="ro-MO"/>
        </w:rPr>
        <w:lastRenderedPageBreak/>
        <w:t xml:space="preserve">furnizor poate fi considerat ca având poziţie dominantă, în acest caz analizându-se şi alţi factori (United </w:t>
      </w:r>
      <w:proofErr w:type="spellStart"/>
      <w:r w:rsidRPr="00446F65">
        <w:rPr>
          <w:rFonts w:ascii="Times New Roman" w:hAnsi="Times New Roman" w:cs="Times New Roman"/>
          <w:sz w:val="26"/>
          <w:szCs w:val="26"/>
          <w:lang w:val="ro-MO"/>
        </w:rPr>
        <w:t>Brands</w:t>
      </w:r>
      <w:proofErr w:type="spellEnd"/>
      <w:r w:rsidRPr="00446F65">
        <w:rPr>
          <w:rFonts w:ascii="Times New Roman" w:hAnsi="Times New Roman" w:cs="Times New Roman"/>
          <w:sz w:val="26"/>
          <w:szCs w:val="26"/>
          <w:lang w:val="ro-MO"/>
        </w:rPr>
        <w:t xml:space="preserve"> v. </w:t>
      </w:r>
      <w:proofErr w:type="spellStart"/>
      <w:r w:rsidRPr="00446F65">
        <w:rPr>
          <w:rFonts w:ascii="Times New Roman" w:hAnsi="Times New Roman" w:cs="Times New Roman"/>
          <w:sz w:val="26"/>
          <w:szCs w:val="26"/>
          <w:lang w:val="ro-MO"/>
        </w:rPr>
        <w:t>Commission</w:t>
      </w:r>
      <w:proofErr w:type="spellEnd"/>
      <w:r w:rsidRPr="00446F65">
        <w:rPr>
          <w:rFonts w:ascii="Times New Roman" w:hAnsi="Times New Roman" w:cs="Times New Roman"/>
          <w:sz w:val="26"/>
          <w:szCs w:val="26"/>
          <w:lang w:val="ro-MO"/>
        </w:rPr>
        <w:t>). Aceste circumstanţe excepţionale trebuie argumentate în mod clar şi neechivoc, pe baza unor dovezi care să nu poată fi contestate.</w:t>
      </w:r>
    </w:p>
    <w:p w:rsidR="00841EA7" w:rsidRPr="00446F65" w:rsidRDefault="00841EA7"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Aşa cum precizează şi Instrucţiunile CE, faptul că furnizo</w:t>
      </w:r>
      <w:r w:rsidR="00052380" w:rsidRPr="00446F65">
        <w:rPr>
          <w:rFonts w:ascii="Times New Roman" w:hAnsi="Times New Roman" w:cs="Times New Roman"/>
          <w:sz w:val="26"/>
          <w:szCs w:val="26"/>
          <w:lang w:val="ro-MO"/>
        </w:rPr>
        <w:t xml:space="preserve">rul identificat ca având putere </w:t>
      </w:r>
      <w:r w:rsidRPr="00446F65">
        <w:rPr>
          <w:rFonts w:ascii="Times New Roman" w:hAnsi="Times New Roman" w:cs="Times New Roman"/>
          <w:sz w:val="26"/>
          <w:szCs w:val="26"/>
          <w:lang w:val="ro-MO"/>
        </w:rPr>
        <w:t>semnificativă pe piaţă înregistrează scăderi progresive ale cotei de piaţă, poate fi un indiciu al creşterii gradului de concurenţă pe respectiva piaţă, dar această evoluţie nu este suficientă pentru a considera că identificarea unui furnizor cu putere semnificativă pe piaţa analizată nu este justificată.</w:t>
      </w:r>
    </w:p>
    <w:p w:rsidR="000B2EA8" w:rsidRPr="00446F65" w:rsidRDefault="000B2EA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Conform Legii concurenței nr. 183 din 11.07.2012</w:t>
      </w:r>
      <w:r w:rsidR="00343EA1" w:rsidRPr="00446F65">
        <w:rPr>
          <w:rFonts w:ascii="Times New Roman" w:hAnsi="Times New Roman" w:cs="Times New Roman"/>
          <w:sz w:val="26"/>
          <w:szCs w:val="26"/>
          <w:lang w:val="ro-MO"/>
        </w:rPr>
        <w:t>(</w:t>
      </w:r>
      <w:r w:rsidR="00343EA1" w:rsidRPr="00446F65">
        <w:rPr>
          <w:rFonts w:ascii="Times New Roman" w:hAnsi="Times New Roman" w:cs="Times New Roman"/>
          <w:i/>
          <w:iCs/>
          <w:sz w:val="26"/>
          <w:szCs w:val="26"/>
          <w:lang w:val="ro-MO"/>
        </w:rPr>
        <w:t>Monitorul Oficial</w:t>
      </w:r>
      <w:r w:rsidR="00057268" w:rsidRPr="00446F65">
        <w:rPr>
          <w:rFonts w:ascii="Times New Roman" w:hAnsi="Times New Roman" w:cs="Times New Roman"/>
          <w:i/>
          <w:iCs/>
          <w:sz w:val="26"/>
          <w:szCs w:val="26"/>
          <w:lang w:val="ro-MO"/>
        </w:rPr>
        <w:t xml:space="preserve"> </w:t>
      </w:r>
      <w:r w:rsidR="00343EA1" w:rsidRPr="00446F65">
        <w:rPr>
          <w:rFonts w:ascii="Times New Roman" w:hAnsi="Times New Roman" w:cs="Times New Roman"/>
          <w:i/>
          <w:iCs/>
          <w:sz w:val="26"/>
          <w:szCs w:val="26"/>
          <w:lang w:val="ro-MO"/>
        </w:rPr>
        <w:t xml:space="preserve">al Republicii Moldova,2012, nr.193-197, art.667), </w:t>
      </w:r>
      <w:r w:rsidR="00343EA1" w:rsidRPr="00446F65">
        <w:rPr>
          <w:rFonts w:ascii="Times New Roman" w:hAnsi="Times New Roman" w:cs="Times New Roman"/>
          <w:iCs/>
          <w:sz w:val="26"/>
          <w:szCs w:val="26"/>
          <w:lang w:val="ro-MO"/>
        </w:rPr>
        <w:t>în continuare denumită</w:t>
      </w:r>
      <w:r w:rsidR="00343EA1" w:rsidRPr="00446F65">
        <w:rPr>
          <w:rFonts w:ascii="Times New Roman" w:hAnsi="Times New Roman" w:cs="Times New Roman"/>
          <w:i/>
          <w:iCs/>
          <w:sz w:val="26"/>
          <w:szCs w:val="26"/>
          <w:lang w:val="ro-MO"/>
        </w:rPr>
        <w:t xml:space="preserve"> </w:t>
      </w:r>
      <w:r w:rsidR="00343EA1" w:rsidRPr="00446F65">
        <w:rPr>
          <w:rFonts w:ascii="Times New Roman" w:hAnsi="Times New Roman" w:cs="Times New Roman"/>
          <w:sz w:val="26"/>
          <w:szCs w:val="26"/>
          <w:lang w:val="ro-MO"/>
        </w:rPr>
        <w:t xml:space="preserve">Legea nr. 183/2012, </w:t>
      </w:r>
      <w:r w:rsidRPr="00446F65">
        <w:rPr>
          <w:rFonts w:ascii="Times New Roman" w:hAnsi="Times New Roman" w:cs="Times New Roman"/>
          <w:sz w:val="26"/>
          <w:szCs w:val="26"/>
          <w:lang w:val="ro-MO"/>
        </w:rPr>
        <w:t>în cazul unei cote de piață de peste 50%, se prezumă existența poziției dominante a întreprinderii, până la proba contrară.</w:t>
      </w:r>
    </w:p>
    <w:p w:rsidR="00841EA7" w:rsidRPr="00446F65" w:rsidRDefault="00841EA7"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vederea evaluării situaţiei concurenţiale pe</w:t>
      </w:r>
      <w:r w:rsidR="00974BC6" w:rsidRPr="00446F65">
        <w:rPr>
          <w:rFonts w:ascii="Times New Roman" w:hAnsi="Times New Roman" w:cs="Times New Roman"/>
          <w:sz w:val="26"/>
          <w:szCs w:val="26"/>
          <w:lang w:val="ro-MO"/>
        </w:rPr>
        <w:t xml:space="preserve"> piaţa serviciilor de acces la </w:t>
      </w:r>
      <w:r w:rsidRPr="00446F65">
        <w:rPr>
          <w:rFonts w:ascii="Times New Roman" w:hAnsi="Times New Roman" w:cs="Times New Roman"/>
          <w:sz w:val="26"/>
          <w:szCs w:val="26"/>
          <w:lang w:val="ro-MO"/>
        </w:rPr>
        <w:t>infrastructura de rețea, pe baza datelor de piaţă disponibile, ANRCETI a analiz</w:t>
      </w:r>
      <w:r w:rsidR="00052380" w:rsidRPr="00446F65">
        <w:rPr>
          <w:rFonts w:ascii="Times New Roman" w:hAnsi="Times New Roman" w:cs="Times New Roman"/>
          <w:sz w:val="26"/>
          <w:szCs w:val="26"/>
          <w:lang w:val="ro-MO"/>
        </w:rPr>
        <w:t xml:space="preserve">at evoluţia cotelor de piaţă în </w:t>
      </w:r>
      <w:r w:rsidR="00974BC6" w:rsidRPr="00446F65">
        <w:rPr>
          <w:rFonts w:ascii="Times New Roman" w:hAnsi="Times New Roman" w:cs="Times New Roman"/>
          <w:sz w:val="26"/>
          <w:szCs w:val="26"/>
          <w:lang w:val="ro-MO"/>
        </w:rPr>
        <w:t>perioada</w:t>
      </w:r>
      <w:r w:rsidRPr="00446F65">
        <w:rPr>
          <w:rFonts w:ascii="Times New Roman" w:hAnsi="Times New Roman" w:cs="Times New Roman"/>
          <w:sz w:val="26"/>
          <w:szCs w:val="26"/>
          <w:lang w:val="ro-MO"/>
        </w:rPr>
        <w:t xml:space="preserve"> </w:t>
      </w:r>
      <w:r w:rsidR="003A155F" w:rsidRPr="00446F65">
        <w:rPr>
          <w:rFonts w:ascii="Times New Roman" w:hAnsi="Times New Roman" w:cs="Times New Roman"/>
          <w:sz w:val="26"/>
          <w:szCs w:val="26"/>
          <w:lang w:val="ro-MO"/>
        </w:rPr>
        <w:t xml:space="preserve">2014 </w:t>
      </w:r>
      <w:r w:rsidR="00974BC6" w:rsidRPr="00446F65">
        <w:rPr>
          <w:rFonts w:ascii="Times New Roman" w:hAnsi="Times New Roman" w:cs="Times New Roman"/>
          <w:sz w:val="26"/>
          <w:szCs w:val="26"/>
          <w:lang w:val="ro-MO"/>
        </w:rPr>
        <w:t xml:space="preserve">- </w:t>
      </w:r>
      <w:r w:rsidR="003A155F" w:rsidRPr="00446F65">
        <w:rPr>
          <w:rFonts w:ascii="Times New Roman" w:hAnsi="Times New Roman" w:cs="Times New Roman"/>
          <w:sz w:val="26"/>
          <w:szCs w:val="26"/>
          <w:lang w:val="ro-MO"/>
        </w:rPr>
        <w:t>2016</w:t>
      </w:r>
      <w:r w:rsidR="00FB6441"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În acest sens, în conformitate cu definiţia pieţei, valorile au fost calculate pe baza numărului de circuite de buclă locală ale furnizorilor de servicii de acces la elemente de infrastructură, incluzând circuitele autofurnizate.</w:t>
      </w:r>
    </w:p>
    <w:p w:rsidR="00841EA7" w:rsidRPr="00446F65" w:rsidRDefault="00841EA7"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Astfel, a rezultat că </w:t>
      </w:r>
      <w:r w:rsidR="00974BC6" w:rsidRPr="00446F65">
        <w:rPr>
          <w:rFonts w:ascii="Times New Roman" w:hAnsi="Times New Roman" w:cs="Times New Roman"/>
          <w:sz w:val="26"/>
          <w:szCs w:val="26"/>
          <w:lang w:val="ro-MO"/>
        </w:rPr>
        <w:t>S.A. „</w:t>
      </w:r>
      <w:r w:rsidR="00463EC0" w:rsidRPr="00446F65">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xml:space="preserve"> deţine o cotă de piaţă</w:t>
      </w:r>
      <w:r w:rsidR="00052380" w:rsidRPr="00446F65">
        <w:rPr>
          <w:rFonts w:ascii="Times New Roman" w:hAnsi="Times New Roman" w:cs="Times New Roman"/>
          <w:sz w:val="26"/>
          <w:szCs w:val="26"/>
          <w:lang w:val="ro-MO"/>
        </w:rPr>
        <w:t xml:space="preserve"> de </w:t>
      </w:r>
      <w:r w:rsidR="003A155F" w:rsidRPr="00446F65">
        <w:rPr>
          <w:rFonts w:ascii="Times New Roman" w:hAnsi="Times New Roman" w:cs="Times New Roman"/>
          <w:sz w:val="26"/>
          <w:szCs w:val="26"/>
          <w:lang w:val="ro-MO"/>
        </w:rPr>
        <w:t>89</w:t>
      </w:r>
      <w:r w:rsidR="00052380" w:rsidRPr="00446F65">
        <w:rPr>
          <w:rFonts w:ascii="Times New Roman" w:hAnsi="Times New Roman" w:cs="Times New Roman"/>
          <w:sz w:val="26"/>
          <w:szCs w:val="26"/>
          <w:lang w:val="ro-MO"/>
        </w:rPr>
        <w:t xml:space="preserve">% pe piaţa </w:t>
      </w:r>
      <w:r w:rsidR="003A155F" w:rsidRPr="00446F65">
        <w:rPr>
          <w:rFonts w:ascii="Times New Roman" w:hAnsi="Times New Roman" w:cs="Times New Roman"/>
          <w:sz w:val="26"/>
          <w:szCs w:val="26"/>
          <w:lang w:val="ro-MO"/>
        </w:rPr>
        <w:t>furnizării cu ridicata de servicii de acces local la puncte fixe</w:t>
      </w:r>
      <w:r w:rsidR="003A155F" w:rsidRPr="00446F65" w:rsidDel="003A155F">
        <w:rPr>
          <w:rFonts w:ascii="Times New Roman" w:hAnsi="Times New Roman" w:cs="Times New Roman"/>
          <w:sz w:val="26"/>
          <w:szCs w:val="26"/>
          <w:lang w:val="ro-MO"/>
        </w:rPr>
        <w:t xml:space="preserve"> </w:t>
      </w:r>
      <w:r w:rsidR="008D5CBC" w:rsidRPr="00446F65">
        <w:rPr>
          <w:rFonts w:ascii="Times New Roman" w:hAnsi="Times New Roman" w:cs="Times New Roman"/>
          <w:sz w:val="26"/>
          <w:szCs w:val="26"/>
          <w:lang w:val="ro-MO"/>
        </w:rPr>
        <w:t>(bucla locală de cupru şi optice)</w:t>
      </w:r>
      <w:r w:rsidRPr="00446F65">
        <w:rPr>
          <w:rFonts w:ascii="Times New Roman" w:hAnsi="Times New Roman" w:cs="Times New Roman"/>
          <w:sz w:val="26"/>
          <w:szCs w:val="26"/>
          <w:lang w:val="ro-MO"/>
        </w:rPr>
        <w:t xml:space="preserve">, depăşind cu mult al doilea furnizor ca mărime, </w:t>
      </w:r>
      <w:r w:rsidR="00974BC6" w:rsidRPr="00446F65">
        <w:rPr>
          <w:rFonts w:ascii="Times New Roman" w:hAnsi="Times New Roman" w:cs="Times New Roman"/>
          <w:sz w:val="26"/>
          <w:szCs w:val="26"/>
          <w:lang w:val="ro-MO"/>
        </w:rPr>
        <w:t>Star</w:t>
      </w:r>
      <w:r w:rsidR="003A155F" w:rsidRPr="00446F65">
        <w:rPr>
          <w:rFonts w:ascii="Times New Roman" w:hAnsi="Times New Roman" w:cs="Times New Roman"/>
          <w:sz w:val="26"/>
          <w:szCs w:val="26"/>
          <w:lang w:val="ro-MO"/>
        </w:rPr>
        <w:t>N</w:t>
      </w:r>
      <w:r w:rsidR="00974BC6" w:rsidRPr="00446F65">
        <w:rPr>
          <w:rFonts w:ascii="Times New Roman" w:hAnsi="Times New Roman" w:cs="Times New Roman"/>
          <w:sz w:val="26"/>
          <w:szCs w:val="26"/>
          <w:lang w:val="ro-MO"/>
        </w:rPr>
        <w:t>et</w:t>
      </w:r>
      <w:r w:rsidRPr="00446F65">
        <w:rPr>
          <w:rFonts w:ascii="Times New Roman" w:hAnsi="Times New Roman" w:cs="Times New Roman"/>
          <w:sz w:val="26"/>
          <w:szCs w:val="26"/>
          <w:lang w:val="ro-MO"/>
        </w:rPr>
        <w:t>, ca</w:t>
      </w:r>
      <w:r w:rsidR="00AE16F7" w:rsidRPr="00446F65">
        <w:rPr>
          <w:rFonts w:ascii="Times New Roman" w:hAnsi="Times New Roman" w:cs="Times New Roman"/>
          <w:sz w:val="26"/>
          <w:szCs w:val="26"/>
          <w:lang w:val="ro-MO"/>
        </w:rPr>
        <w:t>re are o cotă de</w:t>
      </w:r>
      <w:r w:rsidR="004F1A66" w:rsidRPr="00446F65">
        <w:rPr>
          <w:rFonts w:ascii="Times New Roman" w:hAnsi="Times New Roman" w:cs="Times New Roman"/>
          <w:sz w:val="26"/>
          <w:szCs w:val="26"/>
          <w:lang w:val="ro-MO"/>
        </w:rPr>
        <w:t xml:space="preserve"> </w:t>
      </w:r>
      <w:r w:rsidR="00AE16F7" w:rsidRPr="00446F65">
        <w:rPr>
          <w:rFonts w:ascii="Times New Roman" w:hAnsi="Times New Roman" w:cs="Times New Roman"/>
          <w:sz w:val="26"/>
          <w:szCs w:val="26"/>
          <w:lang w:val="ro-MO"/>
        </w:rPr>
        <w:t xml:space="preserve">piaţă de </w:t>
      </w:r>
      <w:r w:rsidR="008D5CBC" w:rsidRPr="00446F65">
        <w:rPr>
          <w:rFonts w:ascii="Times New Roman" w:hAnsi="Times New Roman" w:cs="Times New Roman"/>
          <w:sz w:val="26"/>
          <w:szCs w:val="26"/>
          <w:lang w:val="ro-MO"/>
        </w:rPr>
        <w:t xml:space="preserve">cca </w:t>
      </w:r>
      <w:r w:rsidR="003A155F" w:rsidRPr="00446F65">
        <w:rPr>
          <w:rFonts w:ascii="Times New Roman" w:hAnsi="Times New Roman" w:cs="Times New Roman"/>
          <w:sz w:val="26"/>
          <w:szCs w:val="26"/>
          <w:lang w:val="ro-MO"/>
        </w:rPr>
        <w:t>8</w:t>
      </w:r>
      <w:r w:rsidR="00AE16F7" w:rsidRPr="00446F65">
        <w:rPr>
          <w:rFonts w:ascii="Times New Roman" w:hAnsi="Times New Roman" w:cs="Times New Roman"/>
          <w:sz w:val="26"/>
          <w:szCs w:val="26"/>
          <w:lang w:val="ro-MO"/>
        </w:rPr>
        <w:t>%.</w:t>
      </w:r>
      <w:r w:rsidR="008D5CBC" w:rsidRPr="00446F65">
        <w:rPr>
          <w:rFonts w:ascii="Times New Roman" w:hAnsi="Times New Roman" w:cs="Times New Roman"/>
          <w:sz w:val="26"/>
          <w:szCs w:val="26"/>
          <w:lang w:val="ro-MO"/>
        </w:rPr>
        <w:t xml:space="preserve"> Ceilalţi furnizori împreună deţin o cotă de </w:t>
      </w:r>
      <w:r w:rsidR="00423405" w:rsidRPr="00446F65">
        <w:rPr>
          <w:rFonts w:ascii="Times New Roman" w:hAnsi="Times New Roman" w:cs="Times New Roman"/>
          <w:sz w:val="26"/>
          <w:szCs w:val="26"/>
          <w:lang w:val="ro-MO"/>
        </w:rPr>
        <w:t xml:space="preserve">aproape </w:t>
      </w:r>
      <w:r w:rsidR="003A155F" w:rsidRPr="00446F65">
        <w:rPr>
          <w:rFonts w:ascii="Times New Roman" w:hAnsi="Times New Roman" w:cs="Times New Roman"/>
          <w:sz w:val="26"/>
          <w:szCs w:val="26"/>
          <w:lang w:val="ro-MO"/>
        </w:rPr>
        <w:t>3</w:t>
      </w:r>
      <w:r w:rsidR="008D5CBC" w:rsidRPr="00446F65">
        <w:rPr>
          <w:rFonts w:ascii="Times New Roman" w:hAnsi="Times New Roman" w:cs="Times New Roman"/>
          <w:sz w:val="26"/>
          <w:szCs w:val="26"/>
          <w:lang w:val="ro-MO"/>
        </w:rPr>
        <w:t xml:space="preserve">%. </w:t>
      </w:r>
    </w:p>
    <w:p w:rsidR="00572352" w:rsidRPr="00446F65" w:rsidRDefault="00841EA7"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Astfel, deşi este de aşteptat ca, în orizontul de timp al analizei de piaţă, cotele de piaţă</w:t>
      </w:r>
      <w:r w:rsidR="004F1A66"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înregistrate de către </w:t>
      </w:r>
      <w:r w:rsidR="00052380" w:rsidRPr="00446F65">
        <w:rPr>
          <w:rFonts w:ascii="Times New Roman" w:hAnsi="Times New Roman" w:cs="Times New Roman"/>
          <w:sz w:val="26"/>
          <w:szCs w:val="26"/>
          <w:lang w:val="ro-MO"/>
        </w:rPr>
        <w:t>furnizorii</w:t>
      </w:r>
      <w:r w:rsidRPr="00446F65">
        <w:rPr>
          <w:rFonts w:ascii="Times New Roman" w:hAnsi="Times New Roman" w:cs="Times New Roman"/>
          <w:sz w:val="26"/>
          <w:szCs w:val="26"/>
          <w:lang w:val="ro-MO"/>
        </w:rPr>
        <w:t xml:space="preserve"> de reţele alternative să continue să crească, din punct de vedere prospectiv, ANRCETI consideră că </w:t>
      </w:r>
      <w:r w:rsidR="000A1A9F" w:rsidRPr="00446F65">
        <w:rPr>
          <w:rFonts w:ascii="Times New Roman" w:hAnsi="Times New Roman" w:cs="Times New Roman"/>
          <w:sz w:val="26"/>
          <w:szCs w:val="26"/>
          <w:lang w:val="ro-MO"/>
        </w:rPr>
        <w:t>cota</w:t>
      </w:r>
      <w:r w:rsidR="004F1A66"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de piaţă a</w:t>
      </w:r>
      <w:r w:rsidR="004F1A66" w:rsidRPr="00446F65">
        <w:rPr>
          <w:rFonts w:ascii="Times New Roman" w:hAnsi="Times New Roman" w:cs="Times New Roman"/>
          <w:sz w:val="26"/>
          <w:szCs w:val="26"/>
          <w:lang w:val="ro-MO"/>
        </w:rPr>
        <w:t xml:space="preserve"> </w:t>
      </w:r>
      <w:r w:rsidR="00463EC0" w:rsidRPr="00446F65">
        <w:rPr>
          <w:rFonts w:ascii="Times New Roman" w:hAnsi="Times New Roman" w:cs="Times New Roman"/>
          <w:sz w:val="26"/>
          <w:szCs w:val="26"/>
          <w:lang w:val="ro-MO"/>
        </w:rPr>
        <w:t>Moldtelecom</w:t>
      </w:r>
      <w:r w:rsidR="000A1A9F" w:rsidRPr="00446F65">
        <w:rPr>
          <w:rFonts w:ascii="Times New Roman" w:hAnsi="Times New Roman" w:cs="Times New Roman"/>
          <w:sz w:val="26"/>
          <w:szCs w:val="26"/>
          <w:lang w:val="ro-MO"/>
        </w:rPr>
        <w:t xml:space="preserve"> s-ar putea stabiliza la circa 85%</w:t>
      </w:r>
      <w:r w:rsidRPr="00446F65">
        <w:rPr>
          <w:rFonts w:ascii="Times New Roman" w:hAnsi="Times New Roman" w:cs="Times New Roman"/>
          <w:sz w:val="26"/>
          <w:szCs w:val="26"/>
          <w:lang w:val="ro-MO"/>
        </w:rPr>
        <w:t>.</w:t>
      </w:r>
    </w:p>
    <w:p w:rsidR="00AA3BD4" w:rsidRPr="00446F65" w:rsidRDefault="00AA3BD4"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color w:val="000000"/>
          <w:sz w:val="26"/>
          <w:szCs w:val="26"/>
          <w:lang w:val="ro-MO"/>
        </w:rPr>
        <w:t xml:space="preserve">În ceea ce priveşte cota de piaţă a Moldtelecom pe piaţa serviciilor cu amănuntul de acces în bandă largă putem menţiona că este de asemenea foarte înaltă, aceasta fiind în ultimii 3 ani (2014-2016) de 65-66% în funcție de abonați și 63-64% în funcție de venituri.  </w:t>
      </w:r>
    </w:p>
    <w:p w:rsidR="00AA3BD4" w:rsidRPr="00446F65" w:rsidRDefault="00AA3BD4" w:rsidP="00317915">
      <w:pPr>
        <w:tabs>
          <w:tab w:val="left" w:pos="426"/>
        </w:tabs>
        <w:spacing w:after="0" w:line="240" w:lineRule="auto"/>
        <w:ind w:firstLine="567"/>
        <w:jc w:val="both"/>
        <w:rPr>
          <w:rFonts w:ascii="Times New Roman" w:hAnsi="Times New Roman" w:cs="Times New Roman"/>
          <w:b/>
          <w:sz w:val="26"/>
          <w:szCs w:val="26"/>
          <w:lang w:val="ro-MO"/>
        </w:rPr>
      </w:pPr>
    </w:p>
    <w:p w:rsidR="00AA3BD4" w:rsidRPr="00446F65" w:rsidRDefault="00AA3BD4" w:rsidP="00317915">
      <w:pPr>
        <w:tabs>
          <w:tab w:val="left" w:pos="426"/>
        </w:tabs>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Concluzie:</w:t>
      </w:r>
      <w:r w:rsidRPr="00446F65">
        <w:rPr>
          <w:rFonts w:ascii="Times New Roman" w:hAnsi="Times New Roman" w:cs="Times New Roman"/>
          <w:sz w:val="26"/>
          <w:szCs w:val="26"/>
          <w:lang w:val="ro-MO"/>
        </w:rPr>
        <w:t xml:space="preserve"> Cotele înalte de piață atât pe piața cu ridicata cât și pe piața cu amănuntul, cât și stabilitatea acestora în timp sunt indicii extrem de importante asupra puterii semnificative a Moldtelecom pe piaţa dată.</w:t>
      </w:r>
    </w:p>
    <w:p w:rsidR="00AE16F7" w:rsidRPr="00446F65" w:rsidRDefault="00AE16F7" w:rsidP="00317915">
      <w:pPr>
        <w:tabs>
          <w:tab w:val="left" w:pos="426"/>
        </w:tabs>
        <w:spacing w:after="0" w:line="240" w:lineRule="auto"/>
        <w:ind w:firstLine="720"/>
        <w:jc w:val="both"/>
        <w:rPr>
          <w:rFonts w:ascii="Times New Roman" w:hAnsi="Times New Roman" w:cs="Times New Roman"/>
          <w:b/>
          <w:sz w:val="26"/>
          <w:szCs w:val="26"/>
          <w:lang w:val="ro-MO"/>
        </w:rPr>
      </w:pPr>
    </w:p>
    <w:p w:rsidR="00AA3BD4" w:rsidRPr="00446F65" w:rsidRDefault="00AA3BD4"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Totodată, este important de analizat în ce măsură existenţa unor alţi factori poate limita posibilitatea unui furnizor de a se comporta în mod independent faţă de clienţii, concurenţii şi, respectiv, faţă de utilizatorii săi finali. Prin urmare, ANRCETI a luat în considerare şi alte criterii în vederea determinării puterii semnificative pe piaţă, analizate în cele ce urmează.</w:t>
      </w:r>
    </w:p>
    <w:p w:rsidR="00052380" w:rsidRPr="00446F65" w:rsidRDefault="00CD7CD6" w:rsidP="00317915">
      <w:pPr>
        <w:pStyle w:val="Heading5"/>
        <w:spacing w:line="240" w:lineRule="auto"/>
        <w:ind w:firstLine="720"/>
        <w:rPr>
          <w:rFonts w:ascii="Times New Roman" w:hAnsi="Times New Roman" w:cs="Times New Roman"/>
          <w:b/>
          <w:color w:val="auto"/>
          <w:sz w:val="26"/>
          <w:szCs w:val="26"/>
          <w:lang w:val="ro-MO"/>
        </w:rPr>
      </w:pPr>
      <w:bookmarkStart w:id="26" w:name="_Toc492907385"/>
      <w:r w:rsidRPr="00446F65">
        <w:rPr>
          <w:rFonts w:ascii="Times New Roman" w:hAnsi="Times New Roman" w:cs="Times New Roman"/>
          <w:b/>
          <w:color w:val="auto"/>
          <w:sz w:val="26"/>
          <w:szCs w:val="26"/>
          <w:lang w:val="ro-MO"/>
        </w:rPr>
        <w:t>3.2.2</w:t>
      </w:r>
      <w:r w:rsidR="002F1357" w:rsidRPr="00446F65">
        <w:rPr>
          <w:rFonts w:ascii="Times New Roman" w:hAnsi="Times New Roman" w:cs="Times New Roman"/>
          <w:b/>
          <w:color w:val="auto"/>
          <w:sz w:val="26"/>
          <w:szCs w:val="26"/>
          <w:lang w:val="ro-MO"/>
        </w:rPr>
        <w:t>.2</w:t>
      </w:r>
      <w:r w:rsidRPr="00446F65">
        <w:rPr>
          <w:rFonts w:ascii="Times New Roman" w:hAnsi="Times New Roman" w:cs="Times New Roman"/>
          <w:b/>
          <w:color w:val="auto"/>
          <w:sz w:val="26"/>
          <w:szCs w:val="26"/>
          <w:lang w:val="ro-MO"/>
        </w:rPr>
        <w:t xml:space="preserve"> Dimensiunea Furnizorului</w:t>
      </w:r>
      <w:bookmarkEnd w:id="26"/>
    </w:p>
    <w:p w:rsidR="00CD7CD6" w:rsidRPr="00446F65" w:rsidRDefault="00CD7CD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Furnizarea serviciilor </w:t>
      </w:r>
      <w:r w:rsidR="00AD24C5" w:rsidRPr="00446F65">
        <w:rPr>
          <w:rFonts w:ascii="Times New Roman" w:hAnsi="Times New Roman" w:cs="Times New Roman"/>
          <w:sz w:val="26"/>
          <w:szCs w:val="26"/>
          <w:lang w:val="ro-MO"/>
        </w:rPr>
        <w:t xml:space="preserve">cu ridicata de acces local la puncte fixe </w:t>
      </w:r>
      <w:r w:rsidRPr="00446F65">
        <w:rPr>
          <w:rFonts w:ascii="Times New Roman" w:hAnsi="Times New Roman" w:cs="Times New Roman"/>
          <w:sz w:val="26"/>
          <w:szCs w:val="26"/>
          <w:lang w:val="ro-MO"/>
        </w:rPr>
        <w:t>necesită investiţii importante într-o reţea de acces la puncte fixe. Este o investiţie substanţială, chiar dacă aceasta se concentrează în marile oraşe, cum ar fi Chişinău, Bălți, Ungheni</w:t>
      </w:r>
      <w:r w:rsidR="00076C57" w:rsidRPr="00446F65">
        <w:rPr>
          <w:rFonts w:ascii="Times New Roman" w:hAnsi="Times New Roman" w:cs="Times New Roman"/>
          <w:sz w:val="26"/>
          <w:szCs w:val="26"/>
          <w:lang w:val="ro-MO"/>
        </w:rPr>
        <w:t>, Soroca, Orhei, Comrat</w:t>
      </w:r>
      <w:r w:rsidRPr="00446F65">
        <w:rPr>
          <w:rFonts w:ascii="Times New Roman" w:hAnsi="Times New Roman" w:cs="Times New Roman"/>
          <w:sz w:val="26"/>
          <w:szCs w:val="26"/>
          <w:lang w:val="ro-MO"/>
        </w:rPr>
        <w:t xml:space="preserve"> și altele. Pentru furnizarea pe scară largă a infrastructurii</w:t>
      </w:r>
      <w:r w:rsidR="00076C57" w:rsidRPr="00446F65">
        <w:rPr>
          <w:rFonts w:ascii="Times New Roman" w:hAnsi="Times New Roman" w:cs="Times New Roman"/>
          <w:sz w:val="26"/>
          <w:szCs w:val="26"/>
          <w:lang w:val="ro-MO"/>
        </w:rPr>
        <w:t xml:space="preserve"> de rețea</w:t>
      </w:r>
      <w:r w:rsidRPr="00446F65">
        <w:rPr>
          <w:rFonts w:ascii="Times New Roman" w:hAnsi="Times New Roman" w:cs="Times New Roman"/>
          <w:sz w:val="26"/>
          <w:szCs w:val="26"/>
          <w:lang w:val="ro-MO"/>
        </w:rPr>
        <w:t xml:space="preserve"> fixă, investiţia este atât de semnificativă încât orice alt furnizor alternativ se va ciocni cu mari dificultăţi în ce priveşte intrarea pe piaţă. </w:t>
      </w:r>
    </w:p>
    <w:p w:rsidR="00CD7CD6" w:rsidRPr="00446F65" w:rsidRDefault="00CD7CD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Dimensiunea furnizorului este prin urmare un element important, deşi importanţa are mai degrabă de a face cu aspecte aferente cum ar fi controlul facilit</w:t>
      </w:r>
      <w:r w:rsidR="00052380" w:rsidRPr="00446F65">
        <w:rPr>
          <w:rFonts w:ascii="Times New Roman" w:hAnsi="Times New Roman" w:cs="Times New Roman"/>
          <w:sz w:val="26"/>
          <w:szCs w:val="26"/>
          <w:lang w:val="ro-MO"/>
        </w:rPr>
        <w:t>ăţilor esenţiale (</w:t>
      </w:r>
      <w:r w:rsidR="00076C57" w:rsidRPr="00446F65">
        <w:rPr>
          <w:rFonts w:ascii="Times New Roman" w:hAnsi="Times New Roman" w:cs="Times New Roman"/>
          <w:sz w:val="26"/>
          <w:szCs w:val="26"/>
          <w:lang w:val="ro-MO"/>
        </w:rPr>
        <w:t>infrastructura asociată</w:t>
      </w:r>
      <w:r w:rsidR="00052380"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În cele din urmă, unii dintre concurenţii Moldtelecom sunt întreprinderi de o scară </w:t>
      </w:r>
      <w:r w:rsidRPr="00446F65">
        <w:rPr>
          <w:rFonts w:ascii="Times New Roman" w:hAnsi="Times New Roman" w:cs="Times New Roman"/>
          <w:sz w:val="26"/>
          <w:szCs w:val="26"/>
          <w:lang w:val="ro-MO"/>
        </w:rPr>
        <w:lastRenderedPageBreak/>
        <w:t xml:space="preserve">similară sau chiar şi mai mare, însă acestea nu au acelaşi volum de investiţii irecuperabile în reţelele fixe din </w:t>
      </w:r>
      <w:r w:rsidR="00052380" w:rsidRPr="00446F65">
        <w:rPr>
          <w:rFonts w:ascii="Times New Roman" w:hAnsi="Times New Roman" w:cs="Times New Roman"/>
          <w:sz w:val="26"/>
          <w:szCs w:val="26"/>
          <w:lang w:val="ro-MO"/>
        </w:rPr>
        <w:t>R.</w:t>
      </w:r>
      <w:r w:rsidR="00C4668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Moldova. </w:t>
      </w:r>
    </w:p>
    <w:p w:rsidR="00AE16F7" w:rsidRPr="00446F65" w:rsidRDefault="00CD7CD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Cu cât mai mare este furnizorul, cu atât mai greu va fi pentru concurenţi</w:t>
      </w:r>
      <w:r w:rsidR="00052380" w:rsidRPr="00446F65">
        <w:rPr>
          <w:rFonts w:ascii="Times New Roman" w:hAnsi="Times New Roman" w:cs="Times New Roman"/>
          <w:sz w:val="26"/>
          <w:szCs w:val="26"/>
          <w:lang w:val="ro-MO"/>
        </w:rPr>
        <w:t>i</w:t>
      </w:r>
      <w:r w:rsidRPr="00446F65">
        <w:rPr>
          <w:rFonts w:ascii="Times New Roman" w:hAnsi="Times New Roman" w:cs="Times New Roman"/>
          <w:sz w:val="26"/>
          <w:szCs w:val="26"/>
          <w:lang w:val="ro-MO"/>
        </w:rPr>
        <w:t xml:space="preserve"> acestuia să-i schimbe poziţia de PSP. Prin urmare acest indicator fortifică ipoteza de PSP creată de cota de piaţă </w:t>
      </w:r>
      <w:r w:rsidR="005A0663" w:rsidRPr="00446F65">
        <w:rPr>
          <w:rFonts w:ascii="Times New Roman" w:hAnsi="Times New Roman" w:cs="Times New Roman"/>
          <w:sz w:val="26"/>
          <w:szCs w:val="26"/>
          <w:lang w:val="ro-MO"/>
        </w:rPr>
        <w:t>ridicată</w:t>
      </w:r>
      <w:r w:rsidRPr="00446F65">
        <w:rPr>
          <w:rFonts w:ascii="Times New Roman" w:hAnsi="Times New Roman" w:cs="Times New Roman"/>
          <w:sz w:val="26"/>
          <w:szCs w:val="26"/>
          <w:lang w:val="ro-MO"/>
        </w:rPr>
        <w:t xml:space="preserve"> a </w:t>
      </w:r>
      <w:r w:rsidR="00B46BAD" w:rsidRPr="00446F65">
        <w:rPr>
          <w:rFonts w:ascii="Times New Roman" w:hAnsi="Times New Roman" w:cs="Times New Roman"/>
          <w:sz w:val="26"/>
          <w:szCs w:val="26"/>
          <w:lang w:val="ro-MO"/>
        </w:rPr>
        <w:t>S.</w:t>
      </w:r>
      <w:r w:rsidR="00F00FDA" w:rsidRPr="00446F65">
        <w:rPr>
          <w:rFonts w:ascii="Times New Roman" w:hAnsi="Times New Roman" w:cs="Times New Roman"/>
          <w:sz w:val="26"/>
          <w:szCs w:val="26"/>
          <w:lang w:val="ro-MO"/>
        </w:rPr>
        <w:t>A</w:t>
      </w:r>
      <w:r w:rsidR="00B46BAD" w:rsidRPr="00446F65">
        <w:rPr>
          <w:rFonts w:ascii="Times New Roman" w:hAnsi="Times New Roman" w:cs="Times New Roman"/>
          <w:sz w:val="26"/>
          <w:szCs w:val="26"/>
          <w:lang w:val="ro-MO"/>
        </w:rPr>
        <w:t>. „</w:t>
      </w:r>
      <w:r w:rsidRPr="00446F65">
        <w:rPr>
          <w:rFonts w:ascii="Times New Roman" w:hAnsi="Times New Roman" w:cs="Times New Roman"/>
          <w:sz w:val="26"/>
          <w:szCs w:val="26"/>
          <w:lang w:val="ro-MO"/>
        </w:rPr>
        <w:t>Moldtel</w:t>
      </w:r>
      <w:r w:rsidR="00052380" w:rsidRPr="00446F65">
        <w:rPr>
          <w:rFonts w:ascii="Times New Roman" w:hAnsi="Times New Roman" w:cs="Times New Roman"/>
          <w:sz w:val="26"/>
          <w:szCs w:val="26"/>
          <w:lang w:val="ro-MO"/>
        </w:rPr>
        <w:t>ecom</w:t>
      </w:r>
      <w:r w:rsidR="00B46BAD" w:rsidRPr="00446F65">
        <w:rPr>
          <w:rFonts w:ascii="Times New Roman" w:hAnsi="Times New Roman" w:cs="Times New Roman"/>
          <w:sz w:val="26"/>
          <w:szCs w:val="26"/>
          <w:lang w:val="ro-MO"/>
        </w:rPr>
        <w:t>”</w:t>
      </w:r>
      <w:r w:rsidR="00052380" w:rsidRPr="00446F65">
        <w:rPr>
          <w:rFonts w:ascii="Times New Roman" w:hAnsi="Times New Roman" w:cs="Times New Roman"/>
          <w:sz w:val="26"/>
          <w:szCs w:val="26"/>
          <w:lang w:val="ro-MO"/>
        </w:rPr>
        <w:t>.</w:t>
      </w:r>
    </w:p>
    <w:p w:rsidR="0039480F" w:rsidRPr="00446F65" w:rsidRDefault="002F1357" w:rsidP="00317915">
      <w:pPr>
        <w:pStyle w:val="Heading5"/>
        <w:spacing w:line="240" w:lineRule="auto"/>
        <w:ind w:firstLine="720"/>
        <w:rPr>
          <w:rFonts w:ascii="Times New Roman" w:hAnsi="Times New Roman" w:cs="Times New Roman"/>
          <w:b/>
          <w:color w:val="auto"/>
          <w:sz w:val="26"/>
          <w:szCs w:val="26"/>
          <w:lang w:val="ro-MO"/>
        </w:rPr>
      </w:pPr>
      <w:bookmarkStart w:id="27" w:name="_Toc492907386"/>
      <w:r w:rsidRPr="00446F65">
        <w:rPr>
          <w:rFonts w:ascii="Times New Roman" w:hAnsi="Times New Roman" w:cs="Times New Roman"/>
          <w:b/>
          <w:color w:val="auto"/>
          <w:sz w:val="26"/>
          <w:szCs w:val="26"/>
          <w:lang w:val="ro-MO"/>
        </w:rPr>
        <w:t xml:space="preserve">3.2.2.3 </w:t>
      </w:r>
      <w:r w:rsidR="0039480F" w:rsidRPr="00446F65">
        <w:rPr>
          <w:rFonts w:ascii="Times New Roman" w:hAnsi="Times New Roman" w:cs="Times New Roman"/>
          <w:b/>
          <w:color w:val="auto"/>
          <w:sz w:val="26"/>
          <w:szCs w:val="26"/>
          <w:lang w:val="ro-MO"/>
        </w:rPr>
        <w:t xml:space="preserve">Controlul infrastructurii greu de </w:t>
      </w:r>
      <w:r w:rsidR="007F29CA" w:rsidRPr="00446F65">
        <w:rPr>
          <w:rFonts w:ascii="Times New Roman" w:hAnsi="Times New Roman" w:cs="Times New Roman"/>
          <w:b/>
          <w:color w:val="auto"/>
          <w:sz w:val="26"/>
          <w:szCs w:val="26"/>
          <w:lang w:val="ro-MO"/>
        </w:rPr>
        <w:t>du</w:t>
      </w:r>
      <w:r w:rsidR="007E29F1" w:rsidRPr="00446F65">
        <w:rPr>
          <w:rFonts w:ascii="Times New Roman" w:hAnsi="Times New Roman" w:cs="Times New Roman"/>
          <w:b/>
          <w:color w:val="auto"/>
          <w:sz w:val="26"/>
          <w:szCs w:val="26"/>
          <w:lang w:val="ro-MO"/>
        </w:rPr>
        <w:t>plicat</w:t>
      </w:r>
      <w:bookmarkEnd w:id="27"/>
      <w:r w:rsidR="007F29CA" w:rsidRPr="00446F65">
        <w:rPr>
          <w:rFonts w:ascii="Times New Roman" w:hAnsi="Times New Roman" w:cs="Times New Roman"/>
          <w:b/>
          <w:color w:val="auto"/>
          <w:sz w:val="26"/>
          <w:szCs w:val="26"/>
          <w:lang w:val="ro-MO"/>
        </w:rPr>
        <w:t xml:space="preserve"> </w:t>
      </w:r>
    </w:p>
    <w:p w:rsidR="006C4C7A" w:rsidRPr="00446F65" w:rsidRDefault="0039480F"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Facilităţile de infrastructură sunt active necesare pentru </w:t>
      </w:r>
      <w:r w:rsidR="00076C57" w:rsidRPr="00446F65">
        <w:rPr>
          <w:rFonts w:ascii="Times New Roman" w:hAnsi="Times New Roman" w:cs="Times New Roman"/>
          <w:sz w:val="26"/>
          <w:szCs w:val="26"/>
          <w:lang w:val="ro-MO"/>
        </w:rPr>
        <w:t xml:space="preserve">construirea rețelei și </w:t>
      </w:r>
      <w:r w:rsidRPr="00446F65">
        <w:rPr>
          <w:rFonts w:ascii="Times New Roman" w:hAnsi="Times New Roman" w:cs="Times New Roman"/>
          <w:sz w:val="26"/>
          <w:szCs w:val="26"/>
          <w:lang w:val="ro-MO"/>
        </w:rPr>
        <w:t>furnizarea accesului cu ridicata la infrastructura de reţea</w:t>
      </w:r>
      <w:r w:rsidR="00076C57" w:rsidRPr="00446F65">
        <w:rPr>
          <w:rFonts w:ascii="Times New Roman" w:hAnsi="Times New Roman" w:cs="Times New Roman"/>
          <w:sz w:val="26"/>
          <w:szCs w:val="26"/>
          <w:lang w:val="ro-MO"/>
        </w:rPr>
        <w:t xml:space="preserve">. Din punct de vedere </w:t>
      </w:r>
      <w:r w:rsidRPr="00446F65">
        <w:rPr>
          <w:rFonts w:ascii="Times New Roman" w:hAnsi="Times New Roman" w:cs="Times New Roman"/>
          <w:sz w:val="26"/>
          <w:szCs w:val="26"/>
          <w:lang w:val="ro-MO"/>
        </w:rPr>
        <w:t xml:space="preserve">tehnic </w:t>
      </w:r>
      <w:r w:rsidR="00076C57" w:rsidRPr="00446F65">
        <w:rPr>
          <w:rFonts w:ascii="Times New Roman" w:hAnsi="Times New Roman" w:cs="Times New Roman"/>
          <w:sz w:val="26"/>
          <w:szCs w:val="26"/>
          <w:lang w:val="ro-MO"/>
        </w:rPr>
        <w:t xml:space="preserve">și </w:t>
      </w:r>
      <w:r w:rsidRPr="00446F65">
        <w:rPr>
          <w:rFonts w:ascii="Times New Roman" w:hAnsi="Times New Roman" w:cs="Times New Roman"/>
          <w:sz w:val="26"/>
          <w:szCs w:val="26"/>
          <w:lang w:val="ro-MO"/>
        </w:rPr>
        <w:t>economic</w:t>
      </w:r>
      <w:r w:rsidR="00076C57" w:rsidRPr="00446F65">
        <w:rPr>
          <w:rFonts w:ascii="Times New Roman" w:hAnsi="Times New Roman" w:cs="Times New Roman"/>
          <w:sz w:val="26"/>
          <w:szCs w:val="26"/>
          <w:lang w:val="ro-MO"/>
        </w:rPr>
        <w:t>, dublarea acestei este extrem de dificilă</w:t>
      </w:r>
      <w:r w:rsidRPr="00446F65">
        <w:rPr>
          <w:rFonts w:ascii="Times New Roman" w:hAnsi="Times New Roman" w:cs="Times New Roman"/>
          <w:sz w:val="26"/>
          <w:szCs w:val="26"/>
          <w:lang w:val="ro-MO"/>
        </w:rPr>
        <w:t xml:space="preserve">. Astfel, Comisia Europeană sugerează că </w:t>
      </w:r>
      <w:r w:rsidRPr="00446F65">
        <w:rPr>
          <w:rFonts w:ascii="Times New Roman" w:hAnsi="Times New Roman" w:cs="Times New Roman"/>
          <w:i/>
          <w:iCs/>
          <w:sz w:val="26"/>
          <w:szCs w:val="26"/>
          <w:lang w:val="ro-MO"/>
        </w:rPr>
        <w:t xml:space="preserve">Posibilitatea lor </w:t>
      </w:r>
      <w:r w:rsidRPr="00446F65">
        <w:rPr>
          <w:rFonts w:ascii="Times New Roman" w:hAnsi="Times New Roman" w:cs="Times New Roman"/>
          <w:sz w:val="26"/>
          <w:szCs w:val="26"/>
          <w:lang w:val="ro-MO"/>
        </w:rPr>
        <w:t xml:space="preserve">[a furnizorilor alternativi] </w:t>
      </w:r>
      <w:r w:rsidRPr="00446F65">
        <w:rPr>
          <w:rFonts w:ascii="Times New Roman" w:hAnsi="Times New Roman" w:cs="Times New Roman"/>
          <w:i/>
          <w:iCs/>
          <w:sz w:val="26"/>
          <w:szCs w:val="26"/>
          <w:lang w:val="ro-MO"/>
        </w:rPr>
        <w:t xml:space="preserve">de a construi o infrastructură similară furnizorului istoric este limitată. În reţeaua de acces local, costurile sunt concentrate în lucrările de inginerie civilă. Aceste lucrări pot constitui </w:t>
      </w:r>
      <w:r w:rsidR="00C46687" w:rsidRPr="00446F65">
        <w:rPr>
          <w:rFonts w:ascii="Times New Roman" w:hAnsi="Times New Roman" w:cs="Times New Roman"/>
          <w:i/>
          <w:iCs/>
          <w:sz w:val="26"/>
          <w:szCs w:val="26"/>
          <w:lang w:val="ro-MO"/>
        </w:rPr>
        <w:t>până</w:t>
      </w:r>
      <w:r w:rsidRPr="00446F65">
        <w:rPr>
          <w:rFonts w:ascii="Times New Roman" w:hAnsi="Times New Roman" w:cs="Times New Roman"/>
          <w:i/>
          <w:iCs/>
          <w:sz w:val="26"/>
          <w:szCs w:val="26"/>
          <w:lang w:val="ro-MO"/>
        </w:rPr>
        <w:t xml:space="preserve"> la 50%-80% din costul total per utilizator, în funcţie de soluţia aleasă şi caracteristicile specifice locale (astfel ca densitatea utilizatorilor, disponibilitatea </w:t>
      </w:r>
      <w:r w:rsidR="00ED3577" w:rsidRPr="00446F65">
        <w:rPr>
          <w:rFonts w:ascii="Times New Roman" w:hAnsi="Times New Roman" w:cs="Times New Roman"/>
          <w:i/>
          <w:iCs/>
          <w:sz w:val="26"/>
          <w:szCs w:val="26"/>
          <w:lang w:val="ro-MO"/>
        </w:rPr>
        <w:t>canalizaţiei</w:t>
      </w:r>
      <w:r w:rsidRPr="00446F65">
        <w:rPr>
          <w:rFonts w:ascii="Times New Roman" w:hAnsi="Times New Roman" w:cs="Times New Roman"/>
          <w:i/>
          <w:iCs/>
          <w:sz w:val="26"/>
          <w:szCs w:val="26"/>
          <w:lang w:val="ro-MO"/>
        </w:rPr>
        <w:t>, costurile muncii şi costurile legate de excavări). Furnizorii istorici şi companiile de cablu TV</w:t>
      </w:r>
      <w:r w:rsidR="00151DFC" w:rsidRPr="00446F65">
        <w:rPr>
          <w:rStyle w:val="FootnoteReference"/>
          <w:rFonts w:ascii="Times New Roman" w:hAnsi="Times New Roman" w:cs="Times New Roman"/>
          <w:i/>
          <w:iCs/>
          <w:sz w:val="26"/>
          <w:szCs w:val="26"/>
          <w:lang w:val="ro-MO"/>
        </w:rPr>
        <w:footnoteReference w:id="11"/>
      </w:r>
      <w:r w:rsidRPr="00446F65">
        <w:rPr>
          <w:rFonts w:ascii="Times New Roman" w:hAnsi="Times New Roman" w:cs="Times New Roman"/>
          <w:i/>
          <w:iCs/>
          <w:sz w:val="26"/>
          <w:szCs w:val="26"/>
          <w:lang w:val="ro-MO"/>
        </w:rPr>
        <w:t xml:space="preserve"> pot utiliza </w:t>
      </w:r>
      <w:r w:rsidR="00ED3577" w:rsidRPr="00446F65">
        <w:rPr>
          <w:rFonts w:ascii="Times New Roman" w:hAnsi="Times New Roman" w:cs="Times New Roman"/>
          <w:i/>
          <w:iCs/>
          <w:sz w:val="26"/>
          <w:szCs w:val="26"/>
          <w:lang w:val="ro-MO"/>
        </w:rPr>
        <w:t>canalizaţi</w:t>
      </w:r>
      <w:r w:rsidRPr="00446F65">
        <w:rPr>
          <w:rFonts w:ascii="Times New Roman" w:hAnsi="Times New Roman" w:cs="Times New Roman"/>
          <w:i/>
          <w:iCs/>
          <w:sz w:val="26"/>
          <w:szCs w:val="26"/>
          <w:lang w:val="ro-MO"/>
        </w:rPr>
        <w:t>a şi drepturile lor de trecere existente pentru a minimaliza aceste costuri. Alţi competitori nu au asemenea avantaje, cu excepţia unor cazuri rare, când pot obţine acces de la alte companii de utilitate publică.</w:t>
      </w:r>
    </w:p>
    <w:p w:rsidR="0039480F" w:rsidRPr="00446F65" w:rsidRDefault="0039480F"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Dificultatea duplicării infrastructurii reiese din faptul că construcţia acesteia este anevoioasă, durează mult timp, necesită volum mare de coordonări şi autorizări din partea autorităţilor ce supraveghează construcţiile civile, din cauza cerinţelor de urbanism. De asemenea este important faptul că aceste facilităţi reprezintă cea mai mare pondere a costurilor de construire a unei reţele de acces local, iar odată construite, costurile acestor facilităţi trec în categoria costurilor irecuperabile. În condiţiile în care o astfel de reţea există, construirea unei reţele paralele ar face imposibil (cel puţin ineficient din punct de vedere economic) de a atinge economii suficiente de densitate. </w:t>
      </w:r>
    </w:p>
    <w:p w:rsidR="00732E43" w:rsidRPr="00446F65" w:rsidRDefault="0039480F"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consideră că controlul facilităţilor de bază este cel mai important </w:t>
      </w:r>
      <w:r w:rsidR="00DC69FD" w:rsidRPr="00446F65">
        <w:rPr>
          <w:rFonts w:ascii="Times New Roman" w:hAnsi="Times New Roman" w:cs="Times New Roman"/>
          <w:sz w:val="26"/>
          <w:szCs w:val="26"/>
          <w:lang w:val="ro-MO"/>
        </w:rPr>
        <w:t xml:space="preserve">factor </w:t>
      </w:r>
      <w:r w:rsidRPr="00446F65">
        <w:rPr>
          <w:rFonts w:ascii="Times New Roman" w:hAnsi="Times New Roman" w:cs="Times New Roman"/>
          <w:sz w:val="26"/>
          <w:szCs w:val="26"/>
          <w:lang w:val="ro-MO"/>
        </w:rPr>
        <w:t>care indică asupra PSP</w:t>
      </w:r>
      <w:r w:rsidR="00F91355" w:rsidRPr="00446F65">
        <w:rPr>
          <w:rFonts w:ascii="Times New Roman" w:hAnsi="Times New Roman" w:cs="Times New Roman"/>
          <w:sz w:val="26"/>
          <w:szCs w:val="26"/>
          <w:lang w:val="ro-MO"/>
        </w:rPr>
        <w:t xml:space="preserve"> a </w:t>
      </w:r>
      <w:r w:rsidR="00076C57" w:rsidRPr="00446F65">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xml:space="preserve"> pe piaţa dată.</w:t>
      </w:r>
    </w:p>
    <w:p w:rsidR="0039480F" w:rsidRPr="00446F65" w:rsidRDefault="00732E43"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Infrastructura asociată reţelelor de acces fixe prin fir, fie acestea de cupru sau optice, este </w:t>
      </w:r>
      <w:r w:rsidR="00ED3577" w:rsidRPr="00446F65">
        <w:rPr>
          <w:rFonts w:ascii="Times New Roman" w:hAnsi="Times New Roman" w:cs="Times New Roman"/>
          <w:sz w:val="26"/>
          <w:szCs w:val="26"/>
          <w:lang w:val="ro-MO"/>
        </w:rPr>
        <w:t>canalizaţi</w:t>
      </w:r>
      <w:r w:rsidRPr="00446F65">
        <w:rPr>
          <w:rFonts w:ascii="Times New Roman" w:hAnsi="Times New Roman" w:cs="Times New Roman"/>
          <w:sz w:val="26"/>
          <w:szCs w:val="26"/>
          <w:lang w:val="ro-MO"/>
        </w:rPr>
        <w:t>a telefonică (</w:t>
      </w:r>
      <w:r w:rsidR="008E082B" w:rsidRPr="00446F65">
        <w:rPr>
          <w:rFonts w:ascii="Times New Roman" w:hAnsi="Times New Roman" w:cs="Times New Roman"/>
          <w:sz w:val="26"/>
          <w:szCs w:val="26"/>
          <w:lang w:val="ro-MO"/>
        </w:rPr>
        <w:t xml:space="preserve">inclusiv </w:t>
      </w:r>
      <w:r w:rsidR="00ED3577" w:rsidRPr="00446F65">
        <w:rPr>
          <w:rFonts w:ascii="Times New Roman" w:hAnsi="Times New Roman" w:cs="Times New Roman"/>
          <w:sz w:val="26"/>
          <w:szCs w:val="26"/>
          <w:lang w:val="ro-MO"/>
        </w:rPr>
        <w:t>canalizaţi</w:t>
      </w:r>
      <w:r w:rsidR="008E082B" w:rsidRPr="00446F65">
        <w:rPr>
          <w:rFonts w:ascii="Times New Roman" w:hAnsi="Times New Roman" w:cs="Times New Roman"/>
          <w:sz w:val="26"/>
          <w:szCs w:val="26"/>
          <w:lang w:val="ro-MO"/>
        </w:rPr>
        <w:t>a verticală din interiorul clădirilor</w:t>
      </w:r>
      <w:r w:rsidRPr="00446F65">
        <w:rPr>
          <w:rFonts w:ascii="Times New Roman" w:hAnsi="Times New Roman" w:cs="Times New Roman"/>
          <w:sz w:val="26"/>
          <w:szCs w:val="26"/>
          <w:lang w:val="ro-MO"/>
        </w:rPr>
        <w:t>)</w:t>
      </w:r>
      <w:r w:rsidR="008E082B" w:rsidRPr="00446F65">
        <w:rPr>
          <w:rFonts w:ascii="Times New Roman" w:hAnsi="Times New Roman" w:cs="Times New Roman"/>
          <w:sz w:val="26"/>
          <w:szCs w:val="26"/>
          <w:lang w:val="ro-MO"/>
        </w:rPr>
        <w:t xml:space="preserve">, stâlpii telefonici. Această infrastructură este în măsură </w:t>
      </w:r>
      <w:r w:rsidR="00F91355" w:rsidRPr="00446F65">
        <w:rPr>
          <w:rFonts w:ascii="Times New Roman" w:hAnsi="Times New Roman" w:cs="Times New Roman"/>
          <w:sz w:val="26"/>
          <w:szCs w:val="26"/>
          <w:lang w:val="ro-MO"/>
        </w:rPr>
        <w:t xml:space="preserve">de peste 99% controlată de </w:t>
      </w:r>
      <w:r w:rsidR="008E082B" w:rsidRPr="00446F65">
        <w:rPr>
          <w:rFonts w:ascii="Times New Roman" w:hAnsi="Times New Roman" w:cs="Times New Roman"/>
          <w:sz w:val="26"/>
          <w:szCs w:val="26"/>
          <w:lang w:val="ro-MO"/>
        </w:rPr>
        <w:t>Moldtelecom.</w:t>
      </w:r>
    </w:p>
    <w:p w:rsidR="00E762D8" w:rsidRPr="00446F65" w:rsidRDefault="0039480F"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Facilităţile de bază relevante pentru furnizarea serviciilor de acces </w:t>
      </w:r>
      <w:r w:rsidR="00580CA9" w:rsidRPr="00446F65">
        <w:rPr>
          <w:rFonts w:ascii="Times New Roman" w:hAnsi="Times New Roman" w:cs="Times New Roman"/>
          <w:sz w:val="26"/>
          <w:szCs w:val="26"/>
          <w:lang w:val="ro-MO"/>
        </w:rPr>
        <w:t>la infrastructura de rețea la un post fix</w:t>
      </w:r>
      <w:r w:rsidRPr="00446F65">
        <w:rPr>
          <w:rFonts w:ascii="Times New Roman" w:hAnsi="Times New Roman" w:cs="Times New Roman"/>
          <w:sz w:val="26"/>
          <w:szCs w:val="26"/>
          <w:lang w:val="ro-MO"/>
        </w:rPr>
        <w:t xml:space="preserve"> </w:t>
      </w:r>
      <w:r w:rsidR="00780372" w:rsidRPr="00446F65">
        <w:rPr>
          <w:rFonts w:ascii="Times New Roman" w:hAnsi="Times New Roman" w:cs="Times New Roman"/>
          <w:sz w:val="26"/>
          <w:szCs w:val="26"/>
          <w:lang w:val="ro-MO"/>
        </w:rPr>
        <w:t xml:space="preserve">este </w:t>
      </w:r>
      <w:r w:rsidRPr="00446F65">
        <w:rPr>
          <w:rFonts w:ascii="Times New Roman" w:hAnsi="Times New Roman" w:cs="Times New Roman"/>
          <w:sz w:val="26"/>
          <w:szCs w:val="26"/>
          <w:lang w:val="ro-MO"/>
        </w:rPr>
        <w:t xml:space="preserve">bucla locală </w:t>
      </w:r>
      <w:r w:rsidR="00FF1C92" w:rsidRPr="00446F65">
        <w:rPr>
          <w:rFonts w:ascii="Times New Roman" w:hAnsi="Times New Roman" w:cs="Times New Roman"/>
          <w:sz w:val="26"/>
          <w:szCs w:val="26"/>
          <w:lang w:val="ro-MO"/>
        </w:rPr>
        <w:t xml:space="preserve">către </w:t>
      </w:r>
      <w:r w:rsidRPr="00446F65">
        <w:rPr>
          <w:rFonts w:ascii="Times New Roman" w:hAnsi="Times New Roman" w:cs="Times New Roman"/>
          <w:sz w:val="26"/>
          <w:szCs w:val="26"/>
          <w:lang w:val="ro-MO"/>
        </w:rPr>
        <w:t xml:space="preserve">utilizatorul final. Investiţia necesară pentru a </w:t>
      </w:r>
      <w:r w:rsidR="00076C57" w:rsidRPr="00446F65">
        <w:rPr>
          <w:rFonts w:ascii="Times New Roman" w:hAnsi="Times New Roman" w:cs="Times New Roman"/>
          <w:sz w:val="26"/>
          <w:szCs w:val="26"/>
          <w:lang w:val="ro-MO"/>
        </w:rPr>
        <w:t xml:space="preserve">dubla </w:t>
      </w:r>
      <w:r w:rsidRPr="00446F65">
        <w:rPr>
          <w:rFonts w:ascii="Times New Roman" w:hAnsi="Times New Roman" w:cs="Times New Roman"/>
          <w:sz w:val="26"/>
          <w:szCs w:val="26"/>
          <w:lang w:val="ro-MO"/>
        </w:rPr>
        <w:t>infrastructura aferentă buclei locale a Moldtelecom este o barieră pentru concurenţii săi</w:t>
      </w:r>
      <w:r w:rsidR="00FF1C92" w:rsidRPr="00446F65">
        <w:rPr>
          <w:rFonts w:ascii="Times New Roman" w:hAnsi="Times New Roman" w:cs="Times New Roman"/>
          <w:sz w:val="26"/>
          <w:szCs w:val="26"/>
          <w:lang w:val="ro-MO"/>
        </w:rPr>
        <w:t>, deoarece cu infrastructura dată dublată, furnizorul nu poate atinge efecte similare de economii de densitate și face soluția dată neeconomicoasă</w:t>
      </w:r>
      <w:r w:rsidRPr="00446F65">
        <w:rPr>
          <w:rFonts w:ascii="Times New Roman" w:hAnsi="Times New Roman" w:cs="Times New Roman"/>
          <w:sz w:val="26"/>
          <w:szCs w:val="26"/>
          <w:lang w:val="ro-MO"/>
        </w:rPr>
        <w:t>.</w:t>
      </w:r>
    </w:p>
    <w:p w:rsidR="00732E43" w:rsidRPr="00446F65" w:rsidRDefault="00FF1C92"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Prin urmare, c</w:t>
      </w:r>
      <w:r w:rsidR="00076C57" w:rsidRPr="00446F65">
        <w:rPr>
          <w:rFonts w:ascii="Times New Roman" w:hAnsi="Times New Roman" w:cs="Times New Roman"/>
          <w:sz w:val="26"/>
          <w:szCs w:val="26"/>
          <w:lang w:val="ro-MO"/>
        </w:rPr>
        <w:t xml:space="preserve">ontrolul infrastructurii </w:t>
      </w:r>
      <w:r w:rsidRPr="00446F65">
        <w:rPr>
          <w:rFonts w:ascii="Times New Roman" w:hAnsi="Times New Roman" w:cs="Times New Roman"/>
          <w:sz w:val="26"/>
          <w:szCs w:val="26"/>
          <w:lang w:val="ro-MO"/>
        </w:rPr>
        <w:t xml:space="preserve">de către Moldtelecom și refuzul de a comercializa accesul la infrastructura dată la un nivel competitiv al prețurilor </w:t>
      </w:r>
      <w:r w:rsidR="00076C57" w:rsidRPr="00446F65">
        <w:rPr>
          <w:rFonts w:ascii="Times New Roman" w:hAnsi="Times New Roman" w:cs="Times New Roman"/>
          <w:sz w:val="26"/>
          <w:szCs w:val="26"/>
          <w:lang w:val="ro-MO"/>
        </w:rPr>
        <w:t xml:space="preserve">date </w:t>
      </w:r>
      <w:r w:rsidRPr="00446F65">
        <w:rPr>
          <w:rFonts w:ascii="Times New Roman" w:hAnsi="Times New Roman" w:cs="Times New Roman"/>
          <w:sz w:val="26"/>
          <w:szCs w:val="26"/>
          <w:lang w:val="ro-MO"/>
        </w:rPr>
        <w:t>reprezintă un factor esențial care poate împiedica furnizorii concurenți să-și construiască rețelele lor. În cazul unor piețe emergente (astfel ca accesul în bandă foarte largă), lipsa accesului la infrastructura asociată poate duce la blocarea pieței pentru concurenți (</w:t>
      </w:r>
      <w:r w:rsidRPr="00446F65">
        <w:rPr>
          <w:rFonts w:ascii="Times New Roman" w:hAnsi="Times New Roman" w:cs="Times New Roman"/>
          <w:i/>
          <w:sz w:val="26"/>
          <w:szCs w:val="26"/>
          <w:lang w:val="ro-MO"/>
        </w:rPr>
        <w:t xml:space="preserve">market </w:t>
      </w:r>
      <w:proofErr w:type="spellStart"/>
      <w:r w:rsidRPr="00446F65">
        <w:rPr>
          <w:rFonts w:ascii="Times New Roman" w:hAnsi="Times New Roman" w:cs="Times New Roman"/>
          <w:i/>
          <w:sz w:val="26"/>
          <w:szCs w:val="26"/>
          <w:lang w:val="ro-MO"/>
        </w:rPr>
        <w:t>foreclosure</w:t>
      </w:r>
      <w:proofErr w:type="spellEnd"/>
      <w:r w:rsidRPr="00446F65">
        <w:rPr>
          <w:rFonts w:ascii="Times New Roman" w:hAnsi="Times New Roman" w:cs="Times New Roman"/>
          <w:sz w:val="26"/>
          <w:szCs w:val="26"/>
          <w:lang w:val="ro-MO"/>
        </w:rPr>
        <w:t>).</w:t>
      </w:r>
    </w:p>
    <w:p w:rsidR="00FF1C92" w:rsidRPr="00446F65" w:rsidRDefault="00FF1C92"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Concluzie:</w:t>
      </w:r>
      <w:r w:rsidRPr="00446F65">
        <w:rPr>
          <w:rFonts w:ascii="Times New Roman" w:hAnsi="Times New Roman" w:cs="Times New Roman"/>
          <w:sz w:val="26"/>
          <w:szCs w:val="26"/>
          <w:lang w:val="ro-MO"/>
        </w:rPr>
        <w:t xml:space="preserve"> Controlul infrastructurii asociate (canalizație telefonică și stâlpi telefonici) de către Moldtelecom reprezintă un argument foarte puternic în favoarea concluziei că furnizorul dat are putere semnificativă pe piața </w:t>
      </w:r>
      <w:r w:rsidR="00151DFC" w:rsidRPr="00446F65">
        <w:rPr>
          <w:rFonts w:ascii="Times New Roman" w:hAnsi="Times New Roman" w:cs="Times New Roman"/>
          <w:sz w:val="26"/>
          <w:szCs w:val="26"/>
          <w:lang w:val="ro-MO"/>
        </w:rPr>
        <w:t>furnizării cu ridicata de servicii de acces local la puncte fixe</w:t>
      </w:r>
      <w:r w:rsidRPr="00446F65">
        <w:rPr>
          <w:rFonts w:ascii="Times New Roman" w:hAnsi="Times New Roman" w:cs="Times New Roman"/>
          <w:sz w:val="26"/>
          <w:szCs w:val="26"/>
          <w:lang w:val="ro-MO"/>
        </w:rPr>
        <w:t>.</w:t>
      </w:r>
    </w:p>
    <w:p w:rsidR="006C4C7A" w:rsidRPr="00446F65" w:rsidRDefault="002F1357" w:rsidP="00317915">
      <w:pPr>
        <w:pStyle w:val="Heading5"/>
        <w:spacing w:line="240" w:lineRule="auto"/>
        <w:ind w:firstLine="720"/>
        <w:rPr>
          <w:rFonts w:ascii="Times New Roman" w:hAnsi="Times New Roman" w:cs="Times New Roman"/>
          <w:b/>
          <w:color w:val="auto"/>
          <w:sz w:val="26"/>
          <w:szCs w:val="26"/>
          <w:lang w:val="ro-MO"/>
        </w:rPr>
      </w:pPr>
      <w:bookmarkStart w:id="28" w:name="_Toc492907387"/>
      <w:r w:rsidRPr="00446F65">
        <w:rPr>
          <w:rFonts w:ascii="Times New Roman" w:hAnsi="Times New Roman" w:cs="Times New Roman"/>
          <w:b/>
          <w:color w:val="auto"/>
          <w:sz w:val="26"/>
          <w:szCs w:val="26"/>
          <w:lang w:val="ro-MO"/>
        </w:rPr>
        <w:lastRenderedPageBreak/>
        <w:t xml:space="preserve">3.2.2.4 </w:t>
      </w:r>
      <w:r w:rsidR="006C4C7A" w:rsidRPr="00446F65">
        <w:rPr>
          <w:rFonts w:ascii="Times New Roman" w:hAnsi="Times New Roman" w:cs="Times New Roman"/>
          <w:b/>
          <w:color w:val="auto"/>
          <w:sz w:val="26"/>
          <w:szCs w:val="26"/>
          <w:lang w:val="ro-MO"/>
        </w:rPr>
        <w:t>Puterea de contracarare a cumpărătorilor</w:t>
      </w:r>
      <w:bookmarkEnd w:id="28"/>
    </w:p>
    <w:p w:rsidR="006C4C7A" w:rsidRPr="00446F65" w:rsidRDefault="006C4C7A"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Puterea de contracarare a utilizatorilor se referă la puterea r</w:t>
      </w:r>
      <w:r w:rsidR="00052380" w:rsidRPr="00446F65">
        <w:rPr>
          <w:rFonts w:ascii="Times New Roman" w:hAnsi="Times New Roman" w:cs="Times New Roman"/>
          <w:sz w:val="26"/>
          <w:szCs w:val="26"/>
          <w:lang w:val="ro-MO"/>
        </w:rPr>
        <w:t xml:space="preserve">elativă pe care o poate avea un </w:t>
      </w:r>
      <w:r w:rsidRPr="00446F65">
        <w:rPr>
          <w:rFonts w:ascii="Times New Roman" w:hAnsi="Times New Roman" w:cs="Times New Roman"/>
          <w:sz w:val="26"/>
          <w:szCs w:val="26"/>
          <w:lang w:val="ro-MO"/>
        </w:rPr>
        <w:t>cumpărător în relaţiile sale de negociere cu potenţialul vânzător al serviciilor în cauză. În general,</w:t>
      </w:r>
      <w:r w:rsidR="00151DFC"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puterea de negociere a unui cumpărător poate fi dată de mărime</w:t>
      </w:r>
      <w:r w:rsidR="00151DFC" w:rsidRPr="00446F65">
        <w:rPr>
          <w:rFonts w:ascii="Times New Roman" w:hAnsi="Times New Roman" w:cs="Times New Roman"/>
          <w:sz w:val="26"/>
          <w:szCs w:val="26"/>
          <w:lang w:val="ro-MO"/>
        </w:rPr>
        <w:t>a</w:t>
      </w:r>
      <w:r w:rsidRPr="00446F65">
        <w:rPr>
          <w:rFonts w:ascii="Times New Roman" w:hAnsi="Times New Roman" w:cs="Times New Roman"/>
          <w:sz w:val="26"/>
          <w:szCs w:val="26"/>
          <w:lang w:val="ro-MO"/>
        </w:rPr>
        <w:t>, impo</w:t>
      </w:r>
      <w:r w:rsidR="000D05C0" w:rsidRPr="00446F65">
        <w:rPr>
          <w:rFonts w:ascii="Times New Roman" w:hAnsi="Times New Roman" w:cs="Times New Roman"/>
          <w:sz w:val="26"/>
          <w:szCs w:val="26"/>
          <w:lang w:val="ro-MO"/>
        </w:rPr>
        <w:t xml:space="preserve">rtanţa comercială pe care o are </w:t>
      </w:r>
      <w:r w:rsidRPr="00446F65">
        <w:rPr>
          <w:rFonts w:ascii="Times New Roman" w:hAnsi="Times New Roman" w:cs="Times New Roman"/>
          <w:sz w:val="26"/>
          <w:szCs w:val="26"/>
          <w:lang w:val="ro-MO"/>
        </w:rPr>
        <w:t>pentru vânzător sau abilitatea sa de a migra către surse alternative de aprovizionare.</w:t>
      </w:r>
    </w:p>
    <w:p w:rsidR="006C4C7A" w:rsidRPr="00446F65" w:rsidRDefault="006C4C7A"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Existenţa puterii de contracarare nu este suficientă pentru a</w:t>
      </w:r>
      <w:r w:rsidR="00052380" w:rsidRPr="00446F65">
        <w:rPr>
          <w:rFonts w:ascii="Times New Roman" w:hAnsi="Times New Roman" w:cs="Times New Roman"/>
          <w:sz w:val="26"/>
          <w:szCs w:val="26"/>
          <w:lang w:val="ro-MO"/>
        </w:rPr>
        <w:t xml:space="preserve"> contrabalansa efectele puterii </w:t>
      </w:r>
      <w:r w:rsidRPr="00446F65">
        <w:rPr>
          <w:rFonts w:ascii="Times New Roman" w:hAnsi="Times New Roman" w:cs="Times New Roman"/>
          <w:sz w:val="26"/>
          <w:szCs w:val="26"/>
          <w:lang w:val="ro-MO"/>
        </w:rPr>
        <w:t xml:space="preserve">de piaţă deţinute de un furnizor, ci este important să se evalueze </w:t>
      </w:r>
      <w:r w:rsidR="000D05C0" w:rsidRPr="00446F65">
        <w:rPr>
          <w:rFonts w:ascii="Times New Roman" w:hAnsi="Times New Roman" w:cs="Times New Roman"/>
          <w:sz w:val="26"/>
          <w:szCs w:val="26"/>
          <w:lang w:val="ro-MO"/>
        </w:rPr>
        <w:t xml:space="preserve">intensitatea cu care aceasta se </w:t>
      </w:r>
      <w:r w:rsidRPr="00446F65">
        <w:rPr>
          <w:rFonts w:ascii="Times New Roman" w:hAnsi="Times New Roman" w:cs="Times New Roman"/>
          <w:sz w:val="26"/>
          <w:szCs w:val="26"/>
          <w:lang w:val="ro-MO"/>
        </w:rPr>
        <w:t xml:space="preserve">manifestă. În acest sens, este necesar să se </w:t>
      </w:r>
      <w:r w:rsidR="002662D5" w:rsidRPr="00446F65">
        <w:rPr>
          <w:rFonts w:ascii="Times New Roman" w:hAnsi="Times New Roman" w:cs="Times New Roman"/>
          <w:sz w:val="26"/>
          <w:szCs w:val="26"/>
          <w:lang w:val="ro-MO"/>
        </w:rPr>
        <w:t xml:space="preserve">evalueze </w:t>
      </w:r>
      <w:r w:rsidRPr="00446F65">
        <w:rPr>
          <w:rFonts w:ascii="Times New Roman" w:hAnsi="Times New Roman" w:cs="Times New Roman"/>
          <w:sz w:val="26"/>
          <w:szCs w:val="26"/>
          <w:lang w:val="ro-MO"/>
        </w:rPr>
        <w:t>dacă, pentru orizont</w:t>
      </w:r>
      <w:r w:rsidR="000D05C0" w:rsidRPr="00446F65">
        <w:rPr>
          <w:rFonts w:ascii="Times New Roman" w:hAnsi="Times New Roman" w:cs="Times New Roman"/>
          <w:sz w:val="26"/>
          <w:szCs w:val="26"/>
          <w:lang w:val="ro-MO"/>
        </w:rPr>
        <w:t xml:space="preserve">ul de timp al analizei, puterea </w:t>
      </w:r>
      <w:r w:rsidRPr="00446F65">
        <w:rPr>
          <w:rFonts w:ascii="Times New Roman" w:hAnsi="Times New Roman" w:cs="Times New Roman"/>
          <w:sz w:val="26"/>
          <w:szCs w:val="26"/>
          <w:lang w:val="ro-MO"/>
        </w:rPr>
        <w:t>de contracarare deţinută este suficientă pentru a contracara comportame</w:t>
      </w:r>
      <w:r w:rsidR="000D05C0" w:rsidRPr="00446F65">
        <w:rPr>
          <w:rFonts w:ascii="Times New Roman" w:hAnsi="Times New Roman" w:cs="Times New Roman"/>
          <w:sz w:val="26"/>
          <w:szCs w:val="26"/>
          <w:lang w:val="ro-MO"/>
        </w:rPr>
        <w:t xml:space="preserve">ntul abuziv al unui vânzător pe </w:t>
      </w:r>
      <w:r w:rsidRPr="00446F65">
        <w:rPr>
          <w:rFonts w:ascii="Times New Roman" w:hAnsi="Times New Roman" w:cs="Times New Roman"/>
          <w:sz w:val="26"/>
          <w:szCs w:val="26"/>
          <w:lang w:val="ro-MO"/>
        </w:rPr>
        <w:t>o piaţă de monopol. Practic, eficienţa puterii de contracarare a utilizatori</w:t>
      </w:r>
      <w:r w:rsidR="000D05C0" w:rsidRPr="00446F65">
        <w:rPr>
          <w:rFonts w:ascii="Times New Roman" w:hAnsi="Times New Roman" w:cs="Times New Roman"/>
          <w:sz w:val="26"/>
          <w:szCs w:val="26"/>
          <w:lang w:val="ro-MO"/>
        </w:rPr>
        <w:t xml:space="preserve">lor trebuie să indice faptul că </w:t>
      </w:r>
      <w:r w:rsidRPr="00446F65">
        <w:rPr>
          <w:rFonts w:ascii="Times New Roman" w:hAnsi="Times New Roman" w:cs="Times New Roman"/>
          <w:sz w:val="26"/>
          <w:szCs w:val="26"/>
          <w:lang w:val="ro-MO"/>
        </w:rPr>
        <w:t xml:space="preserve">furnizorul </w:t>
      </w:r>
      <w:r w:rsidR="000D05C0" w:rsidRPr="00446F65">
        <w:rPr>
          <w:rFonts w:ascii="Times New Roman" w:hAnsi="Times New Roman" w:cs="Times New Roman"/>
          <w:sz w:val="26"/>
          <w:szCs w:val="26"/>
          <w:lang w:val="ro-MO"/>
        </w:rPr>
        <w:t>ofertant</w:t>
      </w:r>
      <w:r w:rsidRPr="00446F65">
        <w:rPr>
          <w:rFonts w:ascii="Times New Roman" w:hAnsi="Times New Roman" w:cs="Times New Roman"/>
          <w:sz w:val="26"/>
          <w:szCs w:val="26"/>
          <w:lang w:val="ro-MO"/>
        </w:rPr>
        <w:t xml:space="preserve"> nu se poate comporta, într-o măsură apreciabilă, in</w:t>
      </w:r>
      <w:r w:rsidR="000D05C0" w:rsidRPr="00446F65">
        <w:rPr>
          <w:rFonts w:ascii="Times New Roman" w:hAnsi="Times New Roman" w:cs="Times New Roman"/>
          <w:sz w:val="26"/>
          <w:szCs w:val="26"/>
          <w:lang w:val="ro-MO"/>
        </w:rPr>
        <w:t xml:space="preserve">dependent faţă de clienţii săi, </w:t>
      </w:r>
      <w:r w:rsidRPr="00446F65">
        <w:rPr>
          <w:rFonts w:ascii="Times New Roman" w:hAnsi="Times New Roman" w:cs="Times New Roman"/>
          <w:sz w:val="26"/>
          <w:szCs w:val="26"/>
          <w:lang w:val="ro-MO"/>
        </w:rPr>
        <w:t>rezultând astfel ca nu are putere semnificativă pe piaţă. Puterea de cumpărare şi poziţia relativă de</w:t>
      </w:r>
      <w:r w:rsidR="00C4668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negociere depind de numeroşi factori, gradul de influenţă pe care un cumpărător îl poate exercita asupra</w:t>
      </w:r>
      <w:r w:rsidR="0078037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unui vânzător putând fi extrem de variat. Pentru ca puterea de contracarare a unui furnizor, în calitate</w:t>
      </w:r>
      <w:r w:rsidR="0078037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de cumpărător pe o anumită piaţă, să se manifeste în mod eficient, aceasta trebuie să fie suficient de</w:t>
      </w:r>
      <w:r w:rsidR="0078037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puternică pentru a permite obţinerea unor rezultate (de exemplu, condiţii contractuale rezonabile, tarife</w:t>
      </w:r>
      <w:r w:rsidR="0078037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care să nu fie excesive, </w:t>
      </w:r>
      <w:r w:rsidR="00780372" w:rsidRPr="00446F65">
        <w:rPr>
          <w:rFonts w:ascii="Times New Roman" w:hAnsi="Times New Roman" w:cs="Times New Roman"/>
          <w:sz w:val="26"/>
          <w:szCs w:val="26"/>
          <w:lang w:val="ro-MO"/>
        </w:rPr>
        <w:t>ş</w:t>
      </w:r>
      <w:r w:rsidRPr="00446F65">
        <w:rPr>
          <w:rFonts w:ascii="Times New Roman" w:hAnsi="Times New Roman" w:cs="Times New Roman"/>
          <w:sz w:val="26"/>
          <w:szCs w:val="26"/>
          <w:lang w:val="ro-MO"/>
        </w:rPr>
        <w:t>i la un nivel determinat pe baze competitive etc.) care să fie asemănătoare cu</w:t>
      </w:r>
      <w:r w:rsidR="0078037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rezultatele obţinute pe o piaţă competitivă.</w:t>
      </w:r>
    </w:p>
    <w:p w:rsidR="006C4C7A" w:rsidRPr="00446F65" w:rsidRDefault="006C4C7A"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Puterea de contracarare a unui utilizator se manifestă, de regul</w:t>
      </w:r>
      <w:r w:rsidR="000D05C0" w:rsidRPr="00446F65">
        <w:rPr>
          <w:rFonts w:ascii="Times New Roman" w:hAnsi="Times New Roman" w:cs="Times New Roman"/>
          <w:sz w:val="26"/>
          <w:szCs w:val="26"/>
          <w:lang w:val="ro-MO"/>
        </w:rPr>
        <w:t xml:space="preserve">ă, atunci când sunt îndeplinite </w:t>
      </w:r>
      <w:r w:rsidRPr="00446F65">
        <w:rPr>
          <w:rFonts w:ascii="Times New Roman" w:hAnsi="Times New Roman" w:cs="Times New Roman"/>
          <w:sz w:val="26"/>
          <w:szCs w:val="26"/>
          <w:lang w:val="ro-MO"/>
        </w:rPr>
        <w:t>una sau mai multe dintre următoarele condiţii:</w:t>
      </w:r>
    </w:p>
    <w:p w:rsidR="006C4C7A" w:rsidRPr="00446F65" w:rsidRDefault="006C4C7A" w:rsidP="00FC0005">
      <w:pPr>
        <w:pStyle w:val="ListParagraph"/>
        <w:numPr>
          <w:ilvl w:val="0"/>
          <w:numId w:val="28"/>
        </w:numPr>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utilizatorul cumpără un volum important din serviciile oferite de furnizor;</w:t>
      </w:r>
    </w:p>
    <w:p w:rsidR="006C4C7A" w:rsidRPr="00446F65" w:rsidRDefault="006C4C7A" w:rsidP="00FC0005">
      <w:pPr>
        <w:pStyle w:val="ListParagraph"/>
        <w:numPr>
          <w:ilvl w:val="0"/>
          <w:numId w:val="28"/>
        </w:numPr>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utilizatorul poate migra, cu costuri reduse, către surse alternative de achiziţionare</w:t>
      </w:r>
      <w:r w:rsidR="000D05C0" w:rsidRPr="00446F65">
        <w:rPr>
          <w:rFonts w:ascii="Times New Roman" w:hAnsi="Times New Roman" w:cs="Times New Roman"/>
          <w:sz w:val="26"/>
          <w:szCs w:val="26"/>
          <w:lang w:val="ro-MO"/>
        </w:rPr>
        <w:t xml:space="preserve"> a serviciilor </w:t>
      </w:r>
      <w:r w:rsidRPr="00446F65">
        <w:rPr>
          <w:rFonts w:ascii="Times New Roman" w:hAnsi="Times New Roman" w:cs="Times New Roman"/>
          <w:sz w:val="26"/>
          <w:szCs w:val="26"/>
          <w:lang w:val="ro-MO"/>
        </w:rPr>
        <w:t>respective;</w:t>
      </w:r>
    </w:p>
    <w:p w:rsidR="006C4C7A" w:rsidRPr="00446F65" w:rsidRDefault="006C4C7A" w:rsidP="00FC0005">
      <w:pPr>
        <w:pStyle w:val="ListParagraph"/>
        <w:numPr>
          <w:ilvl w:val="0"/>
          <w:numId w:val="28"/>
        </w:numPr>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utilizatorul ar putea furniza el însuşi serviciile respective.</w:t>
      </w:r>
    </w:p>
    <w:p w:rsidR="006C4C7A" w:rsidRPr="00446F65" w:rsidRDefault="006C4C7A"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Prin urmare, pe pia</w:t>
      </w:r>
      <w:r w:rsidR="000D05C0" w:rsidRPr="00446F65">
        <w:rPr>
          <w:rFonts w:ascii="Times New Roman" w:hAnsi="Times New Roman" w:cs="Times New Roman"/>
          <w:sz w:val="26"/>
          <w:szCs w:val="26"/>
          <w:lang w:val="ro-MO"/>
        </w:rPr>
        <w:t>ţa relevantă identificată, ANRCETI</w:t>
      </w:r>
      <w:r w:rsidRPr="00446F65">
        <w:rPr>
          <w:rFonts w:ascii="Times New Roman" w:hAnsi="Times New Roman" w:cs="Times New Roman"/>
          <w:sz w:val="26"/>
          <w:szCs w:val="26"/>
          <w:lang w:val="ro-MO"/>
        </w:rPr>
        <w:t xml:space="preserve"> a analizat măsura în care </w:t>
      </w:r>
      <w:r w:rsidR="00463EC0" w:rsidRPr="00446F65">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xml:space="preserve"> deţine suficientă putere de piaţă pentru a putea creşte peste nivelul</w:t>
      </w:r>
      <w:r w:rsidR="000D05C0" w:rsidRPr="00446F65">
        <w:rPr>
          <w:rFonts w:ascii="Times New Roman" w:hAnsi="Times New Roman" w:cs="Times New Roman"/>
          <w:sz w:val="26"/>
          <w:szCs w:val="26"/>
          <w:lang w:val="ro-MO"/>
        </w:rPr>
        <w:t xml:space="preserve"> competitiv, în mod profitabil, </w:t>
      </w:r>
      <w:r w:rsidRPr="00446F65">
        <w:rPr>
          <w:rFonts w:ascii="Times New Roman" w:hAnsi="Times New Roman" w:cs="Times New Roman"/>
          <w:sz w:val="26"/>
          <w:szCs w:val="26"/>
          <w:lang w:val="ro-MO"/>
        </w:rPr>
        <w:t xml:space="preserve">tarifele percepute celorlalţi </w:t>
      </w:r>
      <w:r w:rsidR="00951F8B" w:rsidRPr="00446F65">
        <w:rPr>
          <w:rFonts w:ascii="Times New Roman" w:hAnsi="Times New Roman" w:cs="Times New Roman"/>
          <w:sz w:val="26"/>
          <w:szCs w:val="26"/>
          <w:lang w:val="ro-MO"/>
        </w:rPr>
        <w:t>furnizor</w:t>
      </w:r>
      <w:r w:rsidRPr="00446F65">
        <w:rPr>
          <w:rFonts w:ascii="Times New Roman" w:hAnsi="Times New Roman" w:cs="Times New Roman"/>
          <w:sz w:val="26"/>
          <w:szCs w:val="26"/>
          <w:lang w:val="ro-MO"/>
        </w:rPr>
        <w:t>i, care reprezintă cererea. În con</w:t>
      </w:r>
      <w:r w:rsidR="000D05C0" w:rsidRPr="00446F65">
        <w:rPr>
          <w:rFonts w:ascii="Times New Roman" w:hAnsi="Times New Roman" w:cs="Times New Roman"/>
          <w:sz w:val="26"/>
          <w:szCs w:val="26"/>
          <w:lang w:val="ro-MO"/>
        </w:rPr>
        <w:t xml:space="preserve">diţiile în care se dovedeşte că </w:t>
      </w:r>
      <w:r w:rsidRPr="00446F65">
        <w:rPr>
          <w:rFonts w:ascii="Times New Roman" w:hAnsi="Times New Roman" w:cs="Times New Roman"/>
          <w:sz w:val="26"/>
          <w:szCs w:val="26"/>
          <w:lang w:val="ro-MO"/>
        </w:rPr>
        <w:t>furnizorul în cauză deţine putere semnificativă pe piaţă, atunci se justi</w:t>
      </w:r>
      <w:r w:rsidR="000D05C0" w:rsidRPr="00446F65">
        <w:rPr>
          <w:rFonts w:ascii="Times New Roman" w:hAnsi="Times New Roman" w:cs="Times New Roman"/>
          <w:sz w:val="26"/>
          <w:szCs w:val="26"/>
          <w:lang w:val="ro-MO"/>
        </w:rPr>
        <w:t xml:space="preserve">fică intervenţia agenției de </w:t>
      </w:r>
      <w:r w:rsidRPr="00446F65">
        <w:rPr>
          <w:rFonts w:ascii="Times New Roman" w:hAnsi="Times New Roman" w:cs="Times New Roman"/>
          <w:sz w:val="26"/>
          <w:szCs w:val="26"/>
          <w:lang w:val="ro-MO"/>
        </w:rPr>
        <w:t>reglementare în sensul prevenirii efectelor negative pe care comportam</w:t>
      </w:r>
      <w:r w:rsidR="000D05C0" w:rsidRPr="00446F65">
        <w:rPr>
          <w:rFonts w:ascii="Times New Roman" w:hAnsi="Times New Roman" w:cs="Times New Roman"/>
          <w:sz w:val="26"/>
          <w:szCs w:val="26"/>
          <w:lang w:val="ro-MO"/>
        </w:rPr>
        <w:t xml:space="preserve">entul acestuia le-ar putea avea </w:t>
      </w:r>
      <w:r w:rsidRPr="00446F65">
        <w:rPr>
          <w:rFonts w:ascii="Times New Roman" w:hAnsi="Times New Roman" w:cs="Times New Roman"/>
          <w:sz w:val="26"/>
          <w:szCs w:val="26"/>
          <w:lang w:val="ro-MO"/>
        </w:rPr>
        <w:t xml:space="preserve">asupra utilizatorilor la nivelul pieţei </w:t>
      </w:r>
      <w:r w:rsidR="000D05C0" w:rsidRPr="00446F65">
        <w:rPr>
          <w:rFonts w:ascii="Times New Roman" w:hAnsi="Times New Roman" w:cs="Times New Roman"/>
          <w:sz w:val="26"/>
          <w:szCs w:val="26"/>
          <w:lang w:val="ro-MO"/>
        </w:rPr>
        <w:t>cu ridicata</w:t>
      </w:r>
      <w:r w:rsidRPr="00446F65">
        <w:rPr>
          <w:rFonts w:ascii="Times New Roman" w:hAnsi="Times New Roman" w:cs="Times New Roman"/>
          <w:sz w:val="26"/>
          <w:szCs w:val="26"/>
          <w:lang w:val="ro-MO"/>
        </w:rPr>
        <w:t xml:space="preserve">, precum şi asupra </w:t>
      </w:r>
      <w:r w:rsidR="000D05C0" w:rsidRPr="00446F65">
        <w:rPr>
          <w:rFonts w:ascii="Times New Roman" w:hAnsi="Times New Roman" w:cs="Times New Roman"/>
          <w:sz w:val="26"/>
          <w:szCs w:val="26"/>
          <w:lang w:val="ro-MO"/>
        </w:rPr>
        <w:t>utilizatorilor finali</w:t>
      </w:r>
      <w:r w:rsidRPr="00446F65">
        <w:rPr>
          <w:rFonts w:ascii="Times New Roman" w:hAnsi="Times New Roman" w:cs="Times New Roman"/>
          <w:sz w:val="26"/>
          <w:szCs w:val="26"/>
          <w:lang w:val="ro-MO"/>
        </w:rPr>
        <w:t>.</w:t>
      </w:r>
    </w:p>
    <w:p w:rsidR="006C4C7A" w:rsidRPr="00446F65" w:rsidRDefault="006C4C7A"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Astfel, </w:t>
      </w:r>
      <w:r w:rsidR="00FC3E9E" w:rsidRPr="00446F65">
        <w:rPr>
          <w:rFonts w:ascii="Times New Roman" w:hAnsi="Times New Roman" w:cs="Times New Roman"/>
          <w:sz w:val="26"/>
          <w:szCs w:val="26"/>
          <w:lang w:val="ro-MO"/>
        </w:rPr>
        <w:t xml:space="preserve">ANRCETI consideră că </w:t>
      </w:r>
      <w:r w:rsidR="005A21BA" w:rsidRPr="00446F65">
        <w:rPr>
          <w:rFonts w:ascii="Times New Roman" w:hAnsi="Times New Roman" w:cs="Times New Roman"/>
          <w:sz w:val="26"/>
          <w:szCs w:val="26"/>
          <w:lang w:val="ro-MO"/>
        </w:rPr>
        <w:t>Moldtelecom</w:t>
      </w:r>
      <w:r w:rsidR="0078037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deţine contr</w:t>
      </w:r>
      <w:r w:rsidR="00AE16F7" w:rsidRPr="00446F65">
        <w:rPr>
          <w:rFonts w:ascii="Times New Roman" w:hAnsi="Times New Roman" w:cs="Times New Roman"/>
          <w:sz w:val="26"/>
          <w:szCs w:val="26"/>
          <w:lang w:val="ro-MO"/>
        </w:rPr>
        <w:t xml:space="preserve">olul asupra unei reţele </w:t>
      </w:r>
      <w:r w:rsidR="00FC3E9E" w:rsidRPr="00446F65">
        <w:rPr>
          <w:rFonts w:ascii="Times New Roman" w:hAnsi="Times New Roman" w:cs="Times New Roman"/>
          <w:sz w:val="26"/>
          <w:szCs w:val="26"/>
          <w:lang w:val="ro-MO"/>
        </w:rPr>
        <w:t xml:space="preserve">și infrastructuri </w:t>
      </w:r>
      <w:r w:rsidR="00AE16F7" w:rsidRPr="00446F65">
        <w:rPr>
          <w:rFonts w:ascii="Times New Roman" w:hAnsi="Times New Roman" w:cs="Times New Roman"/>
          <w:sz w:val="26"/>
          <w:szCs w:val="26"/>
          <w:lang w:val="ro-MO"/>
        </w:rPr>
        <w:t xml:space="preserve">greu de </w:t>
      </w:r>
      <w:r w:rsidR="00FC3E9E" w:rsidRPr="00446F65">
        <w:rPr>
          <w:rFonts w:ascii="Times New Roman" w:hAnsi="Times New Roman" w:cs="Times New Roman"/>
          <w:sz w:val="26"/>
          <w:szCs w:val="26"/>
          <w:lang w:val="ro-MO"/>
        </w:rPr>
        <w:t>dublat</w:t>
      </w:r>
      <w:r w:rsidRPr="00446F65">
        <w:rPr>
          <w:rFonts w:ascii="Times New Roman" w:hAnsi="Times New Roman" w:cs="Times New Roman"/>
          <w:sz w:val="26"/>
          <w:szCs w:val="26"/>
          <w:lang w:val="ro-MO"/>
        </w:rPr>
        <w:t xml:space="preserve">, </w:t>
      </w:r>
      <w:r w:rsidR="00FC3E9E" w:rsidRPr="00446F65">
        <w:rPr>
          <w:rFonts w:ascii="Times New Roman" w:hAnsi="Times New Roman" w:cs="Times New Roman"/>
          <w:sz w:val="26"/>
          <w:szCs w:val="26"/>
          <w:lang w:val="ro-MO"/>
        </w:rPr>
        <w:t xml:space="preserve">iar pentru furnizorii </w:t>
      </w:r>
      <w:r w:rsidRPr="00446F65">
        <w:rPr>
          <w:rFonts w:ascii="Times New Roman" w:hAnsi="Times New Roman" w:cs="Times New Roman"/>
          <w:sz w:val="26"/>
          <w:szCs w:val="26"/>
          <w:lang w:val="ro-MO"/>
        </w:rPr>
        <w:t xml:space="preserve">alternativi </w:t>
      </w:r>
      <w:r w:rsidR="00FC3E9E" w:rsidRPr="00446F65">
        <w:rPr>
          <w:rFonts w:ascii="Times New Roman" w:hAnsi="Times New Roman" w:cs="Times New Roman"/>
          <w:sz w:val="26"/>
          <w:szCs w:val="26"/>
          <w:lang w:val="ro-MO"/>
        </w:rPr>
        <w:t xml:space="preserve">este dificil </w:t>
      </w:r>
      <w:r w:rsidRPr="00446F65">
        <w:rPr>
          <w:rFonts w:ascii="Times New Roman" w:hAnsi="Times New Roman" w:cs="Times New Roman"/>
          <w:sz w:val="26"/>
          <w:szCs w:val="26"/>
          <w:lang w:val="ro-MO"/>
        </w:rPr>
        <w:t>de a av</w:t>
      </w:r>
      <w:r w:rsidR="000D05C0" w:rsidRPr="00446F65">
        <w:rPr>
          <w:rFonts w:ascii="Times New Roman" w:hAnsi="Times New Roman" w:cs="Times New Roman"/>
          <w:sz w:val="26"/>
          <w:szCs w:val="26"/>
          <w:lang w:val="ro-MO"/>
        </w:rPr>
        <w:t xml:space="preserve">ea acces la soluţii alternative </w:t>
      </w:r>
      <w:r w:rsidRPr="00446F65">
        <w:rPr>
          <w:rFonts w:ascii="Times New Roman" w:hAnsi="Times New Roman" w:cs="Times New Roman"/>
          <w:sz w:val="26"/>
          <w:szCs w:val="26"/>
          <w:lang w:val="ro-MO"/>
        </w:rPr>
        <w:t>viabile (reţele alternative de acces) pentru a putea ajunge în locaţi</w:t>
      </w:r>
      <w:r w:rsidR="000D05C0" w:rsidRPr="00446F65">
        <w:rPr>
          <w:rFonts w:ascii="Times New Roman" w:hAnsi="Times New Roman" w:cs="Times New Roman"/>
          <w:sz w:val="26"/>
          <w:szCs w:val="26"/>
          <w:lang w:val="ro-MO"/>
        </w:rPr>
        <w:t>ile utilizatorilor finali</w:t>
      </w:r>
      <w:r w:rsidR="00FC3E9E"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w:t>
      </w:r>
      <w:r w:rsidR="00FC3E9E" w:rsidRPr="00446F65">
        <w:rPr>
          <w:rFonts w:ascii="Times New Roman" w:hAnsi="Times New Roman" w:cs="Times New Roman"/>
          <w:sz w:val="26"/>
          <w:szCs w:val="26"/>
          <w:lang w:val="ro-MO"/>
        </w:rPr>
        <w:t xml:space="preserve">În </w:t>
      </w:r>
      <w:r w:rsidRPr="00446F65">
        <w:rPr>
          <w:rFonts w:ascii="Times New Roman" w:hAnsi="Times New Roman" w:cs="Times New Roman"/>
          <w:sz w:val="26"/>
          <w:szCs w:val="26"/>
          <w:lang w:val="ro-MO"/>
        </w:rPr>
        <w:t>absenţa</w:t>
      </w:r>
      <w:r w:rsidR="00F91355" w:rsidRPr="00446F65">
        <w:rPr>
          <w:rFonts w:ascii="Times New Roman" w:hAnsi="Times New Roman" w:cs="Times New Roman"/>
          <w:sz w:val="26"/>
          <w:szCs w:val="26"/>
          <w:lang w:val="ro-MO"/>
        </w:rPr>
        <w:t xml:space="preserve"> unor măsuri de reglementare </w:t>
      </w:r>
      <w:r w:rsidR="00F91355" w:rsidRPr="00446F65">
        <w:rPr>
          <w:rFonts w:ascii="Times New Roman" w:hAnsi="Times New Roman" w:cs="Times New Roman"/>
          <w:i/>
          <w:sz w:val="26"/>
          <w:szCs w:val="26"/>
          <w:lang w:val="ro-MO"/>
        </w:rPr>
        <w:t>ex</w:t>
      </w:r>
      <w:r w:rsidR="008342EA" w:rsidRPr="00446F65">
        <w:rPr>
          <w:rFonts w:ascii="Times New Roman" w:hAnsi="Times New Roman" w:cs="Times New Roman"/>
          <w:i/>
          <w:sz w:val="26"/>
          <w:szCs w:val="26"/>
          <w:lang w:val="ro-MO"/>
        </w:rPr>
        <w:t xml:space="preserve"> </w:t>
      </w:r>
      <w:r w:rsidRPr="00446F65">
        <w:rPr>
          <w:rFonts w:ascii="Times New Roman" w:hAnsi="Times New Roman" w:cs="Times New Roman"/>
          <w:i/>
          <w:sz w:val="26"/>
          <w:szCs w:val="26"/>
          <w:lang w:val="ro-MO"/>
        </w:rPr>
        <w:t>ante</w:t>
      </w:r>
      <w:r w:rsidRPr="00446F65">
        <w:rPr>
          <w:rFonts w:ascii="Times New Roman" w:hAnsi="Times New Roman" w:cs="Times New Roman"/>
          <w:sz w:val="26"/>
          <w:szCs w:val="26"/>
          <w:lang w:val="ro-MO"/>
        </w:rPr>
        <w:t>, puterea d</w:t>
      </w:r>
      <w:r w:rsidR="000D05C0" w:rsidRPr="00446F65">
        <w:rPr>
          <w:rFonts w:ascii="Times New Roman" w:hAnsi="Times New Roman" w:cs="Times New Roman"/>
          <w:sz w:val="26"/>
          <w:szCs w:val="26"/>
          <w:lang w:val="ro-MO"/>
        </w:rPr>
        <w:t xml:space="preserve">e contracarare a cumpărătorilor </w:t>
      </w:r>
      <w:r w:rsidRPr="00446F65">
        <w:rPr>
          <w:rFonts w:ascii="Times New Roman" w:hAnsi="Times New Roman" w:cs="Times New Roman"/>
          <w:sz w:val="26"/>
          <w:szCs w:val="26"/>
          <w:lang w:val="ro-MO"/>
        </w:rPr>
        <w:t xml:space="preserve">pe piaţa serviciilor de acces la </w:t>
      </w:r>
      <w:r w:rsidR="000D05C0" w:rsidRPr="00446F65">
        <w:rPr>
          <w:rFonts w:ascii="Times New Roman" w:hAnsi="Times New Roman" w:cs="Times New Roman"/>
          <w:sz w:val="26"/>
          <w:szCs w:val="26"/>
          <w:lang w:val="ro-MO"/>
        </w:rPr>
        <w:t>infrastructura de rețea</w:t>
      </w:r>
      <w:r w:rsidRPr="00446F65">
        <w:rPr>
          <w:rFonts w:ascii="Times New Roman" w:hAnsi="Times New Roman" w:cs="Times New Roman"/>
          <w:sz w:val="26"/>
          <w:szCs w:val="26"/>
          <w:lang w:val="ro-MO"/>
        </w:rPr>
        <w:t xml:space="preserve"> </w:t>
      </w:r>
      <w:r w:rsidR="00FC3E9E" w:rsidRPr="00446F65">
        <w:rPr>
          <w:rFonts w:ascii="Times New Roman" w:hAnsi="Times New Roman" w:cs="Times New Roman"/>
          <w:sz w:val="26"/>
          <w:szCs w:val="26"/>
          <w:lang w:val="ro-MO"/>
        </w:rPr>
        <w:t xml:space="preserve">este </w:t>
      </w:r>
      <w:r w:rsidR="000D05C0" w:rsidRPr="00446F65">
        <w:rPr>
          <w:rFonts w:ascii="Times New Roman" w:hAnsi="Times New Roman" w:cs="Times New Roman"/>
          <w:sz w:val="26"/>
          <w:szCs w:val="26"/>
          <w:lang w:val="ro-MO"/>
        </w:rPr>
        <w:t xml:space="preserve">insuficientă pentru a </w:t>
      </w:r>
      <w:r w:rsidR="00FC3E9E" w:rsidRPr="00446F65">
        <w:rPr>
          <w:rFonts w:ascii="Times New Roman" w:hAnsi="Times New Roman" w:cs="Times New Roman"/>
          <w:sz w:val="26"/>
          <w:szCs w:val="26"/>
          <w:lang w:val="ro-MO"/>
        </w:rPr>
        <w:t xml:space="preserve">avea efecte coercitive asupra Moldtelecom (pentru a-l </w:t>
      </w:r>
      <w:r w:rsidR="000D05C0" w:rsidRPr="00446F65">
        <w:rPr>
          <w:rFonts w:ascii="Times New Roman" w:hAnsi="Times New Roman" w:cs="Times New Roman"/>
          <w:sz w:val="26"/>
          <w:szCs w:val="26"/>
          <w:lang w:val="ro-MO"/>
        </w:rPr>
        <w:t xml:space="preserve">determina </w:t>
      </w:r>
      <w:r w:rsidRPr="00446F65">
        <w:rPr>
          <w:rFonts w:ascii="Times New Roman" w:hAnsi="Times New Roman" w:cs="Times New Roman"/>
          <w:sz w:val="26"/>
          <w:szCs w:val="26"/>
          <w:lang w:val="ro-MO"/>
        </w:rPr>
        <w:t xml:space="preserve">constrângeri concurenţiale care să împiedice manifestarea unui comportament independent </w:t>
      </w:r>
      <w:r w:rsidR="000D05C0" w:rsidRPr="00446F65">
        <w:rPr>
          <w:rFonts w:ascii="Times New Roman" w:hAnsi="Times New Roman" w:cs="Times New Roman"/>
          <w:sz w:val="26"/>
          <w:szCs w:val="26"/>
          <w:lang w:val="ro-MO"/>
        </w:rPr>
        <w:t xml:space="preserve">al acestuia </w:t>
      </w:r>
      <w:r w:rsidRPr="00446F65">
        <w:rPr>
          <w:rFonts w:ascii="Times New Roman" w:hAnsi="Times New Roman" w:cs="Times New Roman"/>
          <w:sz w:val="26"/>
          <w:szCs w:val="26"/>
          <w:lang w:val="ro-MO"/>
        </w:rPr>
        <w:t>faţă de clienţi, concurenţi şi utilizatorii finali</w:t>
      </w:r>
      <w:r w:rsidR="00FC3E9E"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Mai mult, datorită faptului că </w:t>
      </w:r>
      <w:r w:rsidR="00463EC0" w:rsidRPr="00446F65">
        <w:rPr>
          <w:rFonts w:ascii="Times New Roman" w:hAnsi="Times New Roman" w:cs="Times New Roman"/>
          <w:sz w:val="26"/>
          <w:szCs w:val="26"/>
          <w:lang w:val="ro-MO"/>
        </w:rPr>
        <w:t>Moldtelecom</w:t>
      </w:r>
      <w:r w:rsidR="000D05C0" w:rsidRPr="00446F65">
        <w:rPr>
          <w:rFonts w:ascii="Times New Roman" w:hAnsi="Times New Roman" w:cs="Times New Roman"/>
          <w:sz w:val="26"/>
          <w:szCs w:val="26"/>
          <w:lang w:val="ro-MO"/>
        </w:rPr>
        <w:t xml:space="preserve"> este </w:t>
      </w:r>
      <w:r w:rsidRPr="00446F65">
        <w:rPr>
          <w:rFonts w:ascii="Times New Roman" w:hAnsi="Times New Roman" w:cs="Times New Roman"/>
          <w:sz w:val="26"/>
          <w:szCs w:val="26"/>
          <w:lang w:val="ro-MO"/>
        </w:rPr>
        <w:t>într-o foarte mică măsură dependent de ceilalţi furnizori, o astfel de soluţie nu este credibilă.</w:t>
      </w:r>
    </w:p>
    <w:p w:rsidR="006C4C7A" w:rsidRPr="00446F65" w:rsidRDefault="006C4C7A"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Aşadar, în virtutea cotei de piaţă semnificative a </w:t>
      </w:r>
      <w:r w:rsidR="005A21BA" w:rsidRPr="00446F65">
        <w:rPr>
          <w:rFonts w:ascii="Times New Roman" w:hAnsi="Times New Roman" w:cs="Times New Roman"/>
          <w:sz w:val="26"/>
          <w:szCs w:val="26"/>
          <w:lang w:val="ro-MO"/>
        </w:rPr>
        <w:t>Moldtelecom</w:t>
      </w:r>
      <w:r w:rsidR="00780372" w:rsidRPr="00446F65">
        <w:rPr>
          <w:rFonts w:ascii="Times New Roman" w:hAnsi="Times New Roman" w:cs="Times New Roman"/>
          <w:sz w:val="26"/>
          <w:szCs w:val="26"/>
          <w:lang w:val="ro-MO"/>
        </w:rPr>
        <w:t xml:space="preserve"> </w:t>
      </w:r>
      <w:r w:rsidR="00AE16F7" w:rsidRPr="00446F65">
        <w:rPr>
          <w:rFonts w:ascii="Times New Roman" w:hAnsi="Times New Roman" w:cs="Times New Roman"/>
          <w:sz w:val="26"/>
          <w:szCs w:val="26"/>
          <w:lang w:val="ro-MO"/>
        </w:rPr>
        <w:t xml:space="preserve">pe piaţa </w:t>
      </w:r>
      <w:r w:rsidR="002662D5" w:rsidRPr="00446F65">
        <w:rPr>
          <w:rFonts w:ascii="Times New Roman" w:hAnsi="Times New Roman" w:cs="Times New Roman"/>
          <w:sz w:val="26"/>
          <w:szCs w:val="26"/>
          <w:lang w:val="ro-MO"/>
        </w:rPr>
        <w:t>furnizării cu ridicata de servicii de acces local la puncte fixe</w:t>
      </w:r>
      <w:r w:rsidR="000D05C0" w:rsidRPr="00446F65">
        <w:rPr>
          <w:rFonts w:ascii="Times New Roman" w:hAnsi="Times New Roman" w:cs="Times New Roman"/>
          <w:sz w:val="26"/>
          <w:szCs w:val="26"/>
          <w:lang w:val="ro-MO"/>
        </w:rPr>
        <w:t xml:space="preserve">, ANRCETI </w:t>
      </w:r>
      <w:r w:rsidRPr="00446F65">
        <w:rPr>
          <w:rFonts w:ascii="Times New Roman" w:hAnsi="Times New Roman" w:cs="Times New Roman"/>
          <w:sz w:val="26"/>
          <w:szCs w:val="26"/>
          <w:lang w:val="ro-MO"/>
        </w:rPr>
        <w:t xml:space="preserve">consideră că furnizorii care </w:t>
      </w:r>
      <w:r w:rsidR="000D05C0" w:rsidRPr="00446F65">
        <w:rPr>
          <w:rFonts w:ascii="Times New Roman" w:hAnsi="Times New Roman" w:cs="Times New Roman"/>
          <w:sz w:val="26"/>
          <w:szCs w:val="26"/>
          <w:lang w:val="ro-MO"/>
        </w:rPr>
        <w:t xml:space="preserve">au calitatea de clienţi ai </w:t>
      </w:r>
      <w:r w:rsidR="00463EC0" w:rsidRPr="00446F65">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indiferent de mărimea lor de piaţă, au o putere de negociere scăzută</w:t>
      </w:r>
      <w:r w:rsidR="0078037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comparativ cu </w:t>
      </w:r>
      <w:r w:rsidR="000D05C0" w:rsidRPr="00446F65">
        <w:rPr>
          <w:rFonts w:ascii="Times New Roman" w:hAnsi="Times New Roman" w:cs="Times New Roman"/>
          <w:sz w:val="26"/>
          <w:szCs w:val="26"/>
          <w:lang w:val="ro-MO"/>
        </w:rPr>
        <w:t>ace</w:t>
      </w:r>
      <w:r w:rsidR="00780372" w:rsidRPr="00446F65">
        <w:rPr>
          <w:rFonts w:ascii="Times New Roman" w:hAnsi="Times New Roman" w:cs="Times New Roman"/>
          <w:sz w:val="26"/>
          <w:szCs w:val="26"/>
          <w:lang w:val="ro-MO"/>
        </w:rPr>
        <w:t>a</w:t>
      </w:r>
      <w:r w:rsidR="000D05C0" w:rsidRPr="00446F65">
        <w:rPr>
          <w:rFonts w:ascii="Times New Roman" w:hAnsi="Times New Roman" w:cs="Times New Roman"/>
          <w:sz w:val="26"/>
          <w:szCs w:val="26"/>
          <w:lang w:val="ro-MO"/>
        </w:rPr>
        <w:t>sta</w:t>
      </w:r>
      <w:r w:rsidRPr="00446F65">
        <w:rPr>
          <w:rFonts w:ascii="Times New Roman" w:hAnsi="Times New Roman" w:cs="Times New Roman"/>
          <w:sz w:val="26"/>
          <w:szCs w:val="26"/>
          <w:lang w:val="ro-MO"/>
        </w:rPr>
        <w:t>.</w:t>
      </w:r>
    </w:p>
    <w:p w:rsidR="006C4C7A" w:rsidRPr="00446F65" w:rsidRDefault="006C4C7A"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De asemenea, în lipsa</w:t>
      </w:r>
      <w:r w:rsidR="009124E7" w:rsidRPr="00446F65">
        <w:rPr>
          <w:rFonts w:ascii="Times New Roman" w:hAnsi="Times New Roman" w:cs="Times New Roman"/>
          <w:sz w:val="26"/>
          <w:szCs w:val="26"/>
          <w:lang w:val="ro-MO"/>
        </w:rPr>
        <w:t xml:space="preserve"> unor măsuri de reglementare </w:t>
      </w:r>
      <w:r w:rsidR="009124E7" w:rsidRPr="00446F65">
        <w:rPr>
          <w:rFonts w:ascii="Times New Roman" w:hAnsi="Times New Roman" w:cs="Times New Roman"/>
          <w:i/>
          <w:sz w:val="26"/>
          <w:szCs w:val="26"/>
          <w:lang w:val="ro-MO"/>
        </w:rPr>
        <w:t>ex</w:t>
      </w:r>
      <w:r w:rsidR="008342EA" w:rsidRPr="00446F65">
        <w:rPr>
          <w:rFonts w:ascii="Times New Roman" w:hAnsi="Times New Roman" w:cs="Times New Roman"/>
          <w:i/>
          <w:sz w:val="26"/>
          <w:szCs w:val="26"/>
          <w:lang w:val="ro-MO"/>
        </w:rPr>
        <w:t xml:space="preserve"> </w:t>
      </w:r>
      <w:r w:rsidRPr="00446F65">
        <w:rPr>
          <w:rFonts w:ascii="Times New Roman" w:hAnsi="Times New Roman" w:cs="Times New Roman"/>
          <w:i/>
          <w:sz w:val="26"/>
          <w:szCs w:val="26"/>
          <w:lang w:val="ro-MO"/>
        </w:rPr>
        <w:t>ante</w:t>
      </w:r>
      <w:r w:rsidRPr="00446F65">
        <w:rPr>
          <w:rFonts w:ascii="Times New Roman" w:hAnsi="Times New Roman" w:cs="Times New Roman"/>
          <w:sz w:val="26"/>
          <w:szCs w:val="26"/>
          <w:lang w:val="ro-MO"/>
        </w:rPr>
        <w:t xml:space="preserve">, este puţin probabil ca </w:t>
      </w:r>
      <w:r w:rsidR="00463EC0" w:rsidRPr="00446F65">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xml:space="preserve"> să ofere servicii de acces la elemente de infrastructură </w:t>
      </w:r>
      <w:r w:rsidR="000D05C0" w:rsidRPr="00446F65">
        <w:rPr>
          <w:rFonts w:ascii="Times New Roman" w:hAnsi="Times New Roman" w:cs="Times New Roman"/>
          <w:sz w:val="26"/>
          <w:szCs w:val="26"/>
          <w:lang w:val="ro-MO"/>
        </w:rPr>
        <w:t>către terţi pe baze comerciale</w:t>
      </w:r>
      <w:r w:rsidR="00FC3E9E" w:rsidRPr="00446F65">
        <w:rPr>
          <w:rFonts w:ascii="Times New Roman" w:hAnsi="Times New Roman" w:cs="Times New Roman"/>
          <w:sz w:val="26"/>
          <w:szCs w:val="26"/>
          <w:lang w:val="ro-MO"/>
        </w:rPr>
        <w:t xml:space="preserve"> </w:t>
      </w:r>
      <w:r w:rsidR="00FC3E9E" w:rsidRPr="00446F65">
        <w:rPr>
          <w:rFonts w:ascii="Times New Roman" w:hAnsi="Times New Roman" w:cs="Times New Roman"/>
          <w:sz w:val="26"/>
          <w:szCs w:val="26"/>
          <w:lang w:val="ro-MO"/>
        </w:rPr>
        <w:lastRenderedPageBreak/>
        <w:t>la prețuri competitive</w:t>
      </w:r>
      <w:r w:rsidRPr="00446F65">
        <w:rPr>
          <w:rFonts w:ascii="Times New Roman" w:hAnsi="Times New Roman" w:cs="Times New Roman"/>
          <w:sz w:val="26"/>
          <w:szCs w:val="26"/>
          <w:lang w:val="ro-MO"/>
        </w:rPr>
        <w:t xml:space="preserve">. Mai mult, în condiţiile în care </w:t>
      </w:r>
      <w:r w:rsidR="00463EC0" w:rsidRPr="00446F65">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xml:space="preserve"> ar oferi astfel de servicii terţilor, datorită poziţiei avantaj</w:t>
      </w:r>
      <w:r w:rsidR="000D05C0" w:rsidRPr="00446F65">
        <w:rPr>
          <w:rFonts w:ascii="Times New Roman" w:hAnsi="Times New Roman" w:cs="Times New Roman"/>
          <w:sz w:val="26"/>
          <w:szCs w:val="26"/>
          <w:lang w:val="ro-MO"/>
        </w:rPr>
        <w:t xml:space="preserve">oase pe care o deţine pe piaţă, </w:t>
      </w:r>
      <w:r w:rsidRPr="00446F65">
        <w:rPr>
          <w:rFonts w:ascii="Times New Roman" w:hAnsi="Times New Roman" w:cs="Times New Roman"/>
          <w:sz w:val="26"/>
          <w:szCs w:val="26"/>
          <w:lang w:val="ro-MO"/>
        </w:rPr>
        <w:t>aceasta ar avea posibilitatea să impună furnizorilor alternativi tarifele şi c</w:t>
      </w:r>
      <w:r w:rsidR="00916E26" w:rsidRPr="00446F65">
        <w:rPr>
          <w:rFonts w:ascii="Times New Roman" w:hAnsi="Times New Roman" w:cs="Times New Roman"/>
          <w:sz w:val="26"/>
          <w:szCs w:val="26"/>
          <w:lang w:val="ro-MO"/>
        </w:rPr>
        <w:t xml:space="preserve">ondiţii contractuale pe care le </w:t>
      </w:r>
      <w:r w:rsidRPr="00446F65">
        <w:rPr>
          <w:rFonts w:ascii="Times New Roman" w:hAnsi="Times New Roman" w:cs="Times New Roman"/>
          <w:sz w:val="26"/>
          <w:szCs w:val="26"/>
          <w:lang w:val="ro-MO"/>
        </w:rPr>
        <w:t>doreşte, iar aceştia din urmă ar fi constrânşi să le accepte pentru a</w:t>
      </w:r>
      <w:r w:rsidR="00916E26" w:rsidRPr="00446F65">
        <w:rPr>
          <w:rFonts w:ascii="Times New Roman" w:hAnsi="Times New Roman" w:cs="Times New Roman"/>
          <w:sz w:val="26"/>
          <w:szCs w:val="26"/>
          <w:lang w:val="ro-MO"/>
        </w:rPr>
        <w:t xml:space="preserve"> avea acces la un număr cât mai </w:t>
      </w:r>
      <w:r w:rsidRPr="00446F65">
        <w:rPr>
          <w:rFonts w:ascii="Times New Roman" w:hAnsi="Times New Roman" w:cs="Times New Roman"/>
          <w:sz w:val="26"/>
          <w:szCs w:val="26"/>
          <w:lang w:val="ro-MO"/>
        </w:rPr>
        <w:t>mare de utilizatori finali.</w:t>
      </w:r>
    </w:p>
    <w:p w:rsidR="006C4C7A" w:rsidRPr="00446F65" w:rsidRDefault="006C4C7A"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Prin urmare, este puţin probabil ca furnizorii alternativ</w:t>
      </w:r>
      <w:r w:rsidR="00916E26" w:rsidRPr="00446F65">
        <w:rPr>
          <w:rFonts w:ascii="Times New Roman" w:hAnsi="Times New Roman" w:cs="Times New Roman"/>
          <w:sz w:val="26"/>
          <w:szCs w:val="26"/>
          <w:lang w:val="ro-MO"/>
        </w:rPr>
        <w:t xml:space="preserve">i să fie în măsură să determine </w:t>
      </w:r>
      <w:r w:rsidRPr="00446F65">
        <w:rPr>
          <w:rFonts w:ascii="Times New Roman" w:hAnsi="Times New Roman" w:cs="Times New Roman"/>
          <w:sz w:val="26"/>
          <w:szCs w:val="26"/>
          <w:lang w:val="ro-MO"/>
        </w:rPr>
        <w:t xml:space="preserve">constrângeri asupra comportamentului de piaţă al </w:t>
      </w:r>
      <w:r w:rsidR="00463EC0" w:rsidRPr="00446F65">
        <w:rPr>
          <w:rFonts w:ascii="Times New Roman" w:hAnsi="Times New Roman" w:cs="Times New Roman"/>
          <w:sz w:val="26"/>
          <w:szCs w:val="26"/>
          <w:lang w:val="ro-MO"/>
        </w:rPr>
        <w:t>Moldtelecom</w:t>
      </w:r>
      <w:r w:rsidR="00916E26" w:rsidRPr="00446F65">
        <w:rPr>
          <w:rFonts w:ascii="Times New Roman" w:hAnsi="Times New Roman" w:cs="Times New Roman"/>
          <w:sz w:val="26"/>
          <w:szCs w:val="26"/>
          <w:lang w:val="ro-MO"/>
        </w:rPr>
        <w:t xml:space="preserve">, ca răspuns la o posibilă </w:t>
      </w:r>
      <w:r w:rsidRPr="00446F65">
        <w:rPr>
          <w:rFonts w:ascii="Times New Roman" w:hAnsi="Times New Roman" w:cs="Times New Roman"/>
          <w:sz w:val="26"/>
          <w:szCs w:val="26"/>
          <w:lang w:val="ro-MO"/>
        </w:rPr>
        <w:t>schimbare a condiţiilor comerciale sau a termenilor contractuali privind serviciile de acces furnizate, prin</w:t>
      </w:r>
      <w:r w:rsidR="0078037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intrarea pe piaţă şi furnizarea, prin intermediul reţelei proprii de acces, a serviciilor de acces la internet</w:t>
      </w:r>
      <w:r w:rsidR="00710331"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în bandă largă.</w:t>
      </w:r>
    </w:p>
    <w:p w:rsidR="006C4C7A" w:rsidRPr="00446F65" w:rsidRDefault="006C4C7A"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Mai mult, ţinând seama că numărul buclelor achiziţionate până în</w:t>
      </w:r>
      <w:r w:rsidR="00916E26" w:rsidRPr="00446F65">
        <w:rPr>
          <w:rFonts w:ascii="Times New Roman" w:hAnsi="Times New Roman" w:cs="Times New Roman"/>
          <w:sz w:val="26"/>
          <w:szCs w:val="26"/>
          <w:lang w:val="ro-MO"/>
        </w:rPr>
        <w:t xml:space="preserve"> prezent este extrem de scăzut, </w:t>
      </w:r>
      <w:r w:rsidRPr="00446F65">
        <w:rPr>
          <w:rFonts w:ascii="Times New Roman" w:hAnsi="Times New Roman" w:cs="Times New Roman"/>
          <w:sz w:val="26"/>
          <w:szCs w:val="26"/>
          <w:lang w:val="ro-MO"/>
        </w:rPr>
        <w:t>furnizorii care beneficiază în prezent de acces la bucla locală nu pot</w:t>
      </w:r>
      <w:r w:rsidR="00916E26" w:rsidRPr="00446F65">
        <w:rPr>
          <w:rFonts w:ascii="Times New Roman" w:hAnsi="Times New Roman" w:cs="Times New Roman"/>
          <w:sz w:val="26"/>
          <w:szCs w:val="26"/>
          <w:lang w:val="ro-MO"/>
        </w:rPr>
        <w:t xml:space="preserve"> exercita o putere de negociere </w:t>
      </w:r>
      <w:r w:rsidRPr="00446F65">
        <w:rPr>
          <w:rFonts w:ascii="Times New Roman" w:hAnsi="Times New Roman" w:cs="Times New Roman"/>
          <w:sz w:val="26"/>
          <w:szCs w:val="26"/>
          <w:lang w:val="ro-MO"/>
        </w:rPr>
        <w:t xml:space="preserve">ridicată prin prisma volumului de servicii pe care îl cumpără de la </w:t>
      </w:r>
      <w:r w:rsidR="00463EC0" w:rsidRPr="00446F65">
        <w:rPr>
          <w:rFonts w:ascii="Times New Roman" w:hAnsi="Times New Roman" w:cs="Times New Roman"/>
          <w:sz w:val="26"/>
          <w:szCs w:val="26"/>
          <w:lang w:val="ro-MO"/>
        </w:rPr>
        <w:t>Moldtelecom</w:t>
      </w:r>
      <w:r w:rsidR="00916E26" w:rsidRPr="00446F65">
        <w:rPr>
          <w:rFonts w:ascii="Times New Roman" w:hAnsi="Times New Roman" w:cs="Times New Roman"/>
          <w:sz w:val="26"/>
          <w:szCs w:val="26"/>
          <w:lang w:val="ro-MO"/>
        </w:rPr>
        <w:t>.</w:t>
      </w:r>
    </w:p>
    <w:p w:rsidR="000357AE" w:rsidRDefault="000357AE" w:rsidP="00317915">
      <w:pPr>
        <w:tabs>
          <w:tab w:val="left" w:pos="426"/>
        </w:tabs>
        <w:spacing w:line="240" w:lineRule="auto"/>
        <w:ind w:firstLine="567"/>
        <w:jc w:val="both"/>
        <w:rPr>
          <w:rFonts w:ascii="Times New Roman" w:hAnsi="Times New Roman" w:cs="Times New Roman"/>
          <w:b/>
          <w:sz w:val="26"/>
          <w:szCs w:val="26"/>
          <w:lang w:val="ro-MO"/>
        </w:rPr>
      </w:pPr>
    </w:p>
    <w:p w:rsidR="00FC3E9E" w:rsidRPr="00446F65" w:rsidRDefault="00FC3E9E" w:rsidP="00317915">
      <w:pPr>
        <w:tabs>
          <w:tab w:val="left" w:pos="426"/>
        </w:tabs>
        <w:spacing w:line="240" w:lineRule="auto"/>
        <w:ind w:firstLine="567"/>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Concluzie:</w:t>
      </w:r>
      <w:r w:rsidRPr="00446F65">
        <w:rPr>
          <w:rFonts w:ascii="Times New Roman" w:hAnsi="Times New Roman" w:cs="Times New Roman"/>
          <w:sz w:val="26"/>
          <w:szCs w:val="26"/>
          <w:lang w:val="ro-MO"/>
        </w:rPr>
        <w:t xml:space="preserve"> Puterea de contracarare a utilizatorilor finali este re</w:t>
      </w:r>
      <w:r w:rsidR="009124E7" w:rsidRPr="00446F65">
        <w:rPr>
          <w:rFonts w:ascii="Times New Roman" w:hAnsi="Times New Roman" w:cs="Times New Roman"/>
          <w:sz w:val="26"/>
          <w:szCs w:val="26"/>
          <w:lang w:val="ro-MO"/>
        </w:rPr>
        <w:t>dusă în raport puterea de piață</w:t>
      </w:r>
      <w:r w:rsidRPr="00446F65">
        <w:rPr>
          <w:rFonts w:ascii="Times New Roman" w:hAnsi="Times New Roman" w:cs="Times New Roman"/>
          <w:sz w:val="26"/>
          <w:szCs w:val="26"/>
          <w:lang w:val="ro-MO"/>
        </w:rPr>
        <w:t xml:space="preserve"> a Moldtelecom ce decurge din controlul infrastructurii vas</w:t>
      </w:r>
      <w:r w:rsidR="002662D5" w:rsidRPr="00446F65">
        <w:rPr>
          <w:rFonts w:ascii="Times New Roman" w:hAnsi="Times New Roman" w:cs="Times New Roman"/>
          <w:sz w:val="26"/>
          <w:szCs w:val="26"/>
          <w:lang w:val="ro-MO"/>
        </w:rPr>
        <w:t>t</w:t>
      </w:r>
      <w:r w:rsidRPr="00446F65">
        <w:rPr>
          <w:rFonts w:ascii="Times New Roman" w:hAnsi="Times New Roman" w:cs="Times New Roman"/>
          <w:sz w:val="26"/>
          <w:szCs w:val="26"/>
          <w:lang w:val="ro-MO"/>
        </w:rPr>
        <w:t>e de rețea fixă și a infrastructurii asociate. De asemenea, puterea de contracarare a furnizorilor alternativi</w:t>
      </w:r>
      <w:r w:rsidR="002662D5"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în calitate de cumpărători sau potențiali cumpărători de servicii de acces la infrastructura Moldtelecom potrivită pe</w:t>
      </w:r>
      <w:r w:rsidR="005A5240" w:rsidRPr="00446F65">
        <w:rPr>
          <w:rFonts w:ascii="Times New Roman" w:hAnsi="Times New Roman" w:cs="Times New Roman"/>
          <w:sz w:val="26"/>
          <w:szCs w:val="26"/>
          <w:lang w:val="ro-MO"/>
        </w:rPr>
        <w:t>ntru accesul la servicii</w:t>
      </w:r>
      <w:r w:rsidRPr="00446F65">
        <w:rPr>
          <w:rFonts w:ascii="Times New Roman" w:hAnsi="Times New Roman" w:cs="Times New Roman"/>
          <w:sz w:val="26"/>
          <w:szCs w:val="26"/>
          <w:lang w:val="ro-MO"/>
        </w:rPr>
        <w:t xml:space="preserve"> </w:t>
      </w:r>
      <w:r w:rsidR="005A5240" w:rsidRPr="00446F65">
        <w:rPr>
          <w:rFonts w:ascii="Times New Roman" w:hAnsi="Times New Roman" w:cs="Times New Roman"/>
          <w:sz w:val="26"/>
          <w:szCs w:val="26"/>
          <w:lang w:val="ro-MO"/>
        </w:rPr>
        <w:t>în puncte fixe este redusă, din cauza puterii reduse de negociere a acestor tipuri de acces și independenței Moldtelecom de infrastructura altor furnizori.</w:t>
      </w:r>
    </w:p>
    <w:p w:rsidR="00CD7CD6" w:rsidRPr="00446F65" w:rsidRDefault="002F1357" w:rsidP="00317915">
      <w:pPr>
        <w:pStyle w:val="Heading5"/>
        <w:spacing w:line="240" w:lineRule="auto"/>
        <w:ind w:firstLine="720"/>
        <w:rPr>
          <w:rFonts w:ascii="Times New Roman" w:hAnsi="Times New Roman" w:cs="Times New Roman"/>
          <w:b/>
          <w:color w:val="auto"/>
          <w:sz w:val="26"/>
          <w:szCs w:val="26"/>
          <w:lang w:val="ro-MO"/>
        </w:rPr>
      </w:pPr>
      <w:bookmarkStart w:id="29" w:name="_Toc492907388"/>
      <w:r w:rsidRPr="00446F65">
        <w:rPr>
          <w:rFonts w:ascii="Times New Roman" w:hAnsi="Times New Roman" w:cs="Times New Roman"/>
          <w:b/>
          <w:color w:val="auto"/>
          <w:sz w:val="26"/>
          <w:szCs w:val="26"/>
          <w:lang w:val="ro-MO"/>
        </w:rPr>
        <w:t xml:space="preserve">3.2.2.5 </w:t>
      </w:r>
      <w:r w:rsidR="00CD7CD6" w:rsidRPr="00446F65">
        <w:rPr>
          <w:rFonts w:ascii="Times New Roman" w:hAnsi="Times New Roman" w:cs="Times New Roman"/>
          <w:b/>
          <w:color w:val="auto"/>
          <w:sz w:val="26"/>
          <w:szCs w:val="26"/>
          <w:lang w:val="ro-MO"/>
        </w:rPr>
        <w:t>Numărul furnizorilor de pe piaţă</w:t>
      </w:r>
      <w:bookmarkEnd w:id="29"/>
      <w:r w:rsidR="00CD7CD6" w:rsidRPr="00446F65">
        <w:rPr>
          <w:rFonts w:ascii="Times New Roman" w:hAnsi="Times New Roman" w:cs="Times New Roman"/>
          <w:b/>
          <w:color w:val="auto"/>
          <w:sz w:val="26"/>
          <w:szCs w:val="26"/>
          <w:lang w:val="ro-MO"/>
        </w:rPr>
        <w:t xml:space="preserve"> </w:t>
      </w:r>
    </w:p>
    <w:p w:rsidR="00CD7CD6" w:rsidRPr="00446F65" w:rsidRDefault="00CD7CD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Capacitatea unui furnizor cu o cotă de piaţă </w:t>
      </w:r>
      <w:r w:rsidR="005A0663" w:rsidRPr="00446F65">
        <w:rPr>
          <w:rFonts w:ascii="Times New Roman" w:hAnsi="Times New Roman" w:cs="Times New Roman"/>
          <w:sz w:val="26"/>
          <w:szCs w:val="26"/>
          <w:lang w:val="ro-MO"/>
        </w:rPr>
        <w:t>ridicată</w:t>
      </w:r>
      <w:r w:rsidRPr="00446F65">
        <w:rPr>
          <w:rFonts w:ascii="Times New Roman" w:hAnsi="Times New Roman" w:cs="Times New Roman"/>
          <w:sz w:val="26"/>
          <w:szCs w:val="26"/>
          <w:lang w:val="ro-MO"/>
        </w:rPr>
        <w:t xml:space="preserve"> de a acţiona independent de concurenţi depinde parţial de puterea relativă a acestora. În cazul în care restul pieţei este divizată într-un număr mare de jucători mici, furnizorul mare va fi capabil să acţioneze într-o măsură semnificativă în mod independent. Cu toate acestea, în cazul în care există doar câţiva jucători ai căror cote de piaţă nu sunt foarte mici, acesta nu va fi capabil să acţioneze independent. </w:t>
      </w:r>
    </w:p>
    <w:p w:rsidR="00103D22" w:rsidRPr="00446F65" w:rsidRDefault="00CD7CD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Cea mai bună măsură a concentrării pieţei este Indicele </w:t>
      </w:r>
      <w:proofErr w:type="spellStart"/>
      <w:r w:rsidR="00B878FF" w:rsidRPr="00FC0005">
        <w:rPr>
          <w:rFonts w:ascii="Times New Roman" w:hAnsi="Times New Roman" w:cs="Times New Roman"/>
          <w:i/>
          <w:sz w:val="26"/>
          <w:szCs w:val="26"/>
          <w:lang w:val="ro-MO"/>
        </w:rPr>
        <w:t>Herfindahl</w:t>
      </w:r>
      <w:proofErr w:type="spellEnd"/>
      <w:r w:rsidR="00B878FF" w:rsidRPr="00FC0005">
        <w:rPr>
          <w:rFonts w:ascii="Times New Roman" w:hAnsi="Times New Roman" w:cs="Times New Roman"/>
          <w:i/>
          <w:sz w:val="26"/>
          <w:szCs w:val="26"/>
          <w:lang w:val="ro-MO"/>
        </w:rPr>
        <w:t xml:space="preserve"> </w:t>
      </w:r>
      <w:r w:rsidR="00C46687" w:rsidRPr="00FC0005">
        <w:rPr>
          <w:rFonts w:ascii="Times New Roman" w:hAnsi="Times New Roman" w:cs="Times New Roman"/>
          <w:i/>
          <w:sz w:val="26"/>
          <w:szCs w:val="26"/>
          <w:lang w:val="ro-MO"/>
        </w:rPr>
        <w:t xml:space="preserve">- </w:t>
      </w:r>
      <w:proofErr w:type="spellStart"/>
      <w:r w:rsidRPr="00FC0005">
        <w:rPr>
          <w:rFonts w:ascii="Times New Roman" w:hAnsi="Times New Roman" w:cs="Times New Roman"/>
          <w:i/>
          <w:sz w:val="26"/>
          <w:szCs w:val="26"/>
          <w:lang w:val="ro-MO"/>
        </w:rPr>
        <w:t>Hirschman</w:t>
      </w:r>
      <w:proofErr w:type="spellEnd"/>
      <w:r w:rsidRPr="00446F65">
        <w:rPr>
          <w:rFonts w:ascii="Times New Roman" w:hAnsi="Times New Roman" w:cs="Times New Roman"/>
          <w:sz w:val="26"/>
          <w:szCs w:val="26"/>
          <w:lang w:val="ro-MO"/>
        </w:rPr>
        <w:t xml:space="preserve"> (IHH). IHH măsoară gradul de concentrare a pieţei prin intermediul unui indicator derivat suma pătratelor cotelor de piaţă ale furnizorilor. Un IHH aproape de 1 indică un nivel ridicat de concentrare a pieţei, un IHH ce tinde spre 0 indică un nivel scăzut de concentrare a pieţei, fapt care ar indica o concurenţă perfectă. </w:t>
      </w:r>
      <w:r w:rsidR="005A0663" w:rsidRPr="00446F65">
        <w:rPr>
          <w:rFonts w:ascii="Times New Roman" w:hAnsi="Times New Roman" w:cs="Times New Roman"/>
          <w:sz w:val="26"/>
          <w:szCs w:val="26"/>
          <w:lang w:val="ro-MO"/>
        </w:rPr>
        <w:t>U</w:t>
      </w:r>
      <w:r w:rsidRPr="00446F65">
        <w:rPr>
          <w:rFonts w:ascii="Times New Roman" w:hAnsi="Times New Roman" w:cs="Times New Roman"/>
          <w:sz w:val="26"/>
          <w:szCs w:val="26"/>
          <w:lang w:val="ro-MO"/>
        </w:rPr>
        <w:t xml:space="preserve">n IHH mare poate fi considerat ca probă </w:t>
      </w:r>
      <w:r w:rsidRPr="00446F65">
        <w:rPr>
          <w:rFonts w:ascii="Times New Roman" w:hAnsi="Times New Roman" w:cs="Times New Roman"/>
          <w:i/>
          <w:iCs/>
          <w:sz w:val="26"/>
          <w:szCs w:val="26"/>
          <w:lang w:val="ro-MO"/>
        </w:rPr>
        <w:t xml:space="preserve">suplimentară </w:t>
      </w:r>
      <w:r w:rsidR="006000D3" w:rsidRPr="00446F65">
        <w:rPr>
          <w:rFonts w:ascii="Times New Roman" w:hAnsi="Times New Roman" w:cs="Times New Roman"/>
          <w:sz w:val="26"/>
          <w:szCs w:val="26"/>
          <w:lang w:val="ro-MO"/>
        </w:rPr>
        <w:t xml:space="preserve">în sprijinul PSP. </w:t>
      </w:r>
    </w:p>
    <w:p w:rsidR="00E505E1" w:rsidRPr="00446F65" w:rsidRDefault="00E505E1"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205DD9" w:rsidRPr="00446F65" w:rsidRDefault="0065240C" w:rsidP="00317915">
      <w:pPr>
        <w:autoSpaceDE w:val="0"/>
        <w:autoSpaceDN w:val="0"/>
        <w:adjustRightInd w:val="0"/>
        <w:spacing w:after="0" w:line="240" w:lineRule="auto"/>
        <w:ind w:firstLine="720"/>
        <w:jc w:val="both"/>
        <w:rPr>
          <w:rFonts w:ascii="Times New Roman" w:hAnsi="Times New Roman" w:cs="Times New Roman"/>
          <w:b/>
          <w:sz w:val="26"/>
          <w:szCs w:val="26"/>
          <w:lang w:val="ro-MO"/>
        </w:rPr>
      </w:pPr>
      <w:r w:rsidRPr="00446F65">
        <w:rPr>
          <w:rFonts w:ascii="Times New Roman" w:hAnsi="Times New Roman" w:cs="Times New Roman"/>
          <w:b/>
          <w:sz w:val="26"/>
          <w:szCs w:val="26"/>
          <w:lang w:val="ro-MO"/>
        </w:rPr>
        <w:t xml:space="preserve">Tabel 1: Calcularea Indicelui </w:t>
      </w:r>
      <w:r w:rsidR="00E505E1" w:rsidRPr="00446F65">
        <w:rPr>
          <w:rFonts w:ascii="Times New Roman" w:hAnsi="Times New Roman" w:cs="Times New Roman"/>
          <w:b/>
          <w:sz w:val="26"/>
          <w:szCs w:val="26"/>
          <w:lang w:val="ro-MO"/>
        </w:rPr>
        <w:t>I</w:t>
      </w:r>
      <w:r w:rsidRPr="00446F65">
        <w:rPr>
          <w:rFonts w:ascii="Times New Roman" w:hAnsi="Times New Roman" w:cs="Times New Roman"/>
          <w:b/>
          <w:sz w:val="26"/>
          <w:szCs w:val="26"/>
          <w:lang w:val="ro-MO"/>
        </w:rPr>
        <w:t>HH pentru piaţa de acce</w:t>
      </w:r>
      <w:r w:rsidR="006000D3" w:rsidRPr="00446F65">
        <w:rPr>
          <w:rFonts w:ascii="Times New Roman" w:hAnsi="Times New Roman" w:cs="Times New Roman"/>
          <w:b/>
          <w:sz w:val="26"/>
          <w:szCs w:val="26"/>
          <w:lang w:val="ro-MO"/>
        </w:rPr>
        <w:t>s</w:t>
      </w:r>
      <w:r w:rsidR="00244DD8" w:rsidRPr="00446F65">
        <w:rPr>
          <w:rFonts w:ascii="Times New Roman" w:hAnsi="Times New Roman" w:cs="Times New Roman"/>
          <w:b/>
          <w:sz w:val="26"/>
          <w:szCs w:val="26"/>
          <w:lang w:val="ro-MO"/>
        </w:rPr>
        <w:t xml:space="preserve"> la </w:t>
      </w:r>
      <w:r w:rsidR="00F132FF" w:rsidRPr="00446F65">
        <w:rPr>
          <w:rFonts w:ascii="Times New Roman" w:hAnsi="Times New Roman" w:cs="Times New Roman"/>
          <w:b/>
          <w:sz w:val="26"/>
          <w:szCs w:val="26"/>
          <w:lang w:val="ro-MO"/>
        </w:rPr>
        <w:t>I</w:t>
      </w:r>
      <w:r w:rsidR="00244DD8" w:rsidRPr="00446F65">
        <w:rPr>
          <w:rFonts w:ascii="Times New Roman" w:hAnsi="Times New Roman" w:cs="Times New Roman"/>
          <w:b/>
          <w:sz w:val="26"/>
          <w:szCs w:val="26"/>
          <w:lang w:val="ro-MO"/>
        </w:rPr>
        <w:t>nternet</w:t>
      </w:r>
      <w:r w:rsidR="006000D3" w:rsidRPr="00446F65">
        <w:rPr>
          <w:rFonts w:ascii="Times New Roman" w:hAnsi="Times New Roman" w:cs="Times New Roman"/>
          <w:b/>
          <w:sz w:val="26"/>
          <w:szCs w:val="26"/>
          <w:lang w:val="ro-MO"/>
        </w:rPr>
        <w:t xml:space="preserve"> cu amănuntul la punct</w:t>
      </w:r>
      <w:r w:rsidR="00F132FF" w:rsidRPr="00446F65">
        <w:rPr>
          <w:rFonts w:ascii="Times New Roman" w:hAnsi="Times New Roman" w:cs="Times New Roman"/>
          <w:b/>
          <w:sz w:val="26"/>
          <w:szCs w:val="26"/>
          <w:lang w:val="ro-MO"/>
        </w:rPr>
        <w:t>e</w:t>
      </w:r>
      <w:r w:rsidR="006000D3" w:rsidRPr="00446F65">
        <w:rPr>
          <w:rFonts w:ascii="Times New Roman" w:hAnsi="Times New Roman" w:cs="Times New Roman"/>
          <w:b/>
          <w:sz w:val="26"/>
          <w:szCs w:val="26"/>
          <w:lang w:val="ro-MO"/>
        </w:rPr>
        <w:t xml:space="preserve"> fix</w:t>
      </w:r>
      <w:r w:rsidR="00F132FF" w:rsidRPr="00446F65">
        <w:rPr>
          <w:rFonts w:ascii="Times New Roman" w:hAnsi="Times New Roman" w:cs="Times New Roman"/>
          <w:b/>
          <w:sz w:val="26"/>
          <w:szCs w:val="26"/>
          <w:lang w:val="ro-MO"/>
        </w:rPr>
        <w:t>e</w:t>
      </w:r>
      <w:r w:rsidR="006000D3" w:rsidRPr="00446F65">
        <w:rPr>
          <w:rFonts w:ascii="Times New Roman" w:hAnsi="Times New Roman" w:cs="Times New Roman"/>
          <w:b/>
          <w:sz w:val="26"/>
          <w:szCs w:val="26"/>
          <w:lang w:val="ro-MO"/>
        </w:rPr>
        <w:t xml:space="preserve"> </w:t>
      </w:r>
    </w:p>
    <w:p w:rsidR="00E762D8" w:rsidRPr="00446F65" w:rsidRDefault="00E762D8" w:rsidP="00317915">
      <w:pPr>
        <w:autoSpaceDE w:val="0"/>
        <w:autoSpaceDN w:val="0"/>
        <w:adjustRightInd w:val="0"/>
        <w:spacing w:after="0" w:line="240" w:lineRule="auto"/>
        <w:ind w:firstLine="567"/>
        <w:jc w:val="both"/>
        <w:rPr>
          <w:rFonts w:ascii="Times New Roman" w:hAnsi="Times New Roman" w:cs="Times New Roman"/>
          <w:b/>
          <w:sz w:val="26"/>
          <w:szCs w:val="26"/>
          <w:lang w:val="ro-MO"/>
        </w:rPr>
      </w:pPr>
    </w:p>
    <w:tbl>
      <w:tblPr>
        <w:tblW w:w="0" w:type="auto"/>
        <w:tblInd w:w="124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977"/>
        <w:gridCol w:w="2552"/>
        <w:gridCol w:w="1842"/>
      </w:tblGrid>
      <w:tr w:rsidR="00813A55" w:rsidRPr="00446F65" w:rsidTr="000357AE">
        <w:trPr>
          <w:trHeight w:val="176"/>
        </w:trPr>
        <w:tc>
          <w:tcPr>
            <w:tcW w:w="2977" w:type="dxa"/>
            <w:tcBorders>
              <w:top w:val="single" w:sz="6" w:space="0" w:color="000000"/>
              <w:bottom w:val="single" w:sz="8" w:space="0" w:color="000000"/>
              <w:right w:val="single" w:sz="6" w:space="0" w:color="000000"/>
            </w:tcBorders>
            <w:shd w:val="clear" w:color="auto" w:fill="FFFFFF"/>
          </w:tcPr>
          <w:p w:rsidR="00CD7CD6" w:rsidRPr="00446F65" w:rsidRDefault="00487307" w:rsidP="00317915">
            <w:pPr>
              <w:autoSpaceDE w:val="0"/>
              <w:autoSpaceDN w:val="0"/>
              <w:adjustRightInd w:val="0"/>
              <w:spacing w:after="0" w:line="240" w:lineRule="auto"/>
              <w:jc w:val="center"/>
              <w:rPr>
                <w:rFonts w:ascii="Times New Roman" w:hAnsi="Times New Roman" w:cs="Times New Roman"/>
                <w:sz w:val="26"/>
                <w:szCs w:val="26"/>
                <w:lang w:val="ro-MO"/>
              </w:rPr>
            </w:pPr>
            <w:r w:rsidRPr="00446F65">
              <w:rPr>
                <w:rFonts w:ascii="Times New Roman" w:hAnsi="Times New Roman" w:cs="Times New Roman"/>
                <w:b/>
                <w:bCs/>
                <w:sz w:val="26"/>
                <w:szCs w:val="26"/>
                <w:lang w:val="ro-MO"/>
              </w:rPr>
              <w:t>F</w:t>
            </w:r>
            <w:r w:rsidR="00CD7CD6" w:rsidRPr="00446F65">
              <w:rPr>
                <w:rFonts w:ascii="Times New Roman" w:hAnsi="Times New Roman" w:cs="Times New Roman"/>
                <w:b/>
                <w:bCs/>
                <w:sz w:val="26"/>
                <w:szCs w:val="26"/>
                <w:lang w:val="ro-MO"/>
              </w:rPr>
              <w:t>urnizor</w:t>
            </w:r>
            <w:r w:rsidRPr="00446F65">
              <w:rPr>
                <w:rFonts w:ascii="Times New Roman" w:hAnsi="Times New Roman" w:cs="Times New Roman"/>
                <w:b/>
                <w:bCs/>
                <w:sz w:val="26"/>
                <w:szCs w:val="26"/>
                <w:lang w:val="ro-MO"/>
              </w:rPr>
              <w:t>i</w:t>
            </w:r>
          </w:p>
        </w:tc>
        <w:tc>
          <w:tcPr>
            <w:tcW w:w="2552" w:type="dxa"/>
            <w:tcBorders>
              <w:top w:val="single" w:sz="8" w:space="0" w:color="000000"/>
              <w:left w:val="single" w:sz="8" w:space="0" w:color="000000"/>
              <w:bottom w:val="single" w:sz="8" w:space="0" w:color="000000"/>
              <w:right w:val="single" w:sz="6" w:space="0" w:color="000000"/>
            </w:tcBorders>
            <w:shd w:val="clear" w:color="auto" w:fill="FFFFFF"/>
          </w:tcPr>
          <w:p w:rsidR="00CD7CD6" w:rsidRPr="00446F65" w:rsidRDefault="00205DD9" w:rsidP="00317915">
            <w:pPr>
              <w:autoSpaceDE w:val="0"/>
              <w:autoSpaceDN w:val="0"/>
              <w:adjustRightInd w:val="0"/>
              <w:spacing w:after="0" w:line="240" w:lineRule="auto"/>
              <w:jc w:val="center"/>
              <w:rPr>
                <w:rFonts w:ascii="Times New Roman" w:hAnsi="Times New Roman" w:cs="Times New Roman"/>
                <w:sz w:val="26"/>
                <w:szCs w:val="26"/>
                <w:lang w:val="ro-MO"/>
              </w:rPr>
            </w:pPr>
            <w:r w:rsidRPr="00446F65">
              <w:rPr>
                <w:rFonts w:ascii="Times New Roman" w:hAnsi="Times New Roman" w:cs="Times New Roman"/>
                <w:b/>
                <w:bCs/>
                <w:sz w:val="26"/>
                <w:szCs w:val="26"/>
                <w:lang w:val="ro-MO"/>
              </w:rPr>
              <w:t xml:space="preserve">Cota </w:t>
            </w:r>
            <w:r w:rsidR="00547A6B" w:rsidRPr="00446F65">
              <w:rPr>
                <w:rFonts w:ascii="Times New Roman" w:hAnsi="Times New Roman" w:cs="Times New Roman"/>
                <w:b/>
                <w:bCs/>
                <w:sz w:val="26"/>
                <w:szCs w:val="26"/>
                <w:lang w:val="ro-MO"/>
              </w:rPr>
              <w:t>2016</w:t>
            </w:r>
            <w:r w:rsidR="00AC2ACA" w:rsidRPr="00446F65">
              <w:rPr>
                <w:rFonts w:ascii="Times New Roman" w:hAnsi="Times New Roman" w:cs="Times New Roman"/>
                <w:b/>
                <w:bCs/>
                <w:sz w:val="26"/>
                <w:szCs w:val="26"/>
                <w:lang w:val="ro-MO"/>
              </w:rPr>
              <w:t xml:space="preserve"> </w:t>
            </w:r>
            <w:r w:rsidR="00CD7CD6" w:rsidRPr="00446F65">
              <w:rPr>
                <w:rFonts w:ascii="Times New Roman" w:hAnsi="Times New Roman" w:cs="Times New Roman"/>
                <w:b/>
                <w:bCs/>
                <w:sz w:val="26"/>
                <w:szCs w:val="26"/>
                <w:lang w:val="ro-MO"/>
              </w:rPr>
              <w:t>(Si)</w:t>
            </w:r>
          </w:p>
        </w:tc>
        <w:tc>
          <w:tcPr>
            <w:tcW w:w="1842" w:type="dxa"/>
            <w:tcBorders>
              <w:top w:val="single" w:sz="8" w:space="0" w:color="000000"/>
              <w:left w:val="single" w:sz="6" w:space="0" w:color="000000"/>
              <w:bottom w:val="single" w:sz="8" w:space="0" w:color="000000"/>
              <w:right w:val="single" w:sz="8" w:space="0" w:color="000000"/>
            </w:tcBorders>
            <w:shd w:val="clear" w:color="auto" w:fill="FFFFFF"/>
          </w:tcPr>
          <w:p w:rsidR="00CD7CD6" w:rsidRPr="00446F65" w:rsidRDefault="00CD7CD6" w:rsidP="00317915">
            <w:pPr>
              <w:autoSpaceDE w:val="0"/>
              <w:autoSpaceDN w:val="0"/>
              <w:adjustRightInd w:val="0"/>
              <w:spacing w:after="0" w:line="240" w:lineRule="auto"/>
              <w:jc w:val="center"/>
              <w:rPr>
                <w:rFonts w:ascii="Times New Roman" w:hAnsi="Times New Roman" w:cs="Times New Roman"/>
                <w:sz w:val="26"/>
                <w:szCs w:val="26"/>
                <w:lang w:val="ro-MO"/>
              </w:rPr>
            </w:pPr>
            <w:r w:rsidRPr="00446F65">
              <w:rPr>
                <w:rFonts w:ascii="Times New Roman" w:hAnsi="Times New Roman" w:cs="Times New Roman"/>
                <w:b/>
                <w:bCs/>
                <w:sz w:val="26"/>
                <w:szCs w:val="26"/>
                <w:lang w:val="ro-MO"/>
              </w:rPr>
              <w:t>Si</w:t>
            </w:r>
            <w:r w:rsidRPr="00446F65">
              <w:rPr>
                <w:rFonts w:ascii="Times New Roman" w:hAnsi="Times New Roman" w:cs="Times New Roman"/>
                <w:b/>
                <w:bCs/>
                <w:sz w:val="26"/>
                <w:szCs w:val="26"/>
                <w:vertAlign w:val="superscript"/>
                <w:lang w:val="ro-MO"/>
              </w:rPr>
              <w:t>2</w:t>
            </w:r>
          </w:p>
        </w:tc>
      </w:tr>
      <w:tr w:rsidR="00813A55" w:rsidRPr="00446F65" w:rsidTr="000357AE">
        <w:trPr>
          <w:trHeight w:val="131"/>
        </w:trPr>
        <w:tc>
          <w:tcPr>
            <w:tcW w:w="2977" w:type="dxa"/>
            <w:tcBorders>
              <w:top w:val="single" w:sz="8" w:space="0" w:color="000000"/>
              <w:left w:val="single" w:sz="8" w:space="0" w:color="000000"/>
              <w:bottom w:val="single" w:sz="6" w:space="0" w:color="000000"/>
              <w:right w:val="single" w:sz="6" w:space="0" w:color="000000"/>
            </w:tcBorders>
            <w:shd w:val="clear" w:color="auto" w:fill="FFFFFF"/>
          </w:tcPr>
          <w:p w:rsidR="00CD7CD6" w:rsidRPr="00446F65" w:rsidRDefault="00CD7CD6"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Moldtelecom </w:t>
            </w:r>
          </w:p>
        </w:tc>
        <w:tc>
          <w:tcPr>
            <w:tcW w:w="2552" w:type="dxa"/>
            <w:tcBorders>
              <w:top w:val="single" w:sz="8" w:space="0" w:color="000000"/>
              <w:left w:val="single" w:sz="8" w:space="0" w:color="000000"/>
              <w:bottom w:val="single" w:sz="6" w:space="0" w:color="000000"/>
              <w:right w:val="single" w:sz="6" w:space="0" w:color="000000"/>
            </w:tcBorders>
            <w:shd w:val="clear" w:color="auto" w:fill="FFFFFF"/>
          </w:tcPr>
          <w:p w:rsidR="00CD7CD6" w:rsidRPr="00446F65" w:rsidRDefault="00E505E1" w:rsidP="00317915">
            <w:pPr>
              <w:autoSpaceDE w:val="0"/>
              <w:autoSpaceDN w:val="0"/>
              <w:adjustRightInd w:val="0"/>
              <w:spacing w:after="0" w:line="240" w:lineRule="auto"/>
              <w:ind w:right="318"/>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65,3</w:t>
            </w:r>
            <w:r w:rsidR="00CD7CD6" w:rsidRPr="00446F65">
              <w:rPr>
                <w:rFonts w:ascii="Times New Roman" w:hAnsi="Times New Roman" w:cs="Times New Roman"/>
                <w:sz w:val="26"/>
                <w:szCs w:val="26"/>
                <w:lang w:val="ro-MO"/>
              </w:rPr>
              <w:t xml:space="preserve">% </w:t>
            </w:r>
          </w:p>
        </w:tc>
        <w:tc>
          <w:tcPr>
            <w:tcW w:w="1842" w:type="dxa"/>
            <w:tcBorders>
              <w:top w:val="single" w:sz="8" w:space="0" w:color="000000"/>
              <w:left w:val="single" w:sz="6" w:space="0" w:color="000000"/>
              <w:bottom w:val="single" w:sz="6" w:space="0" w:color="000000"/>
              <w:right w:val="single" w:sz="8" w:space="0" w:color="000000"/>
            </w:tcBorders>
            <w:shd w:val="clear" w:color="auto" w:fill="FFFFFF"/>
          </w:tcPr>
          <w:p w:rsidR="00CD7CD6" w:rsidRPr="00446F65" w:rsidRDefault="002E23F7" w:rsidP="00317915">
            <w:pPr>
              <w:autoSpaceDE w:val="0"/>
              <w:autoSpaceDN w:val="0"/>
              <w:adjustRightInd w:val="0"/>
              <w:spacing w:after="0" w:line="240" w:lineRule="auto"/>
              <w:ind w:right="318"/>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0</w:t>
            </w:r>
            <w:r w:rsidR="00E505E1" w:rsidRPr="00446F65">
              <w:rPr>
                <w:rFonts w:ascii="Times New Roman" w:hAnsi="Times New Roman" w:cs="Times New Roman"/>
                <w:sz w:val="26"/>
                <w:szCs w:val="26"/>
                <w:lang w:val="ro-MO"/>
              </w:rPr>
              <w:t>,4264</w:t>
            </w:r>
          </w:p>
        </w:tc>
      </w:tr>
      <w:tr w:rsidR="00813A55" w:rsidRPr="00446F65" w:rsidTr="000357AE">
        <w:trPr>
          <w:trHeight w:val="131"/>
        </w:trPr>
        <w:tc>
          <w:tcPr>
            <w:tcW w:w="2977" w:type="dxa"/>
            <w:tcBorders>
              <w:top w:val="single" w:sz="6" w:space="0" w:color="000000"/>
              <w:left w:val="single" w:sz="8" w:space="0" w:color="000000"/>
              <w:bottom w:val="single" w:sz="6" w:space="0" w:color="000000"/>
              <w:right w:val="single" w:sz="6" w:space="0" w:color="000000"/>
            </w:tcBorders>
            <w:shd w:val="clear" w:color="auto" w:fill="FFFFFF"/>
          </w:tcPr>
          <w:p w:rsidR="008E082B" w:rsidRPr="00446F65" w:rsidRDefault="006000D3"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Star</w:t>
            </w:r>
            <w:r w:rsidR="00FD2880" w:rsidRPr="00446F65">
              <w:rPr>
                <w:rFonts w:ascii="Times New Roman" w:hAnsi="Times New Roman" w:cs="Times New Roman"/>
                <w:sz w:val="26"/>
                <w:szCs w:val="26"/>
                <w:lang w:val="ro-MO"/>
              </w:rPr>
              <w:t>N</w:t>
            </w:r>
            <w:r w:rsidRPr="00446F65">
              <w:rPr>
                <w:rFonts w:ascii="Times New Roman" w:hAnsi="Times New Roman" w:cs="Times New Roman"/>
                <w:sz w:val="26"/>
                <w:szCs w:val="26"/>
                <w:lang w:val="ro-MO"/>
              </w:rPr>
              <w:t>et</w:t>
            </w:r>
            <w:r w:rsidR="0039718E" w:rsidRPr="00446F65">
              <w:rPr>
                <w:rFonts w:ascii="Times New Roman" w:hAnsi="Times New Roman" w:cs="Times New Roman"/>
                <w:sz w:val="26"/>
                <w:szCs w:val="26"/>
                <w:lang w:val="ro-MO"/>
              </w:rPr>
              <w:t xml:space="preserve"> </w:t>
            </w:r>
          </w:p>
        </w:tc>
        <w:tc>
          <w:tcPr>
            <w:tcW w:w="2552" w:type="dxa"/>
            <w:tcBorders>
              <w:top w:val="single" w:sz="6" w:space="0" w:color="000000"/>
              <w:left w:val="single" w:sz="8" w:space="0" w:color="000000"/>
              <w:bottom w:val="single" w:sz="6" w:space="0" w:color="000000"/>
              <w:right w:val="single" w:sz="6" w:space="0" w:color="000000"/>
            </w:tcBorders>
            <w:shd w:val="clear" w:color="auto" w:fill="FFFFFF"/>
          </w:tcPr>
          <w:p w:rsidR="008E082B" w:rsidRPr="00446F65" w:rsidRDefault="00E505E1" w:rsidP="00317915">
            <w:pPr>
              <w:autoSpaceDE w:val="0"/>
              <w:autoSpaceDN w:val="0"/>
              <w:adjustRightInd w:val="0"/>
              <w:spacing w:after="0" w:line="240" w:lineRule="auto"/>
              <w:ind w:right="318"/>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20</w:t>
            </w:r>
            <w:r w:rsidR="008E082B" w:rsidRPr="00446F65">
              <w:rPr>
                <w:rFonts w:ascii="Times New Roman" w:hAnsi="Times New Roman" w:cs="Times New Roman"/>
                <w:sz w:val="26"/>
                <w:szCs w:val="26"/>
                <w:lang w:val="ro-MO"/>
              </w:rPr>
              <w:t>%</w:t>
            </w:r>
          </w:p>
        </w:tc>
        <w:tc>
          <w:tcPr>
            <w:tcW w:w="1842" w:type="dxa"/>
            <w:tcBorders>
              <w:top w:val="single" w:sz="6" w:space="0" w:color="000000"/>
              <w:left w:val="single" w:sz="6" w:space="0" w:color="000000"/>
              <w:bottom w:val="single" w:sz="6" w:space="0" w:color="000000"/>
              <w:right w:val="single" w:sz="8" w:space="0" w:color="000000"/>
            </w:tcBorders>
            <w:shd w:val="clear" w:color="auto" w:fill="FFFFFF"/>
          </w:tcPr>
          <w:p w:rsidR="008E082B" w:rsidRPr="00446F65" w:rsidRDefault="00E505E1" w:rsidP="00317915">
            <w:pPr>
              <w:autoSpaceDE w:val="0"/>
              <w:autoSpaceDN w:val="0"/>
              <w:adjustRightInd w:val="0"/>
              <w:spacing w:after="0" w:line="240" w:lineRule="auto"/>
              <w:ind w:right="318"/>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0</w:t>
            </w:r>
            <w:r w:rsidR="000357AE">
              <w:rPr>
                <w:rFonts w:ascii="Times New Roman" w:hAnsi="Times New Roman" w:cs="Times New Roman"/>
                <w:sz w:val="26"/>
                <w:szCs w:val="26"/>
                <w:lang w:val="ro-MO"/>
              </w:rPr>
              <w:t>,04</w:t>
            </w:r>
          </w:p>
        </w:tc>
      </w:tr>
      <w:tr w:rsidR="00813A55" w:rsidRPr="00446F65" w:rsidTr="000357AE">
        <w:trPr>
          <w:trHeight w:val="131"/>
        </w:trPr>
        <w:tc>
          <w:tcPr>
            <w:tcW w:w="2977" w:type="dxa"/>
            <w:tcBorders>
              <w:top w:val="single" w:sz="6" w:space="0" w:color="000000"/>
              <w:left w:val="single" w:sz="8" w:space="0" w:color="000000"/>
              <w:bottom w:val="single" w:sz="6" w:space="0" w:color="000000"/>
              <w:right w:val="single" w:sz="6" w:space="0" w:color="000000"/>
            </w:tcBorders>
            <w:shd w:val="clear" w:color="auto" w:fill="FFFFFF"/>
          </w:tcPr>
          <w:p w:rsidR="00CD7CD6" w:rsidRPr="00446F65" w:rsidRDefault="008E082B"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Alţi furnizori</w:t>
            </w:r>
          </w:p>
        </w:tc>
        <w:tc>
          <w:tcPr>
            <w:tcW w:w="2552" w:type="dxa"/>
            <w:tcBorders>
              <w:top w:val="single" w:sz="6" w:space="0" w:color="000000"/>
              <w:left w:val="single" w:sz="8" w:space="0" w:color="000000"/>
              <w:bottom w:val="single" w:sz="6" w:space="0" w:color="000000"/>
              <w:right w:val="single" w:sz="6" w:space="0" w:color="000000"/>
            </w:tcBorders>
            <w:shd w:val="clear" w:color="auto" w:fill="FFFFFF"/>
          </w:tcPr>
          <w:p w:rsidR="00CD7CD6" w:rsidRPr="00446F65" w:rsidRDefault="00E505E1" w:rsidP="00317915">
            <w:pPr>
              <w:autoSpaceDE w:val="0"/>
              <w:autoSpaceDN w:val="0"/>
              <w:adjustRightInd w:val="0"/>
              <w:spacing w:after="0" w:line="240" w:lineRule="auto"/>
              <w:ind w:right="318"/>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14,7</w:t>
            </w:r>
            <w:r w:rsidR="00CD7CD6" w:rsidRPr="00446F65">
              <w:rPr>
                <w:rFonts w:ascii="Times New Roman" w:hAnsi="Times New Roman" w:cs="Times New Roman"/>
                <w:sz w:val="26"/>
                <w:szCs w:val="26"/>
                <w:lang w:val="ro-MO"/>
              </w:rPr>
              <w:t>%</w:t>
            </w:r>
          </w:p>
        </w:tc>
        <w:tc>
          <w:tcPr>
            <w:tcW w:w="1842" w:type="dxa"/>
            <w:tcBorders>
              <w:top w:val="single" w:sz="6" w:space="0" w:color="000000"/>
              <w:left w:val="single" w:sz="6" w:space="0" w:color="000000"/>
              <w:bottom w:val="single" w:sz="6" w:space="0" w:color="000000"/>
              <w:right w:val="single" w:sz="8" w:space="0" w:color="000000"/>
            </w:tcBorders>
            <w:shd w:val="clear" w:color="auto" w:fill="FFFFFF"/>
          </w:tcPr>
          <w:p w:rsidR="00CD7CD6" w:rsidRPr="00446F65" w:rsidRDefault="008E082B" w:rsidP="00317915">
            <w:pPr>
              <w:autoSpaceDE w:val="0"/>
              <w:autoSpaceDN w:val="0"/>
              <w:adjustRightInd w:val="0"/>
              <w:spacing w:after="0" w:line="240" w:lineRule="auto"/>
              <w:ind w:right="318"/>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0,</w:t>
            </w:r>
            <w:r w:rsidR="00E505E1" w:rsidRPr="00446F65">
              <w:rPr>
                <w:rFonts w:ascii="Times New Roman" w:hAnsi="Times New Roman" w:cs="Times New Roman"/>
                <w:sz w:val="26"/>
                <w:szCs w:val="26"/>
                <w:lang w:val="ro-MO"/>
              </w:rPr>
              <w:t>0216</w:t>
            </w:r>
          </w:p>
        </w:tc>
      </w:tr>
      <w:tr w:rsidR="00813A55" w:rsidRPr="00446F65" w:rsidTr="000357AE">
        <w:trPr>
          <w:trHeight w:val="133"/>
        </w:trPr>
        <w:tc>
          <w:tcPr>
            <w:tcW w:w="2977" w:type="dxa"/>
            <w:tcBorders>
              <w:top w:val="single" w:sz="6" w:space="0" w:color="000000"/>
              <w:left w:val="single" w:sz="8" w:space="0" w:color="000000"/>
              <w:bottom w:val="single" w:sz="8" w:space="0" w:color="000000"/>
              <w:right w:val="single" w:sz="6" w:space="0" w:color="000000"/>
            </w:tcBorders>
            <w:shd w:val="clear" w:color="auto" w:fill="FFFFFF"/>
          </w:tcPr>
          <w:p w:rsidR="008E082B" w:rsidRPr="0070657D" w:rsidRDefault="008E082B" w:rsidP="00317915">
            <w:pPr>
              <w:autoSpaceDE w:val="0"/>
              <w:autoSpaceDN w:val="0"/>
              <w:adjustRightInd w:val="0"/>
              <w:spacing w:after="0" w:line="240" w:lineRule="auto"/>
              <w:jc w:val="both"/>
              <w:rPr>
                <w:rFonts w:ascii="Times New Roman" w:hAnsi="Times New Roman" w:cs="Times New Roman"/>
                <w:b/>
                <w:sz w:val="26"/>
                <w:szCs w:val="26"/>
                <w:lang w:val="ro-MO"/>
              </w:rPr>
            </w:pPr>
            <w:r w:rsidRPr="0070657D">
              <w:rPr>
                <w:rFonts w:ascii="Times New Roman" w:hAnsi="Times New Roman" w:cs="Times New Roman"/>
                <w:b/>
                <w:sz w:val="26"/>
                <w:szCs w:val="26"/>
                <w:lang w:val="ro-MO"/>
              </w:rPr>
              <w:t>Sumar</w:t>
            </w:r>
            <w:r w:rsidR="000357AE" w:rsidRPr="0070657D">
              <w:rPr>
                <w:rFonts w:ascii="Times New Roman" w:hAnsi="Times New Roman" w:cs="Times New Roman"/>
                <w:b/>
                <w:sz w:val="26"/>
                <w:szCs w:val="26"/>
                <w:lang w:val="ro-MO"/>
              </w:rPr>
              <w:t>:</w:t>
            </w:r>
            <w:r w:rsidRPr="0070657D">
              <w:rPr>
                <w:rFonts w:ascii="Times New Roman" w:hAnsi="Times New Roman" w:cs="Times New Roman"/>
                <w:b/>
                <w:sz w:val="26"/>
                <w:szCs w:val="26"/>
                <w:lang w:val="ro-MO"/>
              </w:rPr>
              <w:t xml:space="preserve"> </w:t>
            </w:r>
          </w:p>
        </w:tc>
        <w:tc>
          <w:tcPr>
            <w:tcW w:w="2552" w:type="dxa"/>
            <w:tcBorders>
              <w:top w:val="single" w:sz="6" w:space="0" w:color="000000"/>
              <w:left w:val="single" w:sz="8" w:space="0" w:color="000000"/>
              <w:bottom w:val="single" w:sz="8" w:space="0" w:color="000000"/>
              <w:right w:val="single" w:sz="6" w:space="0" w:color="000000"/>
            </w:tcBorders>
            <w:shd w:val="clear" w:color="auto" w:fill="FFFFFF"/>
          </w:tcPr>
          <w:p w:rsidR="008E082B" w:rsidRPr="000357AE" w:rsidRDefault="008E082B" w:rsidP="00317915">
            <w:pPr>
              <w:autoSpaceDE w:val="0"/>
              <w:autoSpaceDN w:val="0"/>
              <w:adjustRightInd w:val="0"/>
              <w:spacing w:after="0" w:line="240" w:lineRule="auto"/>
              <w:ind w:right="318"/>
              <w:jc w:val="right"/>
              <w:rPr>
                <w:rFonts w:ascii="Times New Roman" w:hAnsi="Times New Roman" w:cs="Times New Roman"/>
                <w:b/>
                <w:sz w:val="26"/>
                <w:szCs w:val="26"/>
                <w:lang w:val="ro-MO"/>
              </w:rPr>
            </w:pPr>
            <w:r w:rsidRPr="000357AE">
              <w:rPr>
                <w:rFonts w:ascii="Times New Roman" w:hAnsi="Times New Roman" w:cs="Times New Roman"/>
                <w:b/>
                <w:sz w:val="26"/>
                <w:szCs w:val="26"/>
                <w:lang w:val="ro-MO"/>
              </w:rPr>
              <w:t>100%</w:t>
            </w:r>
          </w:p>
        </w:tc>
        <w:tc>
          <w:tcPr>
            <w:tcW w:w="1842" w:type="dxa"/>
            <w:tcBorders>
              <w:top w:val="single" w:sz="6" w:space="0" w:color="000000"/>
              <w:left w:val="single" w:sz="6" w:space="0" w:color="000000"/>
              <w:bottom w:val="single" w:sz="8" w:space="0" w:color="000000"/>
              <w:right w:val="single" w:sz="8" w:space="0" w:color="000000"/>
            </w:tcBorders>
            <w:shd w:val="clear" w:color="auto" w:fill="FFFFFF"/>
          </w:tcPr>
          <w:p w:rsidR="008E082B" w:rsidRPr="00446F65" w:rsidRDefault="008E082B" w:rsidP="00317915">
            <w:pPr>
              <w:autoSpaceDE w:val="0"/>
              <w:autoSpaceDN w:val="0"/>
              <w:adjustRightInd w:val="0"/>
              <w:spacing w:after="0" w:line="240" w:lineRule="auto"/>
              <w:ind w:right="318"/>
              <w:jc w:val="right"/>
              <w:rPr>
                <w:rFonts w:ascii="Times New Roman" w:hAnsi="Times New Roman" w:cs="Times New Roman"/>
                <w:sz w:val="26"/>
                <w:szCs w:val="26"/>
                <w:lang w:val="ro-MO"/>
              </w:rPr>
            </w:pPr>
            <w:r w:rsidRPr="00446F65">
              <w:rPr>
                <w:rFonts w:ascii="Times New Roman" w:hAnsi="Times New Roman" w:cs="Times New Roman"/>
                <w:b/>
                <w:bCs/>
                <w:sz w:val="26"/>
                <w:szCs w:val="26"/>
                <w:lang w:val="ro-MO"/>
              </w:rPr>
              <w:t>0</w:t>
            </w:r>
            <w:r w:rsidR="00E505E1" w:rsidRPr="00446F65">
              <w:rPr>
                <w:rFonts w:ascii="Times New Roman" w:hAnsi="Times New Roman" w:cs="Times New Roman"/>
                <w:b/>
                <w:bCs/>
                <w:sz w:val="26"/>
                <w:szCs w:val="26"/>
                <w:lang w:val="ro-MO"/>
              </w:rPr>
              <w:t>,488</w:t>
            </w:r>
          </w:p>
        </w:tc>
      </w:tr>
    </w:tbl>
    <w:p w:rsidR="00244DD8" w:rsidRPr="00446F65" w:rsidRDefault="00244DD8" w:rsidP="00317915">
      <w:pPr>
        <w:autoSpaceDE w:val="0"/>
        <w:autoSpaceDN w:val="0"/>
        <w:adjustRightInd w:val="0"/>
        <w:spacing w:after="0" w:line="240" w:lineRule="auto"/>
        <w:ind w:firstLine="567"/>
        <w:jc w:val="both"/>
        <w:rPr>
          <w:rFonts w:ascii="Times New Roman" w:hAnsi="Times New Roman" w:cs="Times New Roman"/>
          <w:b/>
          <w:sz w:val="26"/>
          <w:szCs w:val="26"/>
          <w:lang w:val="ro-MO"/>
        </w:rPr>
      </w:pPr>
    </w:p>
    <w:p w:rsidR="00244DD8" w:rsidRPr="00446F65" w:rsidRDefault="00244DD8" w:rsidP="00317915">
      <w:pPr>
        <w:autoSpaceDE w:val="0"/>
        <w:autoSpaceDN w:val="0"/>
        <w:adjustRightInd w:val="0"/>
        <w:spacing w:after="0" w:line="240" w:lineRule="auto"/>
        <w:ind w:firstLine="720"/>
        <w:jc w:val="both"/>
        <w:rPr>
          <w:rFonts w:ascii="Times New Roman" w:hAnsi="Times New Roman" w:cs="Times New Roman"/>
          <w:b/>
          <w:sz w:val="26"/>
          <w:szCs w:val="26"/>
          <w:lang w:val="ro-MO"/>
        </w:rPr>
      </w:pPr>
      <w:r w:rsidRPr="00446F65">
        <w:rPr>
          <w:rFonts w:ascii="Times New Roman" w:hAnsi="Times New Roman" w:cs="Times New Roman"/>
          <w:b/>
          <w:sz w:val="26"/>
          <w:szCs w:val="26"/>
          <w:lang w:val="ro-MO"/>
        </w:rPr>
        <w:t xml:space="preserve">Tabel 2: Calcularea Indicelui IHH pentru piaţa furnizării cu ridicata de servicii de acces local la puncte fixe </w:t>
      </w:r>
    </w:p>
    <w:p w:rsidR="00244DD8" w:rsidRPr="00446F65" w:rsidRDefault="00244DD8" w:rsidP="00317915">
      <w:pPr>
        <w:autoSpaceDE w:val="0"/>
        <w:autoSpaceDN w:val="0"/>
        <w:adjustRightInd w:val="0"/>
        <w:spacing w:after="0" w:line="240" w:lineRule="auto"/>
        <w:ind w:firstLine="567"/>
        <w:jc w:val="both"/>
        <w:rPr>
          <w:rFonts w:ascii="Times New Roman" w:hAnsi="Times New Roman" w:cs="Times New Roman"/>
          <w:b/>
          <w:sz w:val="26"/>
          <w:szCs w:val="26"/>
          <w:lang w:val="ro-MO"/>
        </w:rPr>
      </w:pPr>
    </w:p>
    <w:tbl>
      <w:tblPr>
        <w:tblW w:w="0" w:type="auto"/>
        <w:tblInd w:w="124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977"/>
        <w:gridCol w:w="2552"/>
        <w:gridCol w:w="1842"/>
      </w:tblGrid>
      <w:tr w:rsidR="00244DD8" w:rsidRPr="00446F65" w:rsidTr="0070657D">
        <w:trPr>
          <w:trHeight w:val="176"/>
        </w:trPr>
        <w:tc>
          <w:tcPr>
            <w:tcW w:w="2977" w:type="dxa"/>
            <w:tcBorders>
              <w:top w:val="single" w:sz="6" w:space="0" w:color="000000"/>
              <w:bottom w:val="single" w:sz="8" w:space="0" w:color="000000"/>
              <w:right w:val="single" w:sz="6" w:space="0" w:color="000000"/>
            </w:tcBorders>
            <w:shd w:val="clear" w:color="auto" w:fill="FFFFFF"/>
          </w:tcPr>
          <w:p w:rsidR="00244DD8" w:rsidRPr="00446F65" w:rsidRDefault="00244DD8" w:rsidP="00317915">
            <w:pPr>
              <w:autoSpaceDE w:val="0"/>
              <w:autoSpaceDN w:val="0"/>
              <w:adjustRightInd w:val="0"/>
              <w:spacing w:after="0" w:line="240" w:lineRule="auto"/>
              <w:jc w:val="center"/>
              <w:rPr>
                <w:rFonts w:ascii="Times New Roman" w:hAnsi="Times New Roman" w:cs="Times New Roman"/>
                <w:sz w:val="26"/>
                <w:szCs w:val="26"/>
                <w:lang w:val="ro-MO"/>
              </w:rPr>
            </w:pPr>
            <w:r w:rsidRPr="00446F65">
              <w:rPr>
                <w:rFonts w:ascii="Times New Roman" w:hAnsi="Times New Roman" w:cs="Times New Roman"/>
                <w:b/>
                <w:bCs/>
                <w:sz w:val="26"/>
                <w:szCs w:val="26"/>
                <w:lang w:val="ro-MO"/>
              </w:rPr>
              <w:lastRenderedPageBreak/>
              <w:t>Furnizori</w:t>
            </w:r>
          </w:p>
        </w:tc>
        <w:tc>
          <w:tcPr>
            <w:tcW w:w="2552" w:type="dxa"/>
            <w:tcBorders>
              <w:top w:val="single" w:sz="8" w:space="0" w:color="000000"/>
              <w:left w:val="single" w:sz="8" w:space="0" w:color="000000"/>
              <w:bottom w:val="single" w:sz="8" w:space="0" w:color="000000"/>
              <w:right w:val="single" w:sz="6" w:space="0" w:color="000000"/>
            </w:tcBorders>
            <w:shd w:val="clear" w:color="auto" w:fill="FFFFFF"/>
          </w:tcPr>
          <w:p w:rsidR="00244DD8" w:rsidRPr="00446F65" w:rsidRDefault="00244DD8" w:rsidP="00317915">
            <w:pPr>
              <w:autoSpaceDE w:val="0"/>
              <w:autoSpaceDN w:val="0"/>
              <w:adjustRightInd w:val="0"/>
              <w:spacing w:after="0" w:line="240" w:lineRule="auto"/>
              <w:jc w:val="center"/>
              <w:rPr>
                <w:rFonts w:ascii="Times New Roman" w:hAnsi="Times New Roman" w:cs="Times New Roman"/>
                <w:sz w:val="26"/>
                <w:szCs w:val="26"/>
                <w:lang w:val="ro-MO"/>
              </w:rPr>
            </w:pPr>
            <w:r w:rsidRPr="00446F65">
              <w:rPr>
                <w:rFonts w:ascii="Times New Roman" w:hAnsi="Times New Roman" w:cs="Times New Roman"/>
                <w:b/>
                <w:bCs/>
                <w:sz w:val="26"/>
                <w:szCs w:val="26"/>
                <w:lang w:val="ro-MO"/>
              </w:rPr>
              <w:t>Cota 2016</w:t>
            </w:r>
            <w:r w:rsidR="00AC2ACA" w:rsidRPr="00446F65">
              <w:rPr>
                <w:rFonts w:ascii="Times New Roman" w:hAnsi="Times New Roman" w:cs="Times New Roman"/>
                <w:b/>
                <w:bCs/>
                <w:sz w:val="26"/>
                <w:szCs w:val="26"/>
                <w:lang w:val="ro-MO"/>
              </w:rPr>
              <w:t xml:space="preserve"> </w:t>
            </w:r>
            <w:r w:rsidRPr="00446F65">
              <w:rPr>
                <w:rFonts w:ascii="Times New Roman" w:hAnsi="Times New Roman" w:cs="Times New Roman"/>
                <w:b/>
                <w:bCs/>
                <w:sz w:val="26"/>
                <w:szCs w:val="26"/>
                <w:lang w:val="ro-MO"/>
              </w:rPr>
              <w:t>(Si)</w:t>
            </w:r>
          </w:p>
        </w:tc>
        <w:tc>
          <w:tcPr>
            <w:tcW w:w="1842" w:type="dxa"/>
            <w:tcBorders>
              <w:top w:val="single" w:sz="8" w:space="0" w:color="000000"/>
              <w:left w:val="single" w:sz="6" w:space="0" w:color="000000"/>
              <w:bottom w:val="single" w:sz="8" w:space="0" w:color="000000"/>
              <w:right w:val="single" w:sz="8" w:space="0" w:color="000000"/>
            </w:tcBorders>
            <w:shd w:val="clear" w:color="auto" w:fill="FFFFFF"/>
          </w:tcPr>
          <w:p w:rsidR="00244DD8" w:rsidRPr="00446F65" w:rsidRDefault="00244DD8" w:rsidP="00317915">
            <w:pPr>
              <w:autoSpaceDE w:val="0"/>
              <w:autoSpaceDN w:val="0"/>
              <w:adjustRightInd w:val="0"/>
              <w:spacing w:after="0" w:line="240" w:lineRule="auto"/>
              <w:jc w:val="center"/>
              <w:rPr>
                <w:rFonts w:ascii="Times New Roman" w:hAnsi="Times New Roman" w:cs="Times New Roman"/>
                <w:sz w:val="26"/>
                <w:szCs w:val="26"/>
                <w:lang w:val="ro-MO"/>
              </w:rPr>
            </w:pPr>
            <w:r w:rsidRPr="00446F65">
              <w:rPr>
                <w:rFonts w:ascii="Times New Roman" w:hAnsi="Times New Roman" w:cs="Times New Roman"/>
                <w:b/>
                <w:bCs/>
                <w:sz w:val="26"/>
                <w:szCs w:val="26"/>
                <w:lang w:val="ro-MO"/>
              </w:rPr>
              <w:t>Si</w:t>
            </w:r>
            <w:r w:rsidRPr="00446F65">
              <w:rPr>
                <w:rFonts w:ascii="Times New Roman" w:hAnsi="Times New Roman" w:cs="Times New Roman"/>
                <w:b/>
                <w:bCs/>
                <w:sz w:val="26"/>
                <w:szCs w:val="26"/>
                <w:vertAlign w:val="superscript"/>
                <w:lang w:val="ro-MO"/>
              </w:rPr>
              <w:t>2</w:t>
            </w:r>
          </w:p>
        </w:tc>
      </w:tr>
      <w:tr w:rsidR="00244DD8" w:rsidRPr="00446F65" w:rsidTr="0070657D">
        <w:trPr>
          <w:trHeight w:val="131"/>
        </w:trPr>
        <w:tc>
          <w:tcPr>
            <w:tcW w:w="2977" w:type="dxa"/>
            <w:tcBorders>
              <w:top w:val="single" w:sz="8" w:space="0" w:color="000000"/>
              <w:left w:val="single" w:sz="8" w:space="0" w:color="000000"/>
              <w:bottom w:val="single" w:sz="6" w:space="0" w:color="000000"/>
              <w:right w:val="single" w:sz="6" w:space="0" w:color="000000"/>
            </w:tcBorders>
            <w:shd w:val="clear" w:color="auto" w:fill="FFFFFF"/>
          </w:tcPr>
          <w:p w:rsidR="00244DD8" w:rsidRPr="00446F65" w:rsidRDefault="00244DD8"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Moldtelecom </w:t>
            </w:r>
          </w:p>
        </w:tc>
        <w:tc>
          <w:tcPr>
            <w:tcW w:w="2552" w:type="dxa"/>
            <w:tcBorders>
              <w:top w:val="single" w:sz="8" w:space="0" w:color="000000"/>
              <w:left w:val="single" w:sz="8" w:space="0" w:color="000000"/>
              <w:bottom w:val="single" w:sz="6" w:space="0" w:color="000000"/>
              <w:right w:val="single" w:sz="6" w:space="0" w:color="000000"/>
            </w:tcBorders>
            <w:shd w:val="clear" w:color="auto" w:fill="FFFFFF"/>
          </w:tcPr>
          <w:p w:rsidR="00244DD8" w:rsidRPr="00446F65" w:rsidRDefault="00244DD8" w:rsidP="00317915">
            <w:pPr>
              <w:autoSpaceDE w:val="0"/>
              <w:autoSpaceDN w:val="0"/>
              <w:adjustRightInd w:val="0"/>
              <w:spacing w:after="0" w:line="240" w:lineRule="auto"/>
              <w:ind w:right="459"/>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88,95% </w:t>
            </w:r>
          </w:p>
        </w:tc>
        <w:tc>
          <w:tcPr>
            <w:tcW w:w="1842" w:type="dxa"/>
            <w:tcBorders>
              <w:top w:val="single" w:sz="8" w:space="0" w:color="000000"/>
              <w:left w:val="single" w:sz="6" w:space="0" w:color="000000"/>
              <w:bottom w:val="single" w:sz="6" w:space="0" w:color="000000"/>
              <w:right w:val="single" w:sz="8" w:space="0" w:color="000000"/>
            </w:tcBorders>
            <w:shd w:val="clear" w:color="auto" w:fill="FFFFFF"/>
          </w:tcPr>
          <w:p w:rsidR="00244DD8" w:rsidRPr="00446F65" w:rsidRDefault="00244DD8" w:rsidP="00317915">
            <w:pPr>
              <w:autoSpaceDE w:val="0"/>
              <w:autoSpaceDN w:val="0"/>
              <w:adjustRightInd w:val="0"/>
              <w:spacing w:after="0" w:line="240" w:lineRule="auto"/>
              <w:ind w:right="459"/>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0,7912</w:t>
            </w:r>
          </w:p>
        </w:tc>
      </w:tr>
      <w:tr w:rsidR="00244DD8" w:rsidRPr="00446F65" w:rsidTr="0070657D">
        <w:trPr>
          <w:trHeight w:val="131"/>
        </w:trPr>
        <w:tc>
          <w:tcPr>
            <w:tcW w:w="2977" w:type="dxa"/>
            <w:tcBorders>
              <w:top w:val="single" w:sz="6" w:space="0" w:color="000000"/>
              <w:left w:val="single" w:sz="8" w:space="0" w:color="000000"/>
              <w:bottom w:val="single" w:sz="6" w:space="0" w:color="000000"/>
              <w:right w:val="single" w:sz="6" w:space="0" w:color="000000"/>
            </w:tcBorders>
            <w:shd w:val="clear" w:color="auto" w:fill="FFFFFF"/>
          </w:tcPr>
          <w:p w:rsidR="00244DD8" w:rsidRPr="00446F65" w:rsidRDefault="00244DD8"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StarNet </w:t>
            </w:r>
          </w:p>
        </w:tc>
        <w:tc>
          <w:tcPr>
            <w:tcW w:w="2552" w:type="dxa"/>
            <w:tcBorders>
              <w:top w:val="single" w:sz="6" w:space="0" w:color="000000"/>
              <w:left w:val="single" w:sz="8" w:space="0" w:color="000000"/>
              <w:bottom w:val="single" w:sz="6" w:space="0" w:color="000000"/>
              <w:right w:val="single" w:sz="6" w:space="0" w:color="000000"/>
            </w:tcBorders>
            <w:shd w:val="clear" w:color="auto" w:fill="FFFFFF"/>
          </w:tcPr>
          <w:p w:rsidR="00244DD8" w:rsidRPr="00446F65" w:rsidRDefault="00244DD8" w:rsidP="00317915">
            <w:pPr>
              <w:autoSpaceDE w:val="0"/>
              <w:autoSpaceDN w:val="0"/>
              <w:adjustRightInd w:val="0"/>
              <w:spacing w:after="0" w:line="240" w:lineRule="auto"/>
              <w:ind w:right="459"/>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8,1%</w:t>
            </w:r>
          </w:p>
        </w:tc>
        <w:tc>
          <w:tcPr>
            <w:tcW w:w="1842" w:type="dxa"/>
            <w:tcBorders>
              <w:top w:val="single" w:sz="6" w:space="0" w:color="000000"/>
              <w:left w:val="single" w:sz="6" w:space="0" w:color="000000"/>
              <w:bottom w:val="single" w:sz="6" w:space="0" w:color="000000"/>
              <w:right w:val="single" w:sz="8" w:space="0" w:color="000000"/>
            </w:tcBorders>
            <w:shd w:val="clear" w:color="auto" w:fill="FFFFFF"/>
          </w:tcPr>
          <w:p w:rsidR="00244DD8" w:rsidRPr="00446F65" w:rsidRDefault="00244DD8" w:rsidP="00317915">
            <w:pPr>
              <w:autoSpaceDE w:val="0"/>
              <w:autoSpaceDN w:val="0"/>
              <w:adjustRightInd w:val="0"/>
              <w:spacing w:after="0" w:line="240" w:lineRule="auto"/>
              <w:ind w:right="459"/>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0,0</w:t>
            </w:r>
            <w:r w:rsidR="0070657D">
              <w:rPr>
                <w:rFonts w:ascii="Times New Roman" w:hAnsi="Times New Roman" w:cs="Times New Roman"/>
                <w:sz w:val="26"/>
                <w:szCs w:val="26"/>
                <w:lang w:val="ro-MO"/>
              </w:rPr>
              <w:t>066</w:t>
            </w:r>
          </w:p>
        </w:tc>
      </w:tr>
      <w:tr w:rsidR="00244DD8" w:rsidRPr="00446F65" w:rsidTr="0070657D">
        <w:trPr>
          <w:trHeight w:val="131"/>
        </w:trPr>
        <w:tc>
          <w:tcPr>
            <w:tcW w:w="2977" w:type="dxa"/>
            <w:tcBorders>
              <w:top w:val="single" w:sz="6" w:space="0" w:color="000000"/>
              <w:left w:val="single" w:sz="8" w:space="0" w:color="000000"/>
              <w:bottom w:val="single" w:sz="6" w:space="0" w:color="000000"/>
              <w:right w:val="single" w:sz="6" w:space="0" w:color="000000"/>
            </w:tcBorders>
            <w:shd w:val="clear" w:color="auto" w:fill="FFFFFF"/>
          </w:tcPr>
          <w:p w:rsidR="00244DD8" w:rsidRPr="00446F65" w:rsidRDefault="00244DD8"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Alţi furnizori</w:t>
            </w:r>
          </w:p>
        </w:tc>
        <w:tc>
          <w:tcPr>
            <w:tcW w:w="2552" w:type="dxa"/>
            <w:tcBorders>
              <w:top w:val="single" w:sz="6" w:space="0" w:color="000000"/>
              <w:left w:val="single" w:sz="8" w:space="0" w:color="000000"/>
              <w:bottom w:val="single" w:sz="6" w:space="0" w:color="000000"/>
              <w:right w:val="single" w:sz="6" w:space="0" w:color="000000"/>
            </w:tcBorders>
            <w:shd w:val="clear" w:color="auto" w:fill="FFFFFF"/>
          </w:tcPr>
          <w:p w:rsidR="00244DD8" w:rsidRPr="00446F65" w:rsidRDefault="00244DD8" w:rsidP="00317915">
            <w:pPr>
              <w:autoSpaceDE w:val="0"/>
              <w:autoSpaceDN w:val="0"/>
              <w:adjustRightInd w:val="0"/>
              <w:spacing w:after="0" w:line="240" w:lineRule="auto"/>
              <w:ind w:right="459"/>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2,95%</w:t>
            </w:r>
          </w:p>
        </w:tc>
        <w:tc>
          <w:tcPr>
            <w:tcW w:w="1842" w:type="dxa"/>
            <w:tcBorders>
              <w:top w:val="single" w:sz="6" w:space="0" w:color="000000"/>
              <w:left w:val="single" w:sz="6" w:space="0" w:color="000000"/>
              <w:bottom w:val="single" w:sz="6" w:space="0" w:color="000000"/>
              <w:right w:val="single" w:sz="8" w:space="0" w:color="000000"/>
            </w:tcBorders>
            <w:shd w:val="clear" w:color="auto" w:fill="FFFFFF"/>
          </w:tcPr>
          <w:p w:rsidR="00244DD8" w:rsidRPr="00446F65" w:rsidRDefault="00244DD8" w:rsidP="00317915">
            <w:pPr>
              <w:autoSpaceDE w:val="0"/>
              <w:autoSpaceDN w:val="0"/>
              <w:adjustRightInd w:val="0"/>
              <w:spacing w:after="0" w:line="240" w:lineRule="auto"/>
              <w:ind w:right="459"/>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0,0009</w:t>
            </w:r>
          </w:p>
        </w:tc>
      </w:tr>
      <w:tr w:rsidR="00244DD8" w:rsidRPr="00446F65" w:rsidTr="0070657D">
        <w:trPr>
          <w:trHeight w:val="133"/>
        </w:trPr>
        <w:tc>
          <w:tcPr>
            <w:tcW w:w="2977" w:type="dxa"/>
            <w:tcBorders>
              <w:top w:val="single" w:sz="6" w:space="0" w:color="000000"/>
              <w:left w:val="single" w:sz="8" w:space="0" w:color="000000"/>
              <w:bottom w:val="single" w:sz="8" w:space="0" w:color="000000"/>
              <w:right w:val="single" w:sz="6" w:space="0" w:color="000000"/>
            </w:tcBorders>
            <w:shd w:val="clear" w:color="auto" w:fill="FFFFFF"/>
          </w:tcPr>
          <w:p w:rsidR="00244DD8" w:rsidRPr="0070657D" w:rsidRDefault="00244DD8" w:rsidP="00317915">
            <w:pPr>
              <w:autoSpaceDE w:val="0"/>
              <w:autoSpaceDN w:val="0"/>
              <w:adjustRightInd w:val="0"/>
              <w:spacing w:after="0" w:line="240" w:lineRule="auto"/>
              <w:jc w:val="both"/>
              <w:rPr>
                <w:rFonts w:ascii="Times New Roman" w:hAnsi="Times New Roman" w:cs="Times New Roman"/>
                <w:b/>
                <w:sz w:val="26"/>
                <w:szCs w:val="26"/>
                <w:lang w:val="ro-MO"/>
              </w:rPr>
            </w:pPr>
            <w:r w:rsidRPr="0070657D">
              <w:rPr>
                <w:rFonts w:ascii="Times New Roman" w:hAnsi="Times New Roman" w:cs="Times New Roman"/>
                <w:b/>
                <w:sz w:val="26"/>
                <w:szCs w:val="26"/>
                <w:lang w:val="ro-MO"/>
              </w:rPr>
              <w:t>Sumar</w:t>
            </w:r>
            <w:r w:rsidR="0070657D">
              <w:rPr>
                <w:rFonts w:ascii="Times New Roman" w:hAnsi="Times New Roman" w:cs="Times New Roman"/>
                <w:b/>
                <w:sz w:val="26"/>
                <w:szCs w:val="26"/>
                <w:lang w:val="ro-MO"/>
              </w:rPr>
              <w:t>:</w:t>
            </w:r>
            <w:r w:rsidRPr="0070657D">
              <w:rPr>
                <w:rFonts w:ascii="Times New Roman" w:hAnsi="Times New Roman" w:cs="Times New Roman"/>
                <w:b/>
                <w:sz w:val="26"/>
                <w:szCs w:val="26"/>
                <w:lang w:val="ro-MO"/>
              </w:rPr>
              <w:t xml:space="preserve"> </w:t>
            </w:r>
          </w:p>
        </w:tc>
        <w:tc>
          <w:tcPr>
            <w:tcW w:w="2552" w:type="dxa"/>
            <w:tcBorders>
              <w:top w:val="single" w:sz="6" w:space="0" w:color="000000"/>
              <w:left w:val="single" w:sz="8" w:space="0" w:color="000000"/>
              <w:bottom w:val="single" w:sz="8" w:space="0" w:color="000000"/>
              <w:right w:val="single" w:sz="6" w:space="0" w:color="000000"/>
            </w:tcBorders>
            <w:shd w:val="clear" w:color="auto" w:fill="FFFFFF"/>
          </w:tcPr>
          <w:p w:rsidR="00244DD8" w:rsidRPr="0070657D" w:rsidRDefault="00244DD8" w:rsidP="00317915">
            <w:pPr>
              <w:autoSpaceDE w:val="0"/>
              <w:autoSpaceDN w:val="0"/>
              <w:adjustRightInd w:val="0"/>
              <w:spacing w:after="0" w:line="240" w:lineRule="auto"/>
              <w:ind w:right="459"/>
              <w:jc w:val="right"/>
              <w:rPr>
                <w:rFonts w:ascii="Times New Roman" w:hAnsi="Times New Roman" w:cs="Times New Roman"/>
                <w:b/>
                <w:sz w:val="26"/>
                <w:szCs w:val="26"/>
                <w:lang w:val="ro-MO"/>
              </w:rPr>
            </w:pPr>
            <w:r w:rsidRPr="0070657D">
              <w:rPr>
                <w:rFonts w:ascii="Times New Roman" w:hAnsi="Times New Roman" w:cs="Times New Roman"/>
                <w:b/>
                <w:sz w:val="26"/>
                <w:szCs w:val="26"/>
                <w:lang w:val="ro-MO"/>
              </w:rPr>
              <w:t>100%</w:t>
            </w:r>
          </w:p>
        </w:tc>
        <w:tc>
          <w:tcPr>
            <w:tcW w:w="1842" w:type="dxa"/>
            <w:tcBorders>
              <w:top w:val="single" w:sz="6" w:space="0" w:color="000000"/>
              <w:left w:val="single" w:sz="6" w:space="0" w:color="000000"/>
              <w:bottom w:val="single" w:sz="8" w:space="0" w:color="000000"/>
              <w:right w:val="single" w:sz="8" w:space="0" w:color="000000"/>
            </w:tcBorders>
            <w:shd w:val="clear" w:color="auto" w:fill="FFFFFF"/>
          </w:tcPr>
          <w:p w:rsidR="00244DD8" w:rsidRPr="00446F65" w:rsidRDefault="00244DD8" w:rsidP="00317915">
            <w:pPr>
              <w:autoSpaceDE w:val="0"/>
              <w:autoSpaceDN w:val="0"/>
              <w:adjustRightInd w:val="0"/>
              <w:spacing w:after="0" w:line="240" w:lineRule="auto"/>
              <w:ind w:right="459"/>
              <w:jc w:val="right"/>
              <w:rPr>
                <w:rFonts w:ascii="Times New Roman" w:hAnsi="Times New Roman" w:cs="Times New Roman"/>
                <w:sz w:val="26"/>
                <w:szCs w:val="26"/>
                <w:lang w:val="ro-MO"/>
              </w:rPr>
            </w:pPr>
            <w:r w:rsidRPr="00446F65">
              <w:rPr>
                <w:rFonts w:ascii="Times New Roman" w:hAnsi="Times New Roman" w:cs="Times New Roman"/>
                <w:b/>
                <w:bCs/>
                <w:sz w:val="26"/>
                <w:szCs w:val="26"/>
                <w:lang w:val="ro-MO"/>
              </w:rPr>
              <w:t>0,7987</w:t>
            </w:r>
          </w:p>
        </w:tc>
      </w:tr>
    </w:tbl>
    <w:p w:rsidR="00244DD8" w:rsidRPr="00446F65" w:rsidRDefault="00244DD8" w:rsidP="00317915">
      <w:pPr>
        <w:autoSpaceDE w:val="0"/>
        <w:autoSpaceDN w:val="0"/>
        <w:adjustRightInd w:val="0"/>
        <w:spacing w:after="0" w:line="240" w:lineRule="auto"/>
        <w:jc w:val="both"/>
        <w:rPr>
          <w:rFonts w:ascii="Times New Roman" w:hAnsi="Times New Roman" w:cs="Times New Roman"/>
          <w:sz w:val="26"/>
          <w:szCs w:val="26"/>
          <w:lang w:val="ro-MO"/>
        </w:rPr>
      </w:pPr>
    </w:p>
    <w:p w:rsidR="002E23F7" w:rsidRPr="00446F65" w:rsidRDefault="002E23F7"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IHH pentru piaţa de acces </w:t>
      </w:r>
      <w:r w:rsidR="00244DD8" w:rsidRPr="00446F65">
        <w:rPr>
          <w:rFonts w:ascii="Times New Roman" w:hAnsi="Times New Roman" w:cs="Times New Roman"/>
          <w:sz w:val="26"/>
          <w:szCs w:val="26"/>
          <w:lang w:val="ro-MO"/>
        </w:rPr>
        <w:t xml:space="preserve">la </w:t>
      </w:r>
      <w:r w:rsidR="00F132FF" w:rsidRPr="00446F65">
        <w:rPr>
          <w:rFonts w:ascii="Times New Roman" w:hAnsi="Times New Roman" w:cs="Times New Roman"/>
          <w:sz w:val="26"/>
          <w:szCs w:val="26"/>
          <w:lang w:val="ro-MO"/>
        </w:rPr>
        <w:t>I</w:t>
      </w:r>
      <w:r w:rsidR="00244DD8" w:rsidRPr="00446F65">
        <w:rPr>
          <w:rFonts w:ascii="Times New Roman" w:hAnsi="Times New Roman" w:cs="Times New Roman"/>
          <w:sz w:val="26"/>
          <w:szCs w:val="26"/>
          <w:lang w:val="ro-MO"/>
        </w:rPr>
        <w:t xml:space="preserve">nternet </w:t>
      </w:r>
      <w:r w:rsidRPr="00446F65">
        <w:rPr>
          <w:rFonts w:ascii="Times New Roman" w:hAnsi="Times New Roman" w:cs="Times New Roman"/>
          <w:sz w:val="26"/>
          <w:szCs w:val="26"/>
          <w:lang w:val="ro-MO"/>
        </w:rPr>
        <w:t>cu amănuntul la punct</w:t>
      </w:r>
      <w:r w:rsidR="00F132FF" w:rsidRPr="00446F65">
        <w:rPr>
          <w:rFonts w:ascii="Times New Roman" w:hAnsi="Times New Roman" w:cs="Times New Roman"/>
          <w:sz w:val="26"/>
          <w:szCs w:val="26"/>
          <w:lang w:val="ro-MO"/>
        </w:rPr>
        <w:t>e</w:t>
      </w:r>
      <w:r w:rsidRPr="00446F65">
        <w:rPr>
          <w:rFonts w:ascii="Times New Roman" w:hAnsi="Times New Roman" w:cs="Times New Roman"/>
          <w:sz w:val="26"/>
          <w:szCs w:val="26"/>
          <w:lang w:val="ro-MO"/>
        </w:rPr>
        <w:t xml:space="preserve"> fix</w:t>
      </w:r>
      <w:r w:rsidR="00F132FF" w:rsidRPr="00446F65">
        <w:rPr>
          <w:rFonts w:ascii="Times New Roman" w:hAnsi="Times New Roman" w:cs="Times New Roman"/>
          <w:sz w:val="26"/>
          <w:szCs w:val="26"/>
          <w:lang w:val="ro-MO"/>
        </w:rPr>
        <w:t>e</w:t>
      </w:r>
      <w:r w:rsidRPr="00446F65">
        <w:rPr>
          <w:rFonts w:ascii="Times New Roman" w:hAnsi="Times New Roman" w:cs="Times New Roman"/>
          <w:sz w:val="26"/>
          <w:szCs w:val="26"/>
          <w:lang w:val="ro-MO"/>
        </w:rPr>
        <w:t xml:space="preserve"> din Republica Moldova (pe baza datelor prezentate în Tabelul </w:t>
      </w:r>
      <w:r w:rsidR="00461D19" w:rsidRPr="00446F65">
        <w:rPr>
          <w:rFonts w:ascii="Times New Roman" w:hAnsi="Times New Roman" w:cs="Times New Roman"/>
          <w:sz w:val="26"/>
          <w:szCs w:val="26"/>
          <w:lang w:val="ro-MO"/>
        </w:rPr>
        <w:t xml:space="preserve">de mai sus este de </w:t>
      </w:r>
      <w:r w:rsidR="00E505E1" w:rsidRPr="00446F65">
        <w:rPr>
          <w:rFonts w:ascii="Times New Roman" w:hAnsi="Times New Roman" w:cs="Times New Roman"/>
          <w:sz w:val="26"/>
          <w:szCs w:val="26"/>
          <w:lang w:val="ro-MO"/>
        </w:rPr>
        <w:t>0,488</w:t>
      </w:r>
      <w:r w:rsidRPr="00446F65">
        <w:rPr>
          <w:rFonts w:ascii="Times New Roman" w:hAnsi="Times New Roman" w:cs="Times New Roman"/>
          <w:sz w:val="26"/>
          <w:szCs w:val="26"/>
          <w:lang w:val="ro-MO"/>
        </w:rPr>
        <w:t xml:space="preserve"> – un nivel caracteristic unei pieţe </w:t>
      </w:r>
      <w:r w:rsidR="00712759" w:rsidRPr="00446F65">
        <w:rPr>
          <w:rFonts w:ascii="Times New Roman" w:hAnsi="Times New Roman" w:cs="Times New Roman"/>
          <w:sz w:val="26"/>
          <w:szCs w:val="26"/>
          <w:lang w:val="ro-MO"/>
        </w:rPr>
        <w:t>extrem de concentrate</w:t>
      </w:r>
      <w:r w:rsidRPr="00446F65">
        <w:rPr>
          <w:rFonts w:ascii="Times New Roman" w:hAnsi="Times New Roman" w:cs="Times New Roman"/>
          <w:sz w:val="26"/>
          <w:szCs w:val="26"/>
          <w:lang w:val="ro-MO"/>
        </w:rPr>
        <w:t xml:space="preserve">. De asemenea, aplicat pieţei </w:t>
      </w:r>
      <w:r w:rsidR="00244DD8" w:rsidRPr="00446F65">
        <w:rPr>
          <w:rFonts w:ascii="Times New Roman" w:hAnsi="Times New Roman" w:cs="Times New Roman"/>
          <w:sz w:val="26"/>
          <w:szCs w:val="26"/>
          <w:lang w:val="ro-MO"/>
        </w:rPr>
        <w:t>furnizării cu ridicata de servicii de acces local la puncte fixe</w:t>
      </w:r>
      <w:r w:rsidRPr="00446F65">
        <w:rPr>
          <w:rFonts w:ascii="Times New Roman" w:hAnsi="Times New Roman" w:cs="Times New Roman"/>
          <w:sz w:val="26"/>
          <w:szCs w:val="26"/>
          <w:lang w:val="ro-MO"/>
        </w:rPr>
        <w:t>, indicele</w:t>
      </w:r>
      <w:r w:rsidR="00BF7D39" w:rsidRPr="00446F65">
        <w:rPr>
          <w:rFonts w:ascii="Times New Roman" w:hAnsi="Times New Roman" w:cs="Times New Roman"/>
          <w:sz w:val="26"/>
          <w:szCs w:val="26"/>
          <w:lang w:val="ro-MO"/>
        </w:rPr>
        <w:t xml:space="preserve"> IHH este excepţional de înalt</w:t>
      </w:r>
      <w:r w:rsidR="00244DD8" w:rsidRPr="00446F65">
        <w:rPr>
          <w:rFonts w:ascii="Times New Roman" w:hAnsi="Times New Roman" w:cs="Times New Roman"/>
          <w:sz w:val="26"/>
          <w:szCs w:val="26"/>
          <w:lang w:val="ro-MO"/>
        </w:rPr>
        <w:t xml:space="preserve"> (</w:t>
      </w:r>
      <w:r w:rsidR="00244DD8" w:rsidRPr="00446F65">
        <w:rPr>
          <w:rFonts w:ascii="Times New Roman" w:hAnsi="Times New Roman" w:cs="Times New Roman"/>
          <w:bCs/>
          <w:sz w:val="26"/>
          <w:szCs w:val="26"/>
          <w:lang w:val="ro-MO"/>
        </w:rPr>
        <w:t>0,7987</w:t>
      </w:r>
      <w:r w:rsidR="00244DD8" w:rsidRPr="00446F65">
        <w:rPr>
          <w:rFonts w:ascii="Times New Roman" w:hAnsi="Times New Roman" w:cs="Times New Roman"/>
          <w:sz w:val="26"/>
          <w:szCs w:val="26"/>
          <w:lang w:val="ro-MO"/>
        </w:rPr>
        <w:t>)</w:t>
      </w:r>
      <w:r w:rsidR="00BF7D39" w:rsidRPr="00446F65">
        <w:rPr>
          <w:rFonts w:ascii="Times New Roman" w:hAnsi="Times New Roman" w:cs="Times New Roman"/>
          <w:sz w:val="26"/>
          <w:szCs w:val="26"/>
          <w:lang w:val="ro-MO"/>
        </w:rPr>
        <w:t>.</w:t>
      </w:r>
    </w:p>
    <w:p w:rsidR="0070657D" w:rsidRDefault="0070657D" w:rsidP="00317915">
      <w:pPr>
        <w:autoSpaceDE w:val="0"/>
        <w:autoSpaceDN w:val="0"/>
        <w:adjustRightInd w:val="0"/>
        <w:spacing w:after="0" w:line="240" w:lineRule="auto"/>
        <w:ind w:firstLine="720"/>
        <w:jc w:val="both"/>
        <w:rPr>
          <w:rFonts w:ascii="Times New Roman" w:hAnsi="Times New Roman" w:cs="Times New Roman"/>
          <w:b/>
          <w:sz w:val="26"/>
          <w:szCs w:val="26"/>
          <w:lang w:val="ro-MO"/>
        </w:rPr>
      </w:pPr>
    </w:p>
    <w:p w:rsidR="00392B39" w:rsidRDefault="00BF7D39"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 xml:space="preserve">Concluzie: </w:t>
      </w:r>
      <w:r w:rsidR="002E23F7" w:rsidRPr="00446F65">
        <w:rPr>
          <w:rFonts w:ascii="Times New Roman" w:hAnsi="Times New Roman" w:cs="Times New Roman"/>
          <w:sz w:val="26"/>
          <w:szCs w:val="26"/>
          <w:lang w:val="ro-MO"/>
        </w:rPr>
        <w:t xml:space="preserve">Numărul redus de furnizori şi un IHH înalt oferă dovezi suplimentare în sprijinul ipotezei că Moldtelecom are PSP pe piaţa </w:t>
      </w:r>
      <w:r w:rsidR="00244DD8" w:rsidRPr="00446F65">
        <w:rPr>
          <w:rFonts w:ascii="Times New Roman" w:hAnsi="Times New Roman" w:cs="Times New Roman"/>
          <w:sz w:val="26"/>
          <w:szCs w:val="26"/>
          <w:lang w:val="ro-MO"/>
        </w:rPr>
        <w:t>furnizării cu ridicata de servicii de acces local la puncte fixe</w:t>
      </w:r>
      <w:r w:rsidR="002E23F7" w:rsidRPr="00446F65">
        <w:rPr>
          <w:rFonts w:ascii="Times New Roman" w:hAnsi="Times New Roman" w:cs="Times New Roman"/>
          <w:sz w:val="26"/>
          <w:szCs w:val="26"/>
          <w:lang w:val="ro-MO"/>
        </w:rPr>
        <w:t>.</w:t>
      </w:r>
    </w:p>
    <w:p w:rsidR="0070657D" w:rsidRPr="00446F65" w:rsidRDefault="0070657D" w:rsidP="00317915">
      <w:pPr>
        <w:autoSpaceDE w:val="0"/>
        <w:autoSpaceDN w:val="0"/>
        <w:adjustRightInd w:val="0"/>
        <w:spacing w:after="0" w:line="240" w:lineRule="auto"/>
        <w:ind w:firstLine="720"/>
        <w:jc w:val="both"/>
        <w:rPr>
          <w:rFonts w:ascii="Times New Roman" w:hAnsi="Times New Roman" w:cs="Times New Roman"/>
          <w:b/>
          <w:sz w:val="26"/>
          <w:szCs w:val="26"/>
          <w:lang w:val="ro-MO"/>
        </w:rPr>
      </w:pPr>
    </w:p>
    <w:p w:rsidR="00D93AB0" w:rsidRPr="00446F65" w:rsidRDefault="00B23FCB" w:rsidP="00317915">
      <w:pPr>
        <w:pStyle w:val="Default"/>
        <w:ind w:firstLine="720"/>
        <w:jc w:val="both"/>
        <w:rPr>
          <w:color w:val="auto"/>
          <w:sz w:val="26"/>
          <w:szCs w:val="26"/>
          <w:lang w:val="ro-MO"/>
        </w:rPr>
      </w:pPr>
      <w:r w:rsidRPr="00446F65">
        <w:rPr>
          <w:color w:val="auto"/>
          <w:sz w:val="26"/>
          <w:szCs w:val="26"/>
          <w:lang w:val="ro-MO"/>
        </w:rPr>
        <w:t xml:space="preserve">În baza criteriilor analizate mai sus ANRCETI consideră că există suficiente dovezi că Moldtelecom are PSP pe piaţa </w:t>
      </w:r>
      <w:r w:rsidR="00E505E1" w:rsidRPr="00446F65">
        <w:rPr>
          <w:sz w:val="26"/>
          <w:szCs w:val="26"/>
          <w:lang w:val="ro-MO"/>
        </w:rPr>
        <w:t>furnizării cu ridicata de servicii de acces local la puncte fixe</w:t>
      </w:r>
      <w:r w:rsidRPr="00446F65">
        <w:rPr>
          <w:color w:val="auto"/>
          <w:sz w:val="26"/>
          <w:szCs w:val="26"/>
          <w:lang w:val="ro-MO"/>
        </w:rPr>
        <w:t>, iar barierele identificate (</w:t>
      </w:r>
      <w:r w:rsidR="00461D19" w:rsidRPr="00446F65">
        <w:rPr>
          <w:color w:val="auto"/>
          <w:sz w:val="26"/>
          <w:szCs w:val="26"/>
          <w:lang w:val="ro-MO"/>
        </w:rPr>
        <w:t xml:space="preserve">cota mare de piață, </w:t>
      </w:r>
      <w:r w:rsidRPr="00446F65">
        <w:rPr>
          <w:color w:val="auto"/>
          <w:sz w:val="26"/>
          <w:szCs w:val="26"/>
          <w:lang w:val="ro-MO"/>
        </w:rPr>
        <w:t>investiţii necesare mari, costuri irecuperabile înalte</w:t>
      </w:r>
      <w:r w:rsidR="00461D19" w:rsidRPr="00446F65">
        <w:rPr>
          <w:color w:val="auto"/>
          <w:sz w:val="26"/>
          <w:szCs w:val="26"/>
          <w:lang w:val="ro-MO"/>
        </w:rPr>
        <w:t>,</w:t>
      </w:r>
      <w:r w:rsidR="005A5240" w:rsidRPr="00446F65">
        <w:rPr>
          <w:color w:val="auto"/>
          <w:sz w:val="26"/>
          <w:szCs w:val="26"/>
          <w:lang w:val="ro-MO"/>
        </w:rPr>
        <w:t xml:space="preserve"> controlul infrastructurii greu de dublat,</w:t>
      </w:r>
      <w:r w:rsidR="00461D19" w:rsidRPr="00446F65">
        <w:rPr>
          <w:color w:val="auto"/>
          <w:sz w:val="26"/>
          <w:szCs w:val="26"/>
          <w:lang w:val="ro-MO"/>
        </w:rPr>
        <w:t xml:space="preserve"> absen</w:t>
      </w:r>
      <w:r w:rsidR="00D20F6C" w:rsidRPr="00446F65">
        <w:rPr>
          <w:color w:val="auto"/>
          <w:sz w:val="26"/>
          <w:szCs w:val="26"/>
          <w:lang w:val="ro-MO"/>
        </w:rPr>
        <w:t>ț</w:t>
      </w:r>
      <w:r w:rsidR="00461D19" w:rsidRPr="00446F65">
        <w:rPr>
          <w:color w:val="auto"/>
          <w:sz w:val="26"/>
          <w:szCs w:val="26"/>
          <w:lang w:val="ro-MO"/>
        </w:rPr>
        <w:t>a puterii de contracarare a cumpărătorilor</w:t>
      </w:r>
      <w:r w:rsidRPr="00446F65">
        <w:rPr>
          <w:color w:val="auto"/>
          <w:sz w:val="26"/>
          <w:szCs w:val="26"/>
          <w:lang w:val="ro-MO"/>
        </w:rPr>
        <w:t>) sunt extrem de mari pentru ca concurenţii să poată exercita suficientă presiune competitivă astfel încât să erodeze puterea de piaţă a Moldtelecom.</w:t>
      </w:r>
    </w:p>
    <w:p w:rsidR="00B23FCB" w:rsidRPr="00446F65" w:rsidRDefault="00B23FCB" w:rsidP="00317915">
      <w:pPr>
        <w:pStyle w:val="Default"/>
        <w:ind w:firstLine="720"/>
        <w:jc w:val="both"/>
        <w:rPr>
          <w:color w:val="auto"/>
          <w:sz w:val="26"/>
          <w:szCs w:val="26"/>
          <w:lang w:val="ro-MO"/>
        </w:rPr>
      </w:pPr>
      <w:r w:rsidRPr="00446F65">
        <w:rPr>
          <w:color w:val="auto"/>
          <w:sz w:val="26"/>
          <w:szCs w:val="26"/>
          <w:lang w:val="ro-MO"/>
        </w:rPr>
        <w:t xml:space="preserve">Această putere de piaţă va continua să existe în orizontul de timp cuprins de această analiză (de până la doi ani), din cauza controlului de către </w:t>
      </w:r>
      <w:r w:rsidR="006000D3" w:rsidRPr="00446F65">
        <w:rPr>
          <w:color w:val="auto"/>
          <w:sz w:val="26"/>
          <w:szCs w:val="26"/>
          <w:lang w:val="ro-MO"/>
        </w:rPr>
        <w:t>S.A. „</w:t>
      </w:r>
      <w:r w:rsidRPr="00446F65">
        <w:rPr>
          <w:color w:val="auto"/>
          <w:sz w:val="26"/>
          <w:szCs w:val="26"/>
          <w:lang w:val="ro-MO"/>
        </w:rPr>
        <w:t>Moldtelecom</w:t>
      </w:r>
      <w:r w:rsidR="006000D3" w:rsidRPr="00446F65">
        <w:rPr>
          <w:color w:val="auto"/>
          <w:sz w:val="26"/>
          <w:szCs w:val="26"/>
          <w:lang w:val="ro-MO"/>
        </w:rPr>
        <w:t>”</w:t>
      </w:r>
      <w:r w:rsidRPr="00446F65">
        <w:rPr>
          <w:color w:val="auto"/>
          <w:sz w:val="26"/>
          <w:szCs w:val="26"/>
          <w:lang w:val="ro-MO"/>
        </w:rPr>
        <w:t xml:space="preserve"> a infrastructurii greu de </w:t>
      </w:r>
      <w:r w:rsidR="007F29CA" w:rsidRPr="00446F65">
        <w:rPr>
          <w:color w:val="auto"/>
          <w:sz w:val="26"/>
          <w:szCs w:val="26"/>
          <w:lang w:val="ro-MO"/>
        </w:rPr>
        <w:t>dublat</w:t>
      </w:r>
      <w:r w:rsidRPr="00446F65">
        <w:rPr>
          <w:color w:val="auto"/>
          <w:sz w:val="26"/>
          <w:szCs w:val="26"/>
          <w:lang w:val="ro-MO"/>
        </w:rPr>
        <w:t xml:space="preserve"> şi a economiilor de scară şi de densitate, iar în lipsa unor remedii </w:t>
      </w:r>
      <w:r w:rsidRPr="00446F65">
        <w:rPr>
          <w:i/>
          <w:iCs/>
          <w:color w:val="auto"/>
          <w:sz w:val="26"/>
          <w:szCs w:val="26"/>
          <w:lang w:val="ro-MO"/>
        </w:rPr>
        <w:t xml:space="preserve">ex-ante </w:t>
      </w:r>
      <w:r w:rsidRPr="00446F65">
        <w:rPr>
          <w:color w:val="auto"/>
          <w:sz w:val="26"/>
          <w:szCs w:val="26"/>
          <w:lang w:val="ro-MO"/>
        </w:rPr>
        <w:t xml:space="preserve">este foarte mare probabilitatea că Moldtelecom va aplica această putere pentru a limita posibilitatea concurenţilor săi de pe pieţele cu amănuntul (mai ales pe piaţa accesului fix în bandă largă) de a fi competitivi. </w:t>
      </w:r>
      <w:r w:rsidR="00E505E1" w:rsidRPr="00446F65">
        <w:rPr>
          <w:color w:val="auto"/>
          <w:sz w:val="26"/>
          <w:szCs w:val="26"/>
          <w:lang w:val="ro-MO"/>
        </w:rPr>
        <w:t xml:space="preserve"> </w:t>
      </w:r>
    </w:p>
    <w:p w:rsidR="0070657D" w:rsidRDefault="0070657D" w:rsidP="00317915">
      <w:pPr>
        <w:autoSpaceDE w:val="0"/>
        <w:autoSpaceDN w:val="0"/>
        <w:adjustRightInd w:val="0"/>
        <w:spacing w:after="0" w:line="240" w:lineRule="auto"/>
        <w:ind w:firstLine="720"/>
        <w:jc w:val="both"/>
        <w:rPr>
          <w:rFonts w:ascii="Times New Roman" w:hAnsi="Times New Roman" w:cs="Times New Roman"/>
          <w:b/>
          <w:sz w:val="26"/>
          <w:szCs w:val="26"/>
          <w:lang w:val="ro-MO"/>
        </w:rPr>
      </w:pPr>
    </w:p>
    <w:p w:rsidR="00EB530C" w:rsidRPr="00446F65" w:rsidRDefault="00C9014D"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Concluzie ANRCETI</w:t>
      </w:r>
      <w:r w:rsidRPr="00446F65">
        <w:rPr>
          <w:rFonts w:ascii="Times New Roman" w:hAnsi="Times New Roman" w:cs="Times New Roman"/>
          <w:sz w:val="26"/>
          <w:szCs w:val="26"/>
          <w:lang w:val="ro-MO"/>
        </w:rPr>
        <w:t xml:space="preserve">: Există dovezi clare că Moldtelecom are PSP pe piaţa </w:t>
      </w:r>
      <w:r w:rsidR="00E505E1" w:rsidRPr="00446F65">
        <w:rPr>
          <w:rFonts w:ascii="Times New Roman" w:hAnsi="Times New Roman" w:cs="Times New Roman"/>
          <w:sz w:val="26"/>
          <w:szCs w:val="26"/>
          <w:lang w:val="ro-MO"/>
        </w:rPr>
        <w:t>furnizării cu ridicata de servicii de acces local la puncte fixe</w:t>
      </w:r>
      <w:r w:rsidRPr="00446F65">
        <w:rPr>
          <w:rFonts w:ascii="Times New Roman" w:hAnsi="Times New Roman" w:cs="Times New Roman"/>
          <w:sz w:val="26"/>
          <w:szCs w:val="26"/>
          <w:lang w:val="ro-MO"/>
        </w:rPr>
        <w:t xml:space="preserve"> şi este puţin probabil că această poziţie se va schimba în următorii doi ani. O serie de criterii confirmă faptul că Moldtelecom se bucură de putere semnificativă pe piaţa relevantă.</w:t>
      </w:r>
    </w:p>
    <w:p w:rsidR="00EB530C" w:rsidRPr="00446F65" w:rsidRDefault="00EB530C"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B11C50" w:rsidRPr="00446F65" w:rsidRDefault="00ED280D" w:rsidP="00317915">
      <w:pPr>
        <w:pStyle w:val="Heading2"/>
        <w:spacing w:before="0" w:line="240" w:lineRule="auto"/>
        <w:ind w:firstLine="567"/>
        <w:rPr>
          <w:rFonts w:cs="Times New Roman"/>
          <w:color w:val="auto"/>
          <w:sz w:val="26"/>
          <w:lang w:val="ro-MO"/>
        </w:rPr>
      </w:pPr>
      <w:r w:rsidRPr="00446F65">
        <w:rPr>
          <w:rFonts w:cs="Times New Roman"/>
          <w:sz w:val="26"/>
          <w:lang w:val="ro-MO"/>
        </w:rPr>
        <w:tab/>
      </w:r>
      <w:bookmarkStart w:id="30" w:name="_Toc492907389"/>
      <w:r w:rsidR="00B23FCB" w:rsidRPr="00446F65">
        <w:rPr>
          <w:rFonts w:cs="Times New Roman"/>
          <w:color w:val="auto"/>
          <w:sz w:val="26"/>
          <w:lang w:val="ro-MO"/>
        </w:rPr>
        <w:t>3.3 Determinarea și analiza obligațiilor</w:t>
      </w:r>
      <w:bookmarkEnd w:id="30"/>
    </w:p>
    <w:p w:rsidR="00B11C50" w:rsidRPr="00446F65" w:rsidRDefault="00F06756" w:rsidP="00317915">
      <w:pPr>
        <w:pStyle w:val="Heading4"/>
        <w:spacing w:before="0" w:line="240" w:lineRule="auto"/>
        <w:ind w:firstLine="720"/>
        <w:rPr>
          <w:rFonts w:cs="Times New Roman"/>
          <w:i w:val="0"/>
          <w:color w:val="auto"/>
          <w:szCs w:val="26"/>
          <w:lang w:val="ro-MO"/>
        </w:rPr>
      </w:pPr>
      <w:bookmarkStart w:id="31" w:name="_Toc492907390"/>
      <w:r w:rsidRPr="00446F65">
        <w:rPr>
          <w:rFonts w:cs="Times New Roman"/>
          <w:i w:val="0"/>
          <w:color w:val="auto"/>
          <w:szCs w:val="26"/>
          <w:lang w:val="ro-MO"/>
        </w:rPr>
        <w:t>3.3.</w:t>
      </w:r>
      <w:r w:rsidR="00B11C50" w:rsidRPr="00446F65">
        <w:rPr>
          <w:rFonts w:cs="Times New Roman"/>
          <w:i w:val="0"/>
          <w:color w:val="auto"/>
          <w:szCs w:val="26"/>
          <w:lang w:val="ro-MO"/>
        </w:rPr>
        <w:t>1. Cadrul legal</w:t>
      </w:r>
      <w:bookmarkEnd w:id="31"/>
    </w:p>
    <w:p w:rsidR="007C59C2" w:rsidRPr="00446F65" w:rsidRDefault="00CE7F97"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Potrivit prevederilor art. 43 alin. (1) din Legea </w:t>
      </w:r>
      <w:r w:rsidR="00343EA1" w:rsidRPr="00446F65">
        <w:rPr>
          <w:rFonts w:ascii="Times New Roman" w:hAnsi="Times New Roman" w:cs="Times New Roman"/>
          <w:sz w:val="26"/>
          <w:szCs w:val="26"/>
          <w:lang w:val="ro-MO"/>
        </w:rPr>
        <w:t>nr. 241/2007</w:t>
      </w:r>
      <w:r w:rsidRPr="00446F65">
        <w:rPr>
          <w:rFonts w:ascii="Times New Roman" w:hAnsi="Times New Roman" w:cs="Times New Roman"/>
          <w:sz w:val="26"/>
          <w:szCs w:val="26"/>
          <w:lang w:val="ro-MO"/>
        </w:rPr>
        <w:t xml:space="preserve">, </w:t>
      </w:r>
      <w:r w:rsidR="00343EA1" w:rsidRPr="00446F65">
        <w:rPr>
          <w:rFonts w:ascii="Times New Roman" w:hAnsi="Times New Roman" w:cs="Times New Roman"/>
          <w:i/>
          <w:sz w:val="26"/>
          <w:szCs w:val="26"/>
          <w:lang w:val="ro-MO"/>
        </w:rPr>
        <w:t>î</w:t>
      </w:r>
      <w:r w:rsidR="003101C9" w:rsidRPr="00446F65">
        <w:rPr>
          <w:rFonts w:ascii="Times New Roman" w:hAnsi="Times New Roman" w:cs="Times New Roman"/>
          <w:i/>
          <w:sz w:val="26"/>
          <w:szCs w:val="26"/>
          <w:lang w:val="ro-MO"/>
        </w:rPr>
        <w:t xml:space="preserve">n cazul în care, în urma unei analize de piaţă realizate în condiţiile legii, un furnizor este desemnat ca </w:t>
      </w:r>
      <w:r w:rsidR="00D20F6C" w:rsidRPr="00446F65">
        <w:rPr>
          <w:rFonts w:ascii="Times New Roman" w:hAnsi="Times New Roman" w:cs="Times New Roman"/>
          <w:i/>
          <w:sz w:val="26"/>
          <w:szCs w:val="26"/>
          <w:lang w:val="ro-MO"/>
        </w:rPr>
        <w:t>având</w:t>
      </w:r>
      <w:r w:rsidR="003101C9" w:rsidRPr="00446F65">
        <w:rPr>
          <w:rFonts w:ascii="Times New Roman" w:hAnsi="Times New Roman" w:cs="Times New Roman"/>
          <w:i/>
          <w:sz w:val="26"/>
          <w:szCs w:val="26"/>
          <w:lang w:val="ro-MO"/>
        </w:rPr>
        <w:t xml:space="preserve"> putere semnificativă pe o piaţă relevantă, </w:t>
      </w:r>
      <w:r w:rsidR="00D20F6C" w:rsidRPr="00446F65">
        <w:rPr>
          <w:rFonts w:ascii="Times New Roman" w:hAnsi="Times New Roman" w:cs="Times New Roman"/>
          <w:i/>
          <w:sz w:val="26"/>
          <w:szCs w:val="26"/>
          <w:lang w:val="ro-MO"/>
        </w:rPr>
        <w:t>ANRCETI</w:t>
      </w:r>
      <w:r w:rsidR="00406421" w:rsidRPr="00446F65">
        <w:rPr>
          <w:rFonts w:ascii="Times New Roman" w:hAnsi="Times New Roman" w:cs="Times New Roman"/>
          <w:i/>
          <w:sz w:val="26"/>
          <w:szCs w:val="26"/>
          <w:lang w:val="ro-MO"/>
        </w:rPr>
        <w:t xml:space="preserve"> </w:t>
      </w:r>
      <w:r w:rsidR="003101C9" w:rsidRPr="00446F65">
        <w:rPr>
          <w:rFonts w:ascii="Times New Roman" w:hAnsi="Times New Roman" w:cs="Times New Roman"/>
          <w:i/>
          <w:sz w:val="26"/>
          <w:szCs w:val="26"/>
          <w:lang w:val="ro-MO"/>
        </w:rPr>
        <w:t>impune acestuia, în modul stabilit, una sau mai multe dintre obligaţiile prevăzute în acesta</w:t>
      </w:r>
      <w:r w:rsidR="003101C9" w:rsidRPr="00446F65">
        <w:rPr>
          <w:rFonts w:ascii="Times New Roman" w:hAnsi="Times New Roman" w:cs="Times New Roman"/>
          <w:sz w:val="26"/>
          <w:szCs w:val="26"/>
          <w:lang w:val="ro-MO"/>
        </w:rPr>
        <w:t>.</w:t>
      </w:r>
      <w:r w:rsidR="00D70AFF" w:rsidRPr="00446F65">
        <w:rPr>
          <w:rFonts w:ascii="Times New Roman" w:hAnsi="Times New Roman" w:cs="Times New Roman"/>
          <w:sz w:val="26"/>
          <w:szCs w:val="26"/>
          <w:lang w:val="ro-MO"/>
        </w:rPr>
        <w:t xml:space="preserve"> Prin </w:t>
      </w:r>
      <w:r w:rsidR="003101C9" w:rsidRPr="00446F65">
        <w:rPr>
          <w:rFonts w:ascii="Times New Roman" w:hAnsi="Times New Roman" w:cs="Times New Roman"/>
          <w:sz w:val="26"/>
          <w:szCs w:val="26"/>
          <w:lang w:val="ro-MO"/>
        </w:rPr>
        <w:t>urmare, ANRCETI</w:t>
      </w:r>
      <w:r w:rsidRPr="00446F65">
        <w:rPr>
          <w:rFonts w:ascii="Times New Roman" w:hAnsi="Times New Roman" w:cs="Times New Roman"/>
          <w:sz w:val="26"/>
          <w:szCs w:val="26"/>
          <w:lang w:val="ro-MO"/>
        </w:rPr>
        <w:t xml:space="preserve"> trebuie să impună cel puţin una din obligaţiile prevăzute la art. </w:t>
      </w:r>
      <w:r w:rsidR="003101C9" w:rsidRPr="00446F65">
        <w:rPr>
          <w:rFonts w:ascii="Times New Roman" w:hAnsi="Times New Roman" w:cs="Times New Roman"/>
          <w:sz w:val="26"/>
          <w:szCs w:val="26"/>
          <w:lang w:val="ro-MO"/>
        </w:rPr>
        <w:t>43</w:t>
      </w:r>
      <w:r w:rsidRPr="00446F65">
        <w:rPr>
          <w:rFonts w:ascii="Times New Roman" w:hAnsi="Times New Roman" w:cs="Times New Roman"/>
          <w:sz w:val="26"/>
          <w:szCs w:val="26"/>
          <w:lang w:val="ro-MO"/>
        </w:rPr>
        <w:t xml:space="preserve"> din </w:t>
      </w:r>
      <w:r w:rsidR="003101C9" w:rsidRPr="00446F65">
        <w:rPr>
          <w:rFonts w:ascii="Times New Roman" w:hAnsi="Times New Roman" w:cs="Times New Roman"/>
          <w:sz w:val="26"/>
          <w:szCs w:val="26"/>
          <w:lang w:val="ro-MO"/>
        </w:rPr>
        <w:t>Lege</w:t>
      </w:r>
      <w:r w:rsidR="00343EA1" w:rsidRPr="00446F65">
        <w:rPr>
          <w:rFonts w:ascii="Times New Roman" w:hAnsi="Times New Roman" w:cs="Times New Roman"/>
          <w:sz w:val="26"/>
          <w:szCs w:val="26"/>
          <w:lang w:val="ro-MO"/>
        </w:rPr>
        <w:t>a nr. 241/2007</w:t>
      </w:r>
      <w:r w:rsidRPr="00446F65">
        <w:rPr>
          <w:rFonts w:ascii="Times New Roman" w:hAnsi="Times New Roman" w:cs="Times New Roman"/>
          <w:sz w:val="26"/>
          <w:szCs w:val="26"/>
          <w:lang w:val="ro-MO"/>
        </w:rPr>
        <w:t xml:space="preserve"> în sarcina furnizorului desemnat cu putere semnificativă pe </w:t>
      </w:r>
      <w:r w:rsidR="003101C9" w:rsidRPr="00446F65">
        <w:rPr>
          <w:rFonts w:ascii="Times New Roman" w:hAnsi="Times New Roman" w:cs="Times New Roman"/>
          <w:sz w:val="26"/>
          <w:szCs w:val="26"/>
          <w:lang w:val="ro-MO"/>
        </w:rPr>
        <w:t xml:space="preserve">piața </w:t>
      </w:r>
      <w:r w:rsidR="004F002D" w:rsidRPr="00446F65">
        <w:rPr>
          <w:rFonts w:ascii="Times New Roman" w:hAnsi="Times New Roman" w:cs="Times New Roman"/>
          <w:sz w:val="26"/>
          <w:szCs w:val="26"/>
          <w:lang w:val="ro-MO"/>
        </w:rPr>
        <w:t>furnizării cu ridicata de servicii de acces local la puncte fixe</w:t>
      </w:r>
      <w:r w:rsidRPr="00446F65">
        <w:rPr>
          <w:rFonts w:ascii="Times New Roman" w:hAnsi="Times New Roman" w:cs="Times New Roman"/>
          <w:sz w:val="26"/>
          <w:szCs w:val="26"/>
          <w:lang w:val="ro-MO"/>
        </w:rPr>
        <w:t>.</w:t>
      </w:r>
    </w:p>
    <w:p w:rsidR="003101C9" w:rsidRPr="00446F65" w:rsidRDefault="003101C9"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Furnizarea </w:t>
      </w:r>
      <w:r w:rsidR="004F002D" w:rsidRPr="00446F65">
        <w:rPr>
          <w:rFonts w:ascii="Times New Roman" w:hAnsi="Times New Roman" w:cs="Times New Roman"/>
          <w:sz w:val="26"/>
          <w:szCs w:val="26"/>
          <w:lang w:val="ro-MO"/>
        </w:rPr>
        <w:t>cu ridicata de servicii de acces local la puncte fixe</w:t>
      </w:r>
      <w:r w:rsidRPr="00446F65">
        <w:rPr>
          <w:rFonts w:ascii="Times New Roman" w:hAnsi="Times New Roman" w:cs="Times New Roman"/>
          <w:sz w:val="26"/>
          <w:szCs w:val="26"/>
          <w:lang w:val="ro-MO"/>
        </w:rPr>
        <w:t xml:space="preserve"> cuprinde punerea la dispoziţia unei terţe părţi de spaţii, echipamente sau servicii, în condiţii determinate, în mod exclusiv sau neexclusiv. Accesul necondiţionat la elementele de infrastructură (la bucla sau subbucla</w:t>
      </w:r>
      <w:r w:rsidR="00406421"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locală) presupune furnizarea de acces la spaţii, echipamente sau servicii care nu este condiţionată de:</w:t>
      </w:r>
    </w:p>
    <w:p w:rsidR="003101C9" w:rsidRPr="00446F65" w:rsidRDefault="003101C9" w:rsidP="00317915">
      <w:pPr>
        <w:pStyle w:val="ListParagraph"/>
        <w:numPr>
          <w:ilvl w:val="0"/>
          <w:numId w:val="29"/>
        </w:numPr>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achiziţia concomitentă de către solicitant a unor produse sau servicii care nu sunt necesare furnizării tipului de acces solicitat;</w:t>
      </w:r>
    </w:p>
    <w:p w:rsidR="003101C9" w:rsidRPr="00446F65" w:rsidRDefault="003101C9" w:rsidP="00317915">
      <w:pPr>
        <w:pStyle w:val="ListParagraph"/>
        <w:numPr>
          <w:ilvl w:val="0"/>
          <w:numId w:val="29"/>
        </w:numPr>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achiziţia unui volum impus de produse sau servicii, care excede volumului necesar furnizării tipului de acces solicitat;</w:t>
      </w:r>
    </w:p>
    <w:p w:rsidR="003101C9" w:rsidRPr="00446F65" w:rsidRDefault="003101C9" w:rsidP="00317915">
      <w:pPr>
        <w:pStyle w:val="ListParagraph"/>
        <w:numPr>
          <w:ilvl w:val="0"/>
          <w:numId w:val="29"/>
        </w:numPr>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impunerea oricăror condiţii comerciale, tehnice sau de alt</w:t>
      </w:r>
      <w:r w:rsidR="00D70AFF" w:rsidRPr="00446F65">
        <w:rPr>
          <w:rFonts w:ascii="Times New Roman" w:hAnsi="Times New Roman" w:cs="Times New Roman"/>
          <w:sz w:val="26"/>
          <w:szCs w:val="26"/>
          <w:lang w:val="ro-MO"/>
        </w:rPr>
        <w:t xml:space="preserve">ă natură, care nu sunt necesare </w:t>
      </w:r>
      <w:r w:rsidRPr="00446F65">
        <w:rPr>
          <w:rFonts w:ascii="Times New Roman" w:hAnsi="Times New Roman" w:cs="Times New Roman"/>
          <w:sz w:val="26"/>
          <w:szCs w:val="26"/>
          <w:lang w:val="ro-MO"/>
        </w:rPr>
        <w:t>furnizării tipului de acces solicitat.</w:t>
      </w:r>
    </w:p>
    <w:p w:rsidR="00635C43" w:rsidRPr="00446F65" w:rsidRDefault="003101C9"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Serviciile incluse în piaţa relevantă cu ridicata analizată vizează furnizarea accesului în forma sa necondiţionată, astfel încât beneficiarul accesului să nu plătească pentru servicii care nu îi sunt necesare pentru furnizarea propriil</w:t>
      </w:r>
      <w:r w:rsidR="00694D67" w:rsidRPr="00446F65">
        <w:rPr>
          <w:rFonts w:ascii="Times New Roman" w:hAnsi="Times New Roman" w:cs="Times New Roman"/>
          <w:sz w:val="26"/>
          <w:szCs w:val="26"/>
          <w:lang w:val="ro-MO"/>
        </w:rPr>
        <w:t>or servicii.</w:t>
      </w:r>
    </w:p>
    <w:p w:rsidR="00F02BAD" w:rsidRPr="00446F65" w:rsidRDefault="00F02BAD"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F06756" w:rsidRPr="00446F65" w:rsidRDefault="005D4CB5" w:rsidP="00317915">
      <w:pPr>
        <w:pStyle w:val="Heading4"/>
        <w:spacing w:line="240" w:lineRule="auto"/>
        <w:ind w:firstLine="567"/>
        <w:rPr>
          <w:rFonts w:cs="Times New Roman"/>
          <w:i w:val="0"/>
          <w:color w:val="auto"/>
          <w:szCs w:val="26"/>
          <w:lang w:val="ro-MO"/>
        </w:rPr>
      </w:pPr>
      <w:bookmarkStart w:id="32" w:name="_Toc492907391"/>
      <w:r w:rsidRPr="00446F65">
        <w:rPr>
          <w:rFonts w:cs="Times New Roman"/>
          <w:i w:val="0"/>
          <w:color w:val="auto"/>
          <w:szCs w:val="26"/>
          <w:lang w:val="ro-MO"/>
        </w:rPr>
        <w:t xml:space="preserve">3.3.2 </w:t>
      </w:r>
      <w:r w:rsidR="00F06756" w:rsidRPr="00446F65">
        <w:rPr>
          <w:rFonts w:cs="Times New Roman"/>
          <w:i w:val="0"/>
          <w:color w:val="auto"/>
          <w:szCs w:val="26"/>
          <w:lang w:val="ro-MO"/>
        </w:rPr>
        <w:t xml:space="preserve"> Principiile aplicate de ANRCETI pentru stabilirea remediilor</w:t>
      </w:r>
      <w:bookmarkEnd w:id="32"/>
    </w:p>
    <w:p w:rsidR="00E762D8" w:rsidRPr="00446F65" w:rsidRDefault="00F0675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consideră că asigurarea unui regim </w:t>
      </w:r>
      <w:r w:rsidR="00DE1227" w:rsidRPr="00446F65">
        <w:rPr>
          <w:rFonts w:ascii="Times New Roman" w:hAnsi="Times New Roman" w:cs="Times New Roman"/>
          <w:sz w:val="26"/>
          <w:szCs w:val="26"/>
          <w:lang w:val="ro-MO"/>
        </w:rPr>
        <w:t xml:space="preserve">eficient, transparent şi riguros fundamentat </w:t>
      </w:r>
      <w:r w:rsidRPr="00446F65">
        <w:rPr>
          <w:rFonts w:ascii="Times New Roman" w:hAnsi="Times New Roman" w:cs="Times New Roman"/>
          <w:sz w:val="26"/>
          <w:szCs w:val="26"/>
          <w:lang w:val="ro-MO"/>
        </w:rPr>
        <w:t xml:space="preserve">al accesului necondiţionat la infrastructura de rețea, cel puţin acolo unde acele elemente de reţea sunt greu </w:t>
      </w:r>
      <w:r w:rsidR="00DE1227" w:rsidRPr="00446F65">
        <w:rPr>
          <w:rFonts w:ascii="Times New Roman" w:hAnsi="Times New Roman" w:cs="Times New Roman"/>
          <w:sz w:val="26"/>
          <w:szCs w:val="26"/>
          <w:lang w:val="ro-MO"/>
        </w:rPr>
        <w:t xml:space="preserve">de dublat </w:t>
      </w:r>
      <w:r w:rsidRPr="00446F65">
        <w:rPr>
          <w:rFonts w:ascii="Times New Roman" w:hAnsi="Times New Roman" w:cs="Times New Roman"/>
          <w:sz w:val="26"/>
          <w:szCs w:val="26"/>
          <w:lang w:val="ro-MO"/>
        </w:rPr>
        <w:t xml:space="preserve">de către furnizorii alternativi, poate determina </w:t>
      </w:r>
      <w:r w:rsidR="00AE31E3" w:rsidRPr="00446F65">
        <w:rPr>
          <w:rFonts w:ascii="Times New Roman" w:hAnsi="Times New Roman" w:cs="Times New Roman"/>
          <w:sz w:val="26"/>
          <w:szCs w:val="26"/>
          <w:lang w:val="ro-MO"/>
        </w:rPr>
        <w:t>pe termen lung</w:t>
      </w:r>
      <w:r w:rsidR="005D048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creşterea concurenţei. </w:t>
      </w:r>
    </w:p>
    <w:p w:rsidR="00F06756" w:rsidRPr="00446F65" w:rsidRDefault="00F0675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consideră că, acolo unde este proporţional şi în interesul pe termen lung al utilizatorilor finali, trebuie să se asigure accesul la elementele greu </w:t>
      </w:r>
      <w:r w:rsidR="00DE1227" w:rsidRPr="00446F65">
        <w:rPr>
          <w:rFonts w:ascii="Times New Roman" w:hAnsi="Times New Roman" w:cs="Times New Roman"/>
          <w:sz w:val="26"/>
          <w:szCs w:val="26"/>
          <w:lang w:val="ro-MO"/>
        </w:rPr>
        <w:t xml:space="preserve">de dublat </w:t>
      </w:r>
      <w:r w:rsidRPr="00446F65">
        <w:rPr>
          <w:rFonts w:ascii="Times New Roman" w:hAnsi="Times New Roman" w:cs="Times New Roman"/>
          <w:sz w:val="26"/>
          <w:szCs w:val="26"/>
          <w:lang w:val="ro-MO"/>
        </w:rPr>
        <w:t>ale reţelei.</w:t>
      </w:r>
    </w:p>
    <w:p w:rsidR="00F06756" w:rsidRPr="00446F65" w:rsidRDefault="00672F72"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Având în vedere interesul </w:t>
      </w:r>
      <w:r w:rsidR="00F06756" w:rsidRPr="00446F65">
        <w:rPr>
          <w:rFonts w:ascii="Times New Roman" w:hAnsi="Times New Roman" w:cs="Times New Roman"/>
          <w:sz w:val="26"/>
          <w:szCs w:val="26"/>
          <w:lang w:val="ro-MO"/>
        </w:rPr>
        <w:t>general</w:t>
      </w:r>
      <w:r w:rsidRPr="00446F65">
        <w:rPr>
          <w:rFonts w:ascii="Times New Roman" w:hAnsi="Times New Roman" w:cs="Times New Roman"/>
          <w:sz w:val="26"/>
          <w:szCs w:val="26"/>
          <w:lang w:val="ro-MO"/>
        </w:rPr>
        <w:t xml:space="preserve"> al societăţii moderne pentru conectivitate deplină cu servicii de acces în bandă largă a utilizatorilor</w:t>
      </w:r>
      <w:r w:rsidR="00F06756"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xml:space="preserve"> concurenţa eficientă poate cel mai bine</w:t>
      </w:r>
      <w:r w:rsidR="005D048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răspunde acestei nevoi ale societăţii. </w:t>
      </w:r>
      <w:r w:rsidR="005A5240" w:rsidRPr="00446F65">
        <w:rPr>
          <w:rFonts w:ascii="Times New Roman" w:hAnsi="Times New Roman" w:cs="Times New Roman"/>
          <w:sz w:val="26"/>
          <w:szCs w:val="26"/>
          <w:lang w:val="ro-MO"/>
        </w:rPr>
        <w:t>Pentru aceasta, este nevoie de a se asigura o concurență efectivă, bazată pe infrastructuri</w:t>
      </w:r>
      <w:r w:rsidR="005A5240" w:rsidRPr="00446F65">
        <w:rPr>
          <w:rStyle w:val="FootnoteReference"/>
          <w:rFonts w:ascii="Times New Roman" w:hAnsi="Times New Roman" w:cs="Times New Roman"/>
          <w:sz w:val="26"/>
          <w:szCs w:val="26"/>
          <w:lang w:val="ro-MO"/>
        </w:rPr>
        <w:footnoteReference w:id="12"/>
      </w:r>
      <w:r w:rsidR="00DE1227" w:rsidRPr="00446F65">
        <w:rPr>
          <w:rFonts w:ascii="Times New Roman" w:hAnsi="Times New Roman" w:cs="Times New Roman"/>
          <w:sz w:val="26"/>
          <w:szCs w:val="26"/>
          <w:lang w:val="ro-MO"/>
        </w:rPr>
        <w:t>, iar pentru aceasta trebuie alese remediile potrivite care nu doar că permit accesul și utilizarea efectivă a infrastructurii de rețea a</w:t>
      </w:r>
      <w:r w:rsidR="00694D67" w:rsidRPr="00446F65">
        <w:rPr>
          <w:rFonts w:ascii="Times New Roman" w:hAnsi="Times New Roman" w:cs="Times New Roman"/>
          <w:sz w:val="26"/>
          <w:szCs w:val="26"/>
          <w:lang w:val="ro-MO"/>
        </w:rPr>
        <w:t xml:space="preserve"> </w:t>
      </w:r>
      <w:r w:rsidR="00DE1227" w:rsidRPr="00446F65">
        <w:rPr>
          <w:rFonts w:ascii="Times New Roman" w:hAnsi="Times New Roman" w:cs="Times New Roman"/>
          <w:sz w:val="26"/>
          <w:szCs w:val="26"/>
          <w:lang w:val="ro-MO"/>
        </w:rPr>
        <w:t>furnizorului cu PSP, dar și că sunt echilibrate astfel, încât motivează furnizorii să urce pe scara investițiilor prin construirea de rețele concurente</w:t>
      </w:r>
      <w:r w:rsidR="005A5240" w:rsidRPr="00446F65">
        <w:rPr>
          <w:rFonts w:ascii="Times New Roman" w:hAnsi="Times New Roman" w:cs="Times New Roman"/>
          <w:sz w:val="26"/>
          <w:szCs w:val="26"/>
          <w:lang w:val="ro-MO"/>
        </w:rPr>
        <w:t>.</w:t>
      </w:r>
      <w:r w:rsidR="0057151D" w:rsidRPr="00446F65">
        <w:rPr>
          <w:rFonts w:ascii="Times New Roman" w:hAnsi="Times New Roman" w:cs="Times New Roman"/>
          <w:sz w:val="26"/>
          <w:szCs w:val="26"/>
          <w:lang w:val="ro-MO"/>
        </w:rPr>
        <w:t xml:space="preserve"> </w:t>
      </w:r>
    </w:p>
    <w:p w:rsidR="00F06756" w:rsidRPr="00446F65" w:rsidRDefault="00F0675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Este important ca reglementarea să menţină stimulentele de a inv</w:t>
      </w:r>
      <w:r w:rsidR="005D4CB5" w:rsidRPr="00446F65">
        <w:rPr>
          <w:rFonts w:ascii="Times New Roman" w:hAnsi="Times New Roman" w:cs="Times New Roman"/>
          <w:sz w:val="26"/>
          <w:szCs w:val="26"/>
          <w:lang w:val="ro-MO"/>
        </w:rPr>
        <w:t xml:space="preserve">esti în reţea şi în dezvoltarea </w:t>
      </w:r>
      <w:r w:rsidRPr="00446F65">
        <w:rPr>
          <w:rFonts w:ascii="Times New Roman" w:hAnsi="Times New Roman" w:cs="Times New Roman"/>
          <w:sz w:val="26"/>
          <w:szCs w:val="26"/>
          <w:lang w:val="ro-MO"/>
        </w:rPr>
        <w:t xml:space="preserve">reţelei ale </w:t>
      </w:r>
      <w:r w:rsidR="005D4CB5" w:rsidRPr="00446F65">
        <w:rPr>
          <w:rFonts w:ascii="Times New Roman" w:hAnsi="Times New Roman" w:cs="Times New Roman"/>
          <w:sz w:val="26"/>
          <w:szCs w:val="26"/>
          <w:lang w:val="ro-MO"/>
        </w:rPr>
        <w:t>furniz</w:t>
      </w:r>
      <w:r w:rsidRPr="00446F65">
        <w:rPr>
          <w:rFonts w:ascii="Times New Roman" w:hAnsi="Times New Roman" w:cs="Times New Roman"/>
          <w:sz w:val="26"/>
          <w:szCs w:val="26"/>
          <w:lang w:val="ro-MO"/>
        </w:rPr>
        <w:t>orului cu putere semnificativă, în special acolo unde rep</w:t>
      </w:r>
      <w:r w:rsidR="005D4CB5" w:rsidRPr="00446F65">
        <w:rPr>
          <w:rFonts w:ascii="Times New Roman" w:hAnsi="Times New Roman" w:cs="Times New Roman"/>
          <w:sz w:val="26"/>
          <w:szCs w:val="26"/>
          <w:lang w:val="ro-MO"/>
        </w:rPr>
        <w:t xml:space="preserve">licarea elementelor de reţea nu </w:t>
      </w:r>
      <w:r w:rsidRPr="00446F65">
        <w:rPr>
          <w:rFonts w:ascii="Times New Roman" w:hAnsi="Times New Roman" w:cs="Times New Roman"/>
          <w:sz w:val="26"/>
          <w:szCs w:val="26"/>
          <w:lang w:val="ro-MO"/>
        </w:rPr>
        <w:t xml:space="preserve">este fezabilă. În alte cazuri, atunci când replicarea acestor elemente este posibilă, </w:t>
      </w:r>
      <w:r w:rsidR="005D0482" w:rsidRPr="00446F65">
        <w:rPr>
          <w:rFonts w:ascii="Times New Roman" w:hAnsi="Times New Roman" w:cs="Times New Roman"/>
          <w:sz w:val="26"/>
          <w:szCs w:val="26"/>
          <w:lang w:val="ro-MO"/>
        </w:rPr>
        <w:t>ANRCETI</w:t>
      </w:r>
      <w:r w:rsidRPr="00446F65">
        <w:rPr>
          <w:rFonts w:ascii="Times New Roman" w:hAnsi="Times New Roman" w:cs="Times New Roman"/>
          <w:sz w:val="26"/>
          <w:szCs w:val="26"/>
          <w:lang w:val="ro-MO"/>
        </w:rPr>
        <w:t xml:space="preserve"> trebuie să se asigure că atât furnizorul alternativ, cât şi </w:t>
      </w:r>
      <w:r w:rsidR="005D4CB5" w:rsidRPr="00446F65">
        <w:rPr>
          <w:rFonts w:ascii="Times New Roman" w:hAnsi="Times New Roman" w:cs="Times New Roman"/>
          <w:sz w:val="26"/>
          <w:szCs w:val="26"/>
          <w:lang w:val="ro-MO"/>
        </w:rPr>
        <w:t xml:space="preserve">cel cu putere semnificativă </w:t>
      </w:r>
      <w:r w:rsidRPr="00446F65">
        <w:rPr>
          <w:rFonts w:ascii="Times New Roman" w:hAnsi="Times New Roman" w:cs="Times New Roman"/>
          <w:sz w:val="26"/>
          <w:szCs w:val="26"/>
          <w:lang w:val="ro-MO"/>
        </w:rPr>
        <w:t>se află în aceeaşi poziţie din punctul de vedere al posibilităţilor de a invest</w:t>
      </w:r>
      <w:r w:rsidR="005D4CB5" w:rsidRPr="00446F65">
        <w:rPr>
          <w:rFonts w:ascii="Times New Roman" w:hAnsi="Times New Roman" w:cs="Times New Roman"/>
          <w:sz w:val="26"/>
          <w:szCs w:val="26"/>
          <w:lang w:val="ro-MO"/>
        </w:rPr>
        <w:t>i în reţea. În ceea ce priveşte f</w:t>
      </w:r>
      <w:r w:rsidRPr="00446F65">
        <w:rPr>
          <w:rFonts w:ascii="Times New Roman" w:hAnsi="Times New Roman" w:cs="Times New Roman"/>
          <w:sz w:val="26"/>
          <w:szCs w:val="26"/>
          <w:lang w:val="ro-MO"/>
        </w:rPr>
        <w:t xml:space="preserve">ezabilitatea replicării reţelei, factorii care trebuie luaţi în considerare includ, </w:t>
      </w:r>
      <w:r w:rsidRPr="00446F65">
        <w:rPr>
          <w:rFonts w:ascii="Times New Roman" w:hAnsi="Times New Roman" w:cs="Times New Roman"/>
          <w:i/>
          <w:sz w:val="26"/>
          <w:szCs w:val="26"/>
          <w:lang w:val="ro-MO"/>
        </w:rPr>
        <w:t>inter alia</w:t>
      </w:r>
      <w:r w:rsidR="005D4CB5" w:rsidRPr="00446F65">
        <w:rPr>
          <w:rFonts w:ascii="Times New Roman" w:hAnsi="Times New Roman" w:cs="Times New Roman"/>
          <w:sz w:val="26"/>
          <w:szCs w:val="26"/>
          <w:lang w:val="ro-MO"/>
        </w:rPr>
        <w:t xml:space="preserve">: viabilitatea </w:t>
      </w:r>
      <w:r w:rsidRPr="00446F65">
        <w:rPr>
          <w:rFonts w:ascii="Times New Roman" w:hAnsi="Times New Roman" w:cs="Times New Roman"/>
          <w:sz w:val="26"/>
          <w:szCs w:val="26"/>
          <w:lang w:val="ro-MO"/>
        </w:rPr>
        <w:t>tehnică şi economică a utilizării sau instalării unor facilităţi concurente, din perspec</w:t>
      </w:r>
      <w:r w:rsidR="005D4CB5" w:rsidRPr="00446F65">
        <w:rPr>
          <w:rFonts w:ascii="Times New Roman" w:hAnsi="Times New Roman" w:cs="Times New Roman"/>
          <w:sz w:val="26"/>
          <w:szCs w:val="26"/>
          <w:lang w:val="ro-MO"/>
        </w:rPr>
        <w:t xml:space="preserve">tiva ratei de </w:t>
      </w:r>
      <w:r w:rsidRPr="00446F65">
        <w:rPr>
          <w:rFonts w:ascii="Times New Roman" w:hAnsi="Times New Roman" w:cs="Times New Roman"/>
          <w:sz w:val="26"/>
          <w:szCs w:val="26"/>
          <w:lang w:val="ro-MO"/>
        </w:rPr>
        <w:t>dezvoltare a pieţei; fezabilitatea furnizării accesului pr</w:t>
      </w:r>
      <w:r w:rsidR="005D4CB5" w:rsidRPr="00446F65">
        <w:rPr>
          <w:rFonts w:ascii="Times New Roman" w:hAnsi="Times New Roman" w:cs="Times New Roman"/>
          <w:sz w:val="26"/>
          <w:szCs w:val="26"/>
          <w:lang w:val="ro-MO"/>
        </w:rPr>
        <w:t xml:space="preserve">opus, în relaţie cu capacitatea disponibilă; </w:t>
      </w:r>
      <w:r w:rsidRPr="00446F65">
        <w:rPr>
          <w:rFonts w:ascii="Times New Roman" w:hAnsi="Times New Roman" w:cs="Times New Roman"/>
          <w:sz w:val="26"/>
          <w:szCs w:val="26"/>
          <w:lang w:val="ro-MO"/>
        </w:rPr>
        <w:t>investiţia iniţială a proprietarului facilităţii respective, ţinând cont de</w:t>
      </w:r>
      <w:r w:rsidR="005D4CB5" w:rsidRPr="00446F65">
        <w:rPr>
          <w:rFonts w:ascii="Times New Roman" w:hAnsi="Times New Roman" w:cs="Times New Roman"/>
          <w:sz w:val="26"/>
          <w:szCs w:val="26"/>
          <w:lang w:val="ro-MO"/>
        </w:rPr>
        <w:t xml:space="preserve"> riscurile pe care le presupune </w:t>
      </w:r>
      <w:r w:rsidRPr="00446F65">
        <w:rPr>
          <w:rFonts w:ascii="Times New Roman" w:hAnsi="Times New Roman" w:cs="Times New Roman"/>
          <w:sz w:val="26"/>
          <w:szCs w:val="26"/>
          <w:lang w:val="ro-MO"/>
        </w:rPr>
        <w:t>realizarea unei investiţii; nevoia de a încuraja şi proteja concurenţa pe termen lung.</w:t>
      </w:r>
    </w:p>
    <w:p w:rsidR="00F06756" w:rsidRPr="00446F65" w:rsidRDefault="00F0675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Cu toate acestea, dacă furnizorul alternativ are nevoie, în ace</w:t>
      </w:r>
      <w:r w:rsidR="00D70AFF" w:rsidRPr="00446F65">
        <w:rPr>
          <w:rFonts w:ascii="Times New Roman" w:hAnsi="Times New Roman" w:cs="Times New Roman"/>
          <w:sz w:val="26"/>
          <w:szCs w:val="26"/>
          <w:lang w:val="ro-MO"/>
        </w:rPr>
        <w:t>ste cazuri, de acces la reţeaua furnizorului</w:t>
      </w:r>
      <w:r w:rsidRPr="00446F65">
        <w:rPr>
          <w:rFonts w:ascii="Times New Roman" w:hAnsi="Times New Roman" w:cs="Times New Roman"/>
          <w:sz w:val="26"/>
          <w:szCs w:val="26"/>
          <w:lang w:val="ro-MO"/>
        </w:rPr>
        <w:t xml:space="preserve"> cu putere semnificativă, acest acces trebuie să se realizeze </w:t>
      </w:r>
      <w:r w:rsidR="005D4CB5" w:rsidRPr="00446F65">
        <w:rPr>
          <w:rFonts w:ascii="Times New Roman" w:hAnsi="Times New Roman" w:cs="Times New Roman"/>
          <w:sz w:val="26"/>
          <w:szCs w:val="26"/>
          <w:lang w:val="ro-MO"/>
        </w:rPr>
        <w:t xml:space="preserve">rapid, în condiţii obiective şi </w:t>
      </w:r>
      <w:r w:rsidRPr="00446F65">
        <w:rPr>
          <w:rFonts w:ascii="Times New Roman" w:hAnsi="Times New Roman" w:cs="Times New Roman"/>
          <w:sz w:val="26"/>
          <w:szCs w:val="26"/>
          <w:lang w:val="ro-MO"/>
        </w:rPr>
        <w:t>proporţionale.</w:t>
      </w:r>
    </w:p>
    <w:p w:rsidR="005D4CB5" w:rsidRPr="00446F65" w:rsidRDefault="00F0675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Conturarea unor astfel de reglementări necesită o atenţie deosebită faţă de:</w:t>
      </w:r>
    </w:p>
    <w:p w:rsidR="005D4CB5" w:rsidRPr="00446F65" w:rsidRDefault="005D4CB5" w:rsidP="00317915">
      <w:pPr>
        <w:pStyle w:val="ListParagraph"/>
        <w:numPr>
          <w:ilvl w:val="0"/>
          <w:numId w:val="30"/>
        </w:numPr>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stimulentele </w:t>
      </w:r>
      <w:r w:rsidR="00F06756" w:rsidRPr="00446F65">
        <w:rPr>
          <w:rFonts w:ascii="Times New Roman" w:hAnsi="Times New Roman" w:cs="Times New Roman"/>
          <w:sz w:val="26"/>
          <w:szCs w:val="26"/>
          <w:lang w:val="ro-MO"/>
        </w:rPr>
        <w:t xml:space="preserve">economice ale entităţilor implicate; </w:t>
      </w:r>
    </w:p>
    <w:p w:rsidR="005D4CB5" w:rsidRPr="00446F65" w:rsidRDefault="00F06756" w:rsidP="00317915">
      <w:pPr>
        <w:pStyle w:val="ListParagraph"/>
        <w:numPr>
          <w:ilvl w:val="0"/>
          <w:numId w:val="30"/>
        </w:numPr>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asimetriile în ceea ce priveşte accesul la informaţii relevante; </w:t>
      </w:r>
    </w:p>
    <w:p w:rsidR="006C55C6" w:rsidRPr="00446F65" w:rsidRDefault="00F06756" w:rsidP="00317915">
      <w:pPr>
        <w:pStyle w:val="ListParagraph"/>
        <w:numPr>
          <w:ilvl w:val="0"/>
          <w:numId w:val="30"/>
        </w:numPr>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aspecte practice referitoare la controlul respectării deciziilor de reglem</w:t>
      </w:r>
      <w:r w:rsidR="005D4CB5" w:rsidRPr="00446F65">
        <w:rPr>
          <w:rFonts w:ascii="Times New Roman" w:hAnsi="Times New Roman" w:cs="Times New Roman"/>
          <w:sz w:val="26"/>
          <w:szCs w:val="26"/>
          <w:lang w:val="ro-MO"/>
        </w:rPr>
        <w:t xml:space="preserve">entare şi impunerea respectării </w:t>
      </w:r>
      <w:r w:rsidR="0032133F" w:rsidRPr="00446F65">
        <w:rPr>
          <w:rFonts w:ascii="Times New Roman" w:hAnsi="Times New Roman" w:cs="Times New Roman"/>
          <w:sz w:val="26"/>
          <w:szCs w:val="26"/>
          <w:lang w:val="ro-MO"/>
        </w:rPr>
        <w:t>acestora.</w:t>
      </w:r>
    </w:p>
    <w:p w:rsidR="006C55C6" w:rsidRPr="00446F65" w:rsidRDefault="006C55C6" w:rsidP="00317915">
      <w:pPr>
        <w:pStyle w:val="Heading4"/>
        <w:numPr>
          <w:ilvl w:val="2"/>
          <w:numId w:val="16"/>
        </w:numPr>
        <w:spacing w:line="240" w:lineRule="auto"/>
        <w:ind w:left="21" w:firstLine="699"/>
        <w:jc w:val="both"/>
        <w:rPr>
          <w:rFonts w:cs="Times New Roman"/>
          <w:i w:val="0"/>
          <w:color w:val="auto"/>
          <w:szCs w:val="26"/>
          <w:lang w:val="ro-MO"/>
        </w:rPr>
      </w:pPr>
      <w:bookmarkStart w:id="33" w:name="_Toc492907392"/>
      <w:r w:rsidRPr="00446F65">
        <w:rPr>
          <w:rFonts w:cs="Times New Roman"/>
          <w:i w:val="0"/>
          <w:color w:val="auto"/>
          <w:szCs w:val="26"/>
          <w:lang w:val="ro-MO"/>
        </w:rPr>
        <w:lastRenderedPageBreak/>
        <w:t>Obligaţii impuse anterior în sarcina furnizoru</w:t>
      </w:r>
      <w:r w:rsidR="005E317F" w:rsidRPr="00446F65">
        <w:rPr>
          <w:rFonts w:cs="Times New Roman"/>
          <w:i w:val="0"/>
          <w:color w:val="auto"/>
          <w:szCs w:val="26"/>
          <w:lang w:val="ro-MO"/>
        </w:rPr>
        <w:t>lui cu putere semnificativă și i</w:t>
      </w:r>
      <w:r w:rsidRPr="00446F65">
        <w:rPr>
          <w:rFonts w:cs="Times New Roman"/>
          <w:i w:val="0"/>
          <w:color w:val="auto"/>
          <w:szCs w:val="26"/>
          <w:lang w:val="ro-MO"/>
        </w:rPr>
        <w:t>mpactul acestora asupra concurenței de piață</w:t>
      </w:r>
      <w:bookmarkEnd w:id="33"/>
    </w:p>
    <w:p w:rsidR="006C55C6" w:rsidRPr="00446F65" w:rsidRDefault="006C55C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anul 201</w:t>
      </w:r>
      <w:r w:rsidR="000F6DA9" w:rsidRPr="00446F65">
        <w:rPr>
          <w:rFonts w:ascii="Times New Roman" w:hAnsi="Times New Roman" w:cs="Times New Roman"/>
          <w:sz w:val="26"/>
          <w:szCs w:val="26"/>
          <w:lang w:val="ro-MO"/>
        </w:rPr>
        <w:t>3</w:t>
      </w:r>
      <w:r w:rsidRPr="00446F65">
        <w:rPr>
          <w:rFonts w:ascii="Times New Roman" w:hAnsi="Times New Roman" w:cs="Times New Roman"/>
          <w:sz w:val="26"/>
          <w:szCs w:val="26"/>
          <w:lang w:val="ro-MO"/>
        </w:rPr>
        <w:t xml:space="preserve">, </w:t>
      </w:r>
      <w:r w:rsidR="00463EC0" w:rsidRPr="00446F65">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xml:space="preserve"> a fost desemnat de ANRCETI ca având putere semnificativă pe piaţa furnizării accesului cu ridicata </w:t>
      </w:r>
      <w:r w:rsidR="00580CA9" w:rsidRPr="00446F65">
        <w:rPr>
          <w:rFonts w:ascii="Times New Roman" w:hAnsi="Times New Roman" w:cs="Times New Roman"/>
          <w:sz w:val="26"/>
          <w:szCs w:val="26"/>
          <w:lang w:val="ro-MO"/>
        </w:rPr>
        <w:t>la infrastructura de rețea la un post fix</w:t>
      </w:r>
      <w:r w:rsidRPr="00446F65">
        <w:rPr>
          <w:rFonts w:ascii="Times New Roman" w:hAnsi="Times New Roman" w:cs="Times New Roman"/>
          <w:sz w:val="26"/>
          <w:szCs w:val="26"/>
          <w:lang w:val="ro-MO"/>
        </w:rPr>
        <w:t>.</w:t>
      </w:r>
      <w:r w:rsidR="00A6290F" w:rsidRPr="00446F65">
        <w:rPr>
          <w:rFonts w:ascii="Times New Roman" w:hAnsi="Times New Roman" w:cs="Times New Roman"/>
          <w:sz w:val="26"/>
          <w:szCs w:val="26"/>
          <w:lang w:val="ro-MO"/>
        </w:rPr>
        <w:t xml:space="preserve"> </w:t>
      </w:r>
      <w:r w:rsidR="003F0448" w:rsidRPr="00446F65">
        <w:rPr>
          <w:rFonts w:ascii="Times New Roman" w:hAnsi="Times New Roman" w:cs="Times New Roman"/>
          <w:sz w:val="26"/>
          <w:szCs w:val="26"/>
          <w:lang w:val="ro-MO"/>
        </w:rPr>
        <w:t xml:space="preserve">Menționăm că piața </w:t>
      </w:r>
      <w:r w:rsidR="00A6290F" w:rsidRPr="00446F65">
        <w:rPr>
          <w:rFonts w:ascii="Times New Roman" w:hAnsi="Times New Roman" w:cs="Times New Roman"/>
          <w:sz w:val="26"/>
          <w:szCs w:val="26"/>
          <w:lang w:val="ro-MO"/>
        </w:rPr>
        <w:t>cu ridicata de servicii de acces local la puncte fixe</w:t>
      </w:r>
      <w:r w:rsidR="003F0448" w:rsidRPr="00446F65">
        <w:rPr>
          <w:rFonts w:ascii="Times New Roman" w:hAnsi="Times New Roman" w:cs="Times New Roman"/>
          <w:sz w:val="26"/>
          <w:szCs w:val="26"/>
          <w:lang w:val="ro-MO"/>
        </w:rPr>
        <w:t xml:space="preserve"> include serviciile furnizate pe piața accesului cu ridicata la infrastructura de rețea la un post fix. </w:t>
      </w:r>
    </w:p>
    <w:p w:rsidR="00813A55" w:rsidRPr="00446F65" w:rsidRDefault="00F80964"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ANRCETI,</w:t>
      </w:r>
      <w:r w:rsidR="005D048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p</w:t>
      </w:r>
      <w:r w:rsidR="006C55C6" w:rsidRPr="00446F65">
        <w:rPr>
          <w:rFonts w:ascii="Times New Roman" w:hAnsi="Times New Roman" w:cs="Times New Roman"/>
          <w:sz w:val="26"/>
          <w:szCs w:val="26"/>
          <w:lang w:val="ro-MO"/>
        </w:rPr>
        <w:t xml:space="preserve">rin </w:t>
      </w:r>
      <w:r w:rsidRPr="00446F65">
        <w:rPr>
          <w:rFonts w:ascii="Times New Roman" w:hAnsi="Times New Roman" w:cs="Times New Roman"/>
          <w:sz w:val="26"/>
          <w:szCs w:val="26"/>
          <w:lang w:val="ro-MO"/>
        </w:rPr>
        <w:t>Hotărârea</w:t>
      </w:r>
      <w:r w:rsidR="00694D67" w:rsidRPr="00446F65">
        <w:rPr>
          <w:rFonts w:ascii="Times New Roman" w:hAnsi="Times New Roman" w:cs="Times New Roman"/>
          <w:sz w:val="26"/>
          <w:szCs w:val="26"/>
          <w:lang w:val="ro-MO"/>
        </w:rPr>
        <w:t xml:space="preserve"> Consiliului de Administrație</w:t>
      </w:r>
      <w:r w:rsidR="006C55C6" w:rsidRPr="00446F65">
        <w:rPr>
          <w:rFonts w:ascii="Times New Roman" w:hAnsi="Times New Roman" w:cs="Times New Roman"/>
          <w:sz w:val="26"/>
          <w:szCs w:val="26"/>
          <w:lang w:val="ro-MO"/>
        </w:rPr>
        <w:t xml:space="preserve"> nr. </w:t>
      </w:r>
      <w:r w:rsidR="00D926F7" w:rsidRPr="00446F65">
        <w:rPr>
          <w:rFonts w:ascii="Times New Roman" w:hAnsi="Times New Roman" w:cs="Times New Roman"/>
          <w:sz w:val="26"/>
          <w:szCs w:val="26"/>
          <w:lang w:val="ro-MO"/>
        </w:rPr>
        <w:t>56</w:t>
      </w:r>
      <w:r w:rsidR="006C55C6" w:rsidRPr="00446F65">
        <w:rPr>
          <w:rFonts w:ascii="Times New Roman" w:hAnsi="Times New Roman" w:cs="Times New Roman"/>
          <w:sz w:val="26"/>
          <w:szCs w:val="26"/>
          <w:lang w:val="ro-MO"/>
        </w:rPr>
        <w:t xml:space="preserve"> din </w:t>
      </w:r>
      <w:r w:rsidR="00D926F7" w:rsidRPr="00446F65">
        <w:rPr>
          <w:rFonts w:ascii="Times New Roman" w:hAnsi="Times New Roman" w:cs="Times New Roman"/>
          <w:sz w:val="26"/>
          <w:szCs w:val="26"/>
          <w:lang w:val="ro-MO"/>
        </w:rPr>
        <w:t>26</w:t>
      </w:r>
      <w:r w:rsidR="006C55C6" w:rsidRPr="00446F65">
        <w:rPr>
          <w:rFonts w:ascii="Times New Roman" w:hAnsi="Times New Roman" w:cs="Times New Roman"/>
          <w:sz w:val="26"/>
          <w:szCs w:val="26"/>
          <w:lang w:val="ro-MO"/>
        </w:rPr>
        <w:t>.</w:t>
      </w:r>
      <w:r w:rsidR="00D926F7" w:rsidRPr="00446F65">
        <w:rPr>
          <w:rFonts w:ascii="Times New Roman" w:hAnsi="Times New Roman" w:cs="Times New Roman"/>
          <w:sz w:val="26"/>
          <w:szCs w:val="26"/>
          <w:lang w:val="ro-MO"/>
        </w:rPr>
        <w:t>09</w:t>
      </w:r>
      <w:r w:rsidR="006C55C6" w:rsidRPr="00446F65">
        <w:rPr>
          <w:rFonts w:ascii="Times New Roman" w:hAnsi="Times New Roman" w:cs="Times New Roman"/>
          <w:sz w:val="26"/>
          <w:szCs w:val="26"/>
          <w:lang w:val="ro-MO"/>
        </w:rPr>
        <w:t>.201</w:t>
      </w:r>
      <w:r w:rsidR="00D926F7" w:rsidRPr="00446F65">
        <w:rPr>
          <w:rFonts w:ascii="Times New Roman" w:hAnsi="Times New Roman" w:cs="Times New Roman"/>
          <w:sz w:val="26"/>
          <w:szCs w:val="26"/>
          <w:lang w:val="ro-MO"/>
        </w:rPr>
        <w:t>3</w:t>
      </w:r>
      <w:r w:rsidR="006C55C6" w:rsidRPr="00446F65">
        <w:rPr>
          <w:rFonts w:ascii="Times New Roman" w:hAnsi="Times New Roman" w:cs="Times New Roman"/>
          <w:sz w:val="26"/>
          <w:szCs w:val="26"/>
          <w:lang w:val="ro-MO"/>
        </w:rPr>
        <w:t xml:space="preserve"> a impu</w:t>
      </w:r>
      <w:r w:rsidRPr="00446F65">
        <w:rPr>
          <w:rFonts w:ascii="Times New Roman" w:hAnsi="Times New Roman" w:cs="Times New Roman"/>
          <w:sz w:val="26"/>
          <w:szCs w:val="26"/>
          <w:lang w:val="ro-MO"/>
        </w:rPr>
        <w:t>s</w:t>
      </w:r>
      <w:r w:rsidR="006C55C6" w:rsidRPr="00446F65">
        <w:rPr>
          <w:rFonts w:ascii="Times New Roman" w:hAnsi="Times New Roman" w:cs="Times New Roman"/>
          <w:sz w:val="26"/>
          <w:szCs w:val="26"/>
          <w:lang w:val="ro-MO"/>
        </w:rPr>
        <w:t xml:space="preserve"> obligații speciale preventive </w:t>
      </w:r>
      <w:r w:rsidRPr="00446F65">
        <w:rPr>
          <w:rFonts w:ascii="Times New Roman" w:hAnsi="Times New Roman" w:cs="Times New Roman"/>
          <w:sz w:val="26"/>
          <w:szCs w:val="26"/>
          <w:lang w:val="ro-MO"/>
        </w:rPr>
        <w:t xml:space="preserve">în sarcina </w:t>
      </w:r>
      <w:r w:rsidR="006C55C6" w:rsidRPr="00446F65">
        <w:rPr>
          <w:rFonts w:ascii="Times New Roman" w:hAnsi="Times New Roman" w:cs="Times New Roman"/>
          <w:sz w:val="26"/>
          <w:szCs w:val="26"/>
          <w:lang w:val="ro-MO"/>
        </w:rPr>
        <w:t>Moldtelecom în legătură cu puterea</w:t>
      </w:r>
      <w:r w:rsidR="00E762D8" w:rsidRPr="00446F65">
        <w:rPr>
          <w:rFonts w:ascii="Times New Roman" w:hAnsi="Times New Roman" w:cs="Times New Roman"/>
          <w:sz w:val="26"/>
          <w:szCs w:val="26"/>
          <w:lang w:val="ro-MO"/>
        </w:rPr>
        <w:t xml:space="preserve"> </w:t>
      </w:r>
      <w:r w:rsidR="006C55C6" w:rsidRPr="00446F65">
        <w:rPr>
          <w:rFonts w:ascii="Times New Roman" w:hAnsi="Times New Roman" w:cs="Times New Roman"/>
          <w:sz w:val="26"/>
          <w:szCs w:val="26"/>
          <w:lang w:val="ro-MO"/>
        </w:rPr>
        <w:t xml:space="preserve">sa semnificativă pe piața accesului cu ridicata </w:t>
      </w:r>
      <w:r w:rsidR="00580CA9" w:rsidRPr="00446F65">
        <w:rPr>
          <w:rFonts w:ascii="Times New Roman" w:hAnsi="Times New Roman" w:cs="Times New Roman"/>
          <w:sz w:val="26"/>
          <w:szCs w:val="26"/>
          <w:lang w:val="ro-MO"/>
        </w:rPr>
        <w:t>la infrastructura de rețea la un post fix</w:t>
      </w:r>
      <w:r w:rsidRPr="00446F65">
        <w:rPr>
          <w:rFonts w:ascii="Times New Roman" w:hAnsi="Times New Roman" w:cs="Times New Roman"/>
          <w:sz w:val="26"/>
          <w:szCs w:val="26"/>
          <w:lang w:val="ro-MO"/>
        </w:rPr>
        <w:t xml:space="preserve">. </w:t>
      </w:r>
    </w:p>
    <w:p w:rsidR="006C55C6" w:rsidRPr="00446F65" w:rsidRDefault="00F80964"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Aceste obligații au vizat</w:t>
      </w:r>
      <w:r w:rsidR="006C55C6" w:rsidRPr="00446F65">
        <w:rPr>
          <w:rFonts w:ascii="Times New Roman" w:hAnsi="Times New Roman" w:cs="Times New Roman"/>
          <w:sz w:val="26"/>
          <w:szCs w:val="26"/>
          <w:lang w:val="ro-MO"/>
        </w:rPr>
        <w:t>:</w:t>
      </w:r>
    </w:p>
    <w:p w:rsidR="006C55C6" w:rsidRPr="00446F65" w:rsidRDefault="0032133F" w:rsidP="00317915">
      <w:pPr>
        <w:pStyle w:val="ListParagraph"/>
        <w:numPr>
          <w:ilvl w:val="0"/>
          <w:numId w:val="6"/>
        </w:numPr>
        <w:tabs>
          <w:tab w:val="left" w:pos="0"/>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w:t>
      </w:r>
      <w:r w:rsidR="006C55C6" w:rsidRPr="00446F65">
        <w:rPr>
          <w:rFonts w:ascii="Times New Roman" w:hAnsi="Times New Roman" w:cs="Times New Roman"/>
          <w:sz w:val="26"/>
          <w:szCs w:val="26"/>
          <w:lang w:val="ro-MO"/>
        </w:rPr>
        <w:t>sigurarea accesului;</w:t>
      </w:r>
    </w:p>
    <w:p w:rsidR="006C55C6" w:rsidRPr="00446F65" w:rsidRDefault="0032133F" w:rsidP="00317915">
      <w:pPr>
        <w:pStyle w:val="ListParagraph"/>
        <w:numPr>
          <w:ilvl w:val="0"/>
          <w:numId w:val="6"/>
        </w:numPr>
        <w:tabs>
          <w:tab w:val="left" w:pos="0"/>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w:t>
      </w:r>
      <w:r w:rsidR="006C55C6" w:rsidRPr="00446F65">
        <w:rPr>
          <w:rFonts w:ascii="Times New Roman" w:hAnsi="Times New Roman" w:cs="Times New Roman"/>
          <w:sz w:val="26"/>
          <w:szCs w:val="26"/>
          <w:lang w:val="ro-MO"/>
        </w:rPr>
        <w:t>sigurarea transparenţei, prin publicarea unei Oferte de Referinţă pentru Acces</w:t>
      </w:r>
      <w:r w:rsidR="00A6290F" w:rsidRPr="00446F65">
        <w:rPr>
          <w:rFonts w:ascii="Times New Roman" w:hAnsi="Times New Roman" w:cs="Times New Roman"/>
          <w:sz w:val="26"/>
          <w:szCs w:val="26"/>
          <w:lang w:val="ro-MO"/>
        </w:rPr>
        <w:t xml:space="preserve"> </w:t>
      </w:r>
      <w:r w:rsidR="006C55C6" w:rsidRPr="00446F65">
        <w:rPr>
          <w:rFonts w:ascii="Times New Roman" w:hAnsi="Times New Roman" w:cs="Times New Roman"/>
          <w:sz w:val="26"/>
          <w:szCs w:val="26"/>
          <w:lang w:val="ro-MO"/>
        </w:rPr>
        <w:t>(ORA);</w:t>
      </w:r>
    </w:p>
    <w:p w:rsidR="006C55C6" w:rsidRPr="00446F65" w:rsidRDefault="0032133F" w:rsidP="00317915">
      <w:pPr>
        <w:pStyle w:val="ListParagraph"/>
        <w:numPr>
          <w:ilvl w:val="0"/>
          <w:numId w:val="6"/>
        </w:numPr>
        <w:tabs>
          <w:tab w:val="left" w:pos="0"/>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N</w:t>
      </w:r>
      <w:r w:rsidR="006C55C6" w:rsidRPr="00446F65">
        <w:rPr>
          <w:rFonts w:ascii="Times New Roman" w:hAnsi="Times New Roman" w:cs="Times New Roman"/>
          <w:sz w:val="26"/>
          <w:szCs w:val="26"/>
          <w:lang w:val="ro-MO"/>
        </w:rPr>
        <w:t>eadmiterea discriminării;</w:t>
      </w:r>
    </w:p>
    <w:p w:rsidR="006C55C6" w:rsidRPr="00446F65" w:rsidRDefault="0032133F" w:rsidP="00317915">
      <w:pPr>
        <w:pStyle w:val="ListParagraph"/>
        <w:numPr>
          <w:ilvl w:val="0"/>
          <w:numId w:val="6"/>
        </w:numPr>
        <w:tabs>
          <w:tab w:val="left" w:pos="0"/>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w:t>
      </w:r>
      <w:r w:rsidR="006C55C6" w:rsidRPr="00446F65">
        <w:rPr>
          <w:rFonts w:ascii="Times New Roman" w:hAnsi="Times New Roman" w:cs="Times New Roman"/>
          <w:sz w:val="26"/>
          <w:szCs w:val="26"/>
          <w:lang w:val="ro-MO"/>
        </w:rPr>
        <w:t xml:space="preserve">ontrolul tarifelor, inclusiv obligaţii de fundamentare a </w:t>
      </w:r>
      <w:r w:rsidR="00A51DAC" w:rsidRPr="00446F65">
        <w:rPr>
          <w:rFonts w:ascii="Times New Roman" w:hAnsi="Times New Roman" w:cs="Times New Roman"/>
          <w:sz w:val="26"/>
          <w:szCs w:val="26"/>
          <w:lang w:val="ro-MO"/>
        </w:rPr>
        <w:t>tarifelor în funcţie de costuri;</w:t>
      </w:r>
    </w:p>
    <w:p w:rsidR="006C55C6" w:rsidRPr="00446F65" w:rsidRDefault="0032133F" w:rsidP="00317915">
      <w:pPr>
        <w:pStyle w:val="ListParagraph"/>
        <w:numPr>
          <w:ilvl w:val="0"/>
          <w:numId w:val="6"/>
        </w:numPr>
        <w:tabs>
          <w:tab w:val="left" w:pos="0"/>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Ț</w:t>
      </w:r>
      <w:r w:rsidR="006C55C6" w:rsidRPr="00446F65">
        <w:rPr>
          <w:rFonts w:ascii="Times New Roman" w:hAnsi="Times New Roman" w:cs="Times New Roman"/>
          <w:sz w:val="26"/>
          <w:szCs w:val="26"/>
          <w:lang w:val="ro-MO"/>
        </w:rPr>
        <w:t>iner</w:t>
      </w:r>
      <w:r w:rsidR="00A51DAC" w:rsidRPr="00446F65">
        <w:rPr>
          <w:rFonts w:ascii="Times New Roman" w:hAnsi="Times New Roman" w:cs="Times New Roman"/>
          <w:sz w:val="26"/>
          <w:szCs w:val="26"/>
          <w:lang w:val="ro-MO"/>
        </w:rPr>
        <w:t>ea evidenţei contabile separate.</w:t>
      </w:r>
    </w:p>
    <w:p w:rsidR="006C55C6" w:rsidRPr="00446F65" w:rsidRDefault="006C55C6" w:rsidP="00317915">
      <w:pPr>
        <w:autoSpaceDE w:val="0"/>
        <w:autoSpaceDN w:val="0"/>
        <w:adjustRightInd w:val="0"/>
        <w:spacing w:after="0" w:line="240" w:lineRule="auto"/>
        <w:ind w:firstLine="720"/>
        <w:jc w:val="both"/>
        <w:rPr>
          <w:rFonts w:ascii="Times New Roman" w:hAnsi="Times New Roman" w:cs="Times New Roman"/>
          <w:b/>
          <w:bCs/>
          <w:sz w:val="26"/>
          <w:szCs w:val="26"/>
          <w:lang w:val="ro-MO"/>
        </w:rPr>
      </w:pPr>
      <w:r w:rsidRPr="00446F65">
        <w:rPr>
          <w:rFonts w:ascii="Times New Roman" w:hAnsi="Times New Roman" w:cs="Times New Roman"/>
          <w:b/>
          <w:bCs/>
          <w:sz w:val="26"/>
          <w:szCs w:val="26"/>
          <w:lang w:val="ro-MO"/>
        </w:rPr>
        <w:t xml:space="preserve">Obligaţia de asigurare a accesului </w:t>
      </w:r>
      <w:r w:rsidR="001353F6" w:rsidRPr="00446F65">
        <w:rPr>
          <w:rFonts w:ascii="Times New Roman" w:hAnsi="Times New Roman" w:cs="Times New Roman"/>
          <w:sz w:val="26"/>
          <w:szCs w:val="26"/>
          <w:lang w:val="ro-MO"/>
        </w:rPr>
        <w:t xml:space="preserve">vizează obligaţia </w:t>
      </w:r>
      <w:r w:rsidR="001353F6">
        <w:rPr>
          <w:rFonts w:ascii="Times New Roman" w:hAnsi="Times New Roman" w:cs="Times New Roman"/>
          <w:sz w:val="26"/>
          <w:szCs w:val="26"/>
          <w:lang w:val="ro-MO"/>
        </w:rPr>
        <w:t xml:space="preserve">de a furniza accesul </w:t>
      </w:r>
      <w:r w:rsidR="001353F6" w:rsidRPr="00446F65">
        <w:rPr>
          <w:rFonts w:ascii="Times New Roman" w:hAnsi="Times New Roman" w:cs="Times New Roman"/>
          <w:sz w:val="26"/>
          <w:szCs w:val="26"/>
          <w:lang w:val="ro-MO"/>
        </w:rPr>
        <w:t>la toate repartitoarele principale şi intermediare din reţeaua sa de acces, la infrastructura asociată şi de utilizare a acestora necondiţionat, precum şi furnizarea serviciilor auxiliare cum ar fi colocarea şi serviciul „</w:t>
      </w:r>
      <w:r w:rsidR="001353F6" w:rsidRPr="00FC0005">
        <w:rPr>
          <w:rFonts w:ascii="Times New Roman" w:hAnsi="Times New Roman" w:cs="Times New Roman"/>
          <w:i/>
          <w:sz w:val="26"/>
          <w:szCs w:val="26"/>
          <w:lang w:val="ro-MO"/>
        </w:rPr>
        <w:t>backhaul</w:t>
      </w:r>
      <w:r w:rsidR="001353F6" w:rsidRPr="00446F65">
        <w:rPr>
          <w:rFonts w:ascii="Times New Roman" w:hAnsi="Times New Roman" w:cs="Times New Roman"/>
          <w:sz w:val="26"/>
          <w:szCs w:val="26"/>
          <w:lang w:val="ro-MO"/>
        </w:rPr>
        <w:t>”</w:t>
      </w:r>
      <w:r w:rsidRPr="00446F65">
        <w:rPr>
          <w:rFonts w:ascii="Times New Roman" w:hAnsi="Times New Roman" w:cs="Times New Roman"/>
          <w:sz w:val="26"/>
          <w:szCs w:val="26"/>
          <w:lang w:val="ro-MO"/>
        </w:rPr>
        <w:t>. Refuzul trebuie să fie temeinic justificat şi va fi</w:t>
      </w:r>
      <w:r w:rsidR="005D048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comunicat în scris solicitantului şi ANRCETI, în termenele stabilite de ANRCETI conform H</w:t>
      </w:r>
      <w:r w:rsidR="005D0482" w:rsidRPr="00446F65">
        <w:rPr>
          <w:rFonts w:ascii="Times New Roman" w:hAnsi="Times New Roman" w:cs="Times New Roman"/>
          <w:sz w:val="26"/>
          <w:szCs w:val="26"/>
          <w:lang w:val="ro-MO"/>
        </w:rPr>
        <w:t xml:space="preserve">otărârii </w:t>
      </w:r>
      <w:r w:rsidR="008A59C0" w:rsidRPr="00446F65">
        <w:rPr>
          <w:rFonts w:ascii="Times New Roman" w:hAnsi="Times New Roman" w:cs="Times New Roman"/>
          <w:sz w:val="26"/>
          <w:szCs w:val="26"/>
          <w:lang w:val="ro-MO"/>
        </w:rPr>
        <w:t>56</w:t>
      </w:r>
      <w:r w:rsidRPr="00446F65">
        <w:rPr>
          <w:rFonts w:ascii="Times New Roman" w:hAnsi="Times New Roman" w:cs="Times New Roman"/>
          <w:sz w:val="26"/>
          <w:szCs w:val="26"/>
          <w:lang w:val="ro-MO"/>
        </w:rPr>
        <w:t>/20</w:t>
      </w:r>
      <w:r w:rsidR="008A59C0" w:rsidRPr="00446F65">
        <w:rPr>
          <w:rFonts w:ascii="Times New Roman" w:hAnsi="Times New Roman" w:cs="Times New Roman"/>
          <w:sz w:val="26"/>
          <w:szCs w:val="26"/>
          <w:lang w:val="ro-MO"/>
        </w:rPr>
        <w:t>13</w:t>
      </w:r>
      <w:r w:rsidRPr="00446F65">
        <w:rPr>
          <w:rFonts w:ascii="Times New Roman" w:hAnsi="Times New Roman" w:cs="Times New Roman"/>
          <w:sz w:val="26"/>
          <w:szCs w:val="26"/>
          <w:lang w:val="ro-MO"/>
        </w:rPr>
        <w:t xml:space="preserve">. Totodată, </w:t>
      </w:r>
      <w:r w:rsidR="005A21BA" w:rsidRPr="00446F65">
        <w:rPr>
          <w:rFonts w:ascii="Times New Roman" w:hAnsi="Times New Roman" w:cs="Times New Roman"/>
          <w:sz w:val="26"/>
          <w:szCs w:val="26"/>
          <w:lang w:val="ro-MO"/>
        </w:rPr>
        <w:t>Moldtelecom</w:t>
      </w:r>
      <w:r w:rsidR="006B611E" w:rsidRPr="00446F65">
        <w:rPr>
          <w:rFonts w:ascii="Times New Roman" w:hAnsi="Times New Roman" w:cs="Times New Roman"/>
          <w:sz w:val="26"/>
          <w:szCs w:val="26"/>
          <w:lang w:val="ro-MO"/>
        </w:rPr>
        <w:t xml:space="preserve"> </w:t>
      </w:r>
      <w:r w:rsidR="00F80964" w:rsidRPr="00446F65">
        <w:rPr>
          <w:rFonts w:ascii="Times New Roman" w:hAnsi="Times New Roman" w:cs="Times New Roman"/>
          <w:sz w:val="26"/>
          <w:szCs w:val="26"/>
          <w:lang w:val="ro-MO"/>
        </w:rPr>
        <w:t>este obligat să ofere</w:t>
      </w:r>
      <w:r w:rsidRPr="00446F65">
        <w:rPr>
          <w:rFonts w:ascii="Times New Roman" w:hAnsi="Times New Roman" w:cs="Times New Roman"/>
          <w:sz w:val="26"/>
          <w:szCs w:val="26"/>
          <w:lang w:val="ro-MO"/>
        </w:rPr>
        <w:t xml:space="preserve"> accesul la sistemele de</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asistenţă operaţională, la sistemele informaţionale, precum şi la bazele de date pentru pregătirea</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comenzilor, aprovizionare, întreţinere, solicitări de reparaţii şi facturare.</w:t>
      </w:r>
    </w:p>
    <w:p w:rsidR="006C55C6" w:rsidRPr="00446F65" w:rsidRDefault="006C55C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Orice </w:t>
      </w:r>
      <w:r w:rsidR="00951F8B" w:rsidRPr="00446F65">
        <w:rPr>
          <w:rFonts w:ascii="Times New Roman" w:hAnsi="Times New Roman" w:cs="Times New Roman"/>
          <w:sz w:val="26"/>
          <w:szCs w:val="26"/>
          <w:lang w:val="ro-MO"/>
        </w:rPr>
        <w:t>furnizor</w:t>
      </w:r>
      <w:r w:rsidRPr="00446F65">
        <w:rPr>
          <w:rFonts w:ascii="Times New Roman" w:hAnsi="Times New Roman" w:cs="Times New Roman"/>
          <w:sz w:val="26"/>
          <w:szCs w:val="26"/>
          <w:lang w:val="ro-MO"/>
        </w:rPr>
        <w:t xml:space="preserve"> interesat să încheie un acord de acces la bucla locală trebuie să transmită o</w:t>
      </w:r>
      <w:r w:rsidR="00C46687"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cerere către </w:t>
      </w:r>
      <w:r w:rsidR="005A21BA" w:rsidRPr="00446F65">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xml:space="preserve">. Termenul maxim prevăzut în </w:t>
      </w:r>
      <w:r w:rsidR="00E725CC" w:rsidRPr="00446F65">
        <w:rPr>
          <w:rFonts w:ascii="Times New Roman" w:hAnsi="Times New Roman" w:cs="Times New Roman"/>
          <w:sz w:val="26"/>
          <w:szCs w:val="26"/>
          <w:lang w:val="ro-MO"/>
        </w:rPr>
        <w:t>Hotărârea</w:t>
      </w:r>
      <w:r w:rsidRPr="00446F65">
        <w:rPr>
          <w:rFonts w:ascii="Times New Roman" w:hAnsi="Times New Roman" w:cs="Times New Roman"/>
          <w:sz w:val="26"/>
          <w:szCs w:val="26"/>
          <w:lang w:val="ro-MO"/>
        </w:rPr>
        <w:t xml:space="preserve"> nr.</w:t>
      </w:r>
      <w:r w:rsidR="008A59C0" w:rsidRPr="00446F65">
        <w:rPr>
          <w:rFonts w:ascii="Times New Roman" w:hAnsi="Times New Roman" w:cs="Times New Roman"/>
          <w:sz w:val="26"/>
          <w:szCs w:val="26"/>
          <w:lang w:val="ro-MO"/>
        </w:rPr>
        <w:t>56</w:t>
      </w:r>
      <w:r w:rsidRPr="00446F65">
        <w:rPr>
          <w:rFonts w:ascii="Times New Roman" w:hAnsi="Times New Roman" w:cs="Times New Roman"/>
          <w:sz w:val="26"/>
          <w:szCs w:val="26"/>
          <w:lang w:val="ro-MO"/>
        </w:rPr>
        <w:t>/20</w:t>
      </w:r>
      <w:r w:rsidR="008A59C0" w:rsidRPr="00446F65">
        <w:rPr>
          <w:rFonts w:ascii="Times New Roman" w:hAnsi="Times New Roman" w:cs="Times New Roman"/>
          <w:sz w:val="26"/>
          <w:szCs w:val="26"/>
          <w:lang w:val="ro-MO"/>
        </w:rPr>
        <w:t>13</w:t>
      </w:r>
      <w:r w:rsidRPr="00446F65">
        <w:rPr>
          <w:rFonts w:ascii="Times New Roman" w:hAnsi="Times New Roman" w:cs="Times New Roman"/>
          <w:sz w:val="26"/>
          <w:szCs w:val="26"/>
          <w:lang w:val="ro-MO"/>
        </w:rPr>
        <w:t xml:space="preserve"> pentru încheierea unui acord în acest sens este de 20</w:t>
      </w:r>
      <w:r w:rsidR="006B611E" w:rsidRPr="00446F65">
        <w:rPr>
          <w:rFonts w:ascii="Times New Roman" w:hAnsi="Times New Roman" w:cs="Times New Roman"/>
          <w:sz w:val="26"/>
          <w:szCs w:val="26"/>
          <w:lang w:val="ro-MO"/>
        </w:rPr>
        <w:t xml:space="preserve"> </w:t>
      </w:r>
      <w:r w:rsidR="00C22630" w:rsidRPr="00446F65">
        <w:rPr>
          <w:rFonts w:ascii="Times New Roman" w:hAnsi="Times New Roman" w:cs="Times New Roman"/>
          <w:sz w:val="26"/>
          <w:szCs w:val="26"/>
          <w:lang w:val="ro-MO"/>
        </w:rPr>
        <w:t xml:space="preserve">zile de la primirea cererii. </w:t>
      </w:r>
    </w:p>
    <w:p w:rsidR="006B611E" w:rsidRPr="00446F65" w:rsidRDefault="006C55C6"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Pentru a respecta </w:t>
      </w:r>
      <w:r w:rsidRPr="00446F65">
        <w:rPr>
          <w:rFonts w:ascii="Times New Roman" w:hAnsi="Times New Roman" w:cs="Times New Roman"/>
          <w:b/>
          <w:bCs/>
          <w:sz w:val="26"/>
          <w:szCs w:val="26"/>
          <w:lang w:val="ro-MO"/>
        </w:rPr>
        <w:t>obligaţia de transparenţă</w:t>
      </w:r>
      <w:r w:rsidRPr="00446F65">
        <w:rPr>
          <w:rFonts w:ascii="Times New Roman" w:hAnsi="Times New Roman" w:cs="Times New Roman"/>
          <w:sz w:val="26"/>
          <w:szCs w:val="26"/>
          <w:lang w:val="ro-MO"/>
        </w:rPr>
        <w:t xml:space="preserve">, </w:t>
      </w:r>
      <w:r w:rsidR="00463EC0" w:rsidRPr="00446F65">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xml:space="preserve"> trebuie să publice pe</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pagina sa de </w:t>
      </w:r>
      <w:r w:rsidR="006B611E" w:rsidRPr="00446F65">
        <w:rPr>
          <w:rFonts w:ascii="Times New Roman" w:hAnsi="Times New Roman" w:cs="Times New Roman"/>
          <w:sz w:val="26"/>
          <w:szCs w:val="26"/>
          <w:lang w:val="ro-MO"/>
        </w:rPr>
        <w:t xml:space="preserve">Internet </w:t>
      </w:r>
      <w:r w:rsidRPr="00446F65">
        <w:rPr>
          <w:rFonts w:ascii="Times New Roman" w:hAnsi="Times New Roman" w:cs="Times New Roman"/>
          <w:sz w:val="26"/>
          <w:szCs w:val="26"/>
          <w:lang w:val="ro-MO"/>
        </w:rPr>
        <w:t>şi să furnizeze la cerere o ofertă de referinţă pentru accesul necondiţionat la bucla locală</w:t>
      </w:r>
      <w:r w:rsidR="00A51DAC"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(ORA), care trebuie să includă cel puţin setul minim de servicii pentru furnizarea accesului necondiţionat la bucla locală, împreună cu condiţiile şi tarifele în care aceste servicii vor fi oferite în conformitate cu prevederile </w:t>
      </w:r>
      <w:r w:rsidR="00C46687" w:rsidRPr="00446F65">
        <w:rPr>
          <w:rFonts w:ascii="Times New Roman" w:hAnsi="Times New Roman" w:cs="Times New Roman"/>
          <w:sz w:val="26"/>
          <w:szCs w:val="26"/>
          <w:lang w:val="ro-MO"/>
        </w:rPr>
        <w:t xml:space="preserve">Hotărârii </w:t>
      </w:r>
      <w:r w:rsidR="0014456A" w:rsidRPr="00446F65">
        <w:rPr>
          <w:rFonts w:ascii="Times New Roman" w:hAnsi="Times New Roman" w:cs="Times New Roman"/>
          <w:sz w:val="26"/>
          <w:szCs w:val="26"/>
          <w:lang w:val="ro-MO"/>
        </w:rPr>
        <w:t>nr.</w:t>
      </w:r>
      <w:r w:rsidR="008A59C0" w:rsidRPr="00446F65">
        <w:rPr>
          <w:rFonts w:ascii="Times New Roman" w:hAnsi="Times New Roman" w:cs="Times New Roman"/>
          <w:sz w:val="26"/>
          <w:szCs w:val="26"/>
          <w:lang w:val="ro-MO"/>
        </w:rPr>
        <w:t>56</w:t>
      </w:r>
      <w:r w:rsidRPr="00446F65">
        <w:rPr>
          <w:rFonts w:ascii="Times New Roman" w:hAnsi="Times New Roman" w:cs="Times New Roman"/>
          <w:sz w:val="26"/>
          <w:szCs w:val="26"/>
          <w:lang w:val="ro-MO"/>
        </w:rPr>
        <w:t>/20</w:t>
      </w:r>
      <w:r w:rsidR="008A59C0" w:rsidRPr="00446F65">
        <w:rPr>
          <w:rFonts w:ascii="Times New Roman" w:hAnsi="Times New Roman" w:cs="Times New Roman"/>
          <w:sz w:val="26"/>
          <w:szCs w:val="26"/>
          <w:lang w:val="ro-MO"/>
        </w:rPr>
        <w:t>13</w:t>
      </w:r>
      <w:r w:rsidRPr="00446F65">
        <w:rPr>
          <w:rFonts w:ascii="Times New Roman" w:hAnsi="Times New Roman" w:cs="Times New Roman"/>
          <w:sz w:val="26"/>
          <w:szCs w:val="26"/>
          <w:lang w:val="ro-MO"/>
        </w:rPr>
        <w:t xml:space="preserve">. </w:t>
      </w:r>
    </w:p>
    <w:p w:rsidR="006B611E" w:rsidRPr="00446F65" w:rsidRDefault="006C55C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De asemenea, </w:t>
      </w:r>
      <w:r w:rsidR="00463EC0" w:rsidRPr="00446F65">
        <w:rPr>
          <w:rFonts w:ascii="Times New Roman" w:hAnsi="Times New Roman" w:cs="Times New Roman"/>
          <w:sz w:val="26"/>
          <w:szCs w:val="26"/>
          <w:lang w:val="ro-MO"/>
        </w:rPr>
        <w:t>Moldtelecom</w:t>
      </w:r>
      <w:r w:rsidRPr="00446F65">
        <w:rPr>
          <w:rFonts w:ascii="Times New Roman" w:hAnsi="Times New Roman" w:cs="Times New Roman"/>
          <w:sz w:val="26"/>
          <w:szCs w:val="26"/>
          <w:lang w:val="ro-MO"/>
        </w:rPr>
        <w:t xml:space="preserve"> are </w:t>
      </w:r>
      <w:r w:rsidRPr="00446F65">
        <w:rPr>
          <w:rFonts w:ascii="Times New Roman" w:hAnsi="Times New Roman" w:cs="Times New Roman"/>
          <w:b/>
          <w:bCs/>
          <w:sz w:val="26"/>
          <w:szCs w:val="26"/>
          <w:lang w:val="ro-MO"/>
        </w:rPr>
        <w:t>obligaţia de nediscriminare</w:t>
      </w:r>
      <w:r w:rsidRPr="00446F65">
        <w:rPr>
          <w:rFonts w:ascii="Times New Roman" w:hAnsi="Times New Roman" w:cs="Times New Roman"/>
          <w:sz w:val="26"/>
          <w:szCs w:val="26"/>
          <w:lang w:val="ro-MO"/>
        </w:rPr>
        <w:t>, respectiv să aplice</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condiţii echivalente de furnizare a accesului necondiţionat la bucla locală în circumstanţe echivalente</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tuturor furnizorilor şi să pună la dispoziţia terţilor toate elementele specifice ale reţelei, infrastructura</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asociată, serviciile şi informaţiile necesare în vederea realizării accesului necondiţionat la bucla locală, în</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aceleaşi condiţii, inclusiv în ceea ce priveşte calitatea, cu cele oferite pentru propriile servicii sau pentru</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serviciile furnizate persoanelor din acelaşi grup.</w:t>
      </w:r>
    </w:p>
    <w:p w:rsidR="00F02BAD" w:rsidRPr="00446F65" w:rsidRDefault="006C55C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Modul de realizare a </w:t>
      </w:r>
      <w:r w:rsidRPr="00446F65">
        <w:rPr>
          <w:rFonts w:ascii="Times New Roman" w:hAnsi="Times New Roman" w:cs="Times New Roman"/>
          <w:b/>
          <w:bCs/>
          <w:sz w:val="26"/>
          <w:szCs w:val="26"/>
          <w:lang w:val="ro-MO"/>
        </w:rPr>
        <w:t xml:space="preserve">evidenţei contabile separate </w:t>
      </w:r>
      <w:r w:rsidRPr="00446F65">
        <w:rPr>
          <w:rFonts w:ascii="Times New Roman" w:hAnsi="Times New Roman" w:cs="Times New Roman"/>
          <w:sz w:val="26"/>
          <w:szCs w:val="26"/>
          <w:lang w:val="ro-MO"/>
        </w:rPr>
        <w:t xml:space="preserve">a fost stabilit prin Instrucţiunile privind implementarea de către S.A.„Moldtelecom” a evidenţei contabile separate în cadrul contabilităţii interne de gestiune, aprobate prin Hotărârea Consiliului de Administraţie al ANRCETI nr. 09 din 22.04.2011. </w:t>
      </w:r>
    </w:p>
    <w:p w:rsidR="00020A52" w:rsidRPr="00446F65" w:rsidRDefault="006C55C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Instrucțiunea conţine reguli detaliate privind întocmirea, publicarea şi</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auditul situaţiilor financiare separate, stabilind structura şi nivelul de detaliere al acestora, metodologia</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de alocare a costurilor, veniturilor şi capitalului angajat şi sistemul de decontări interne aplicat pentru</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lastRenderedPageBreak/>
        <w:t>produsele şi serviciile furnizate între unităţile şi subunităţile de aface</w:t>
      </w:r>
      <w:r w:rsidR="0014456A" w:rsidRPr="00446F65">
        <w:rPr>
          <w:rFonts w:ascii="Times New Roman" w:hAnsi="Times New Roman" w:cs="Times New Roman"/>
          <w:sz w:val="26"/>
          <w:szCs w:val="26"/>
          <w:lang w:val="ro-MO"/>
        </w:rPr>
        <w:t>ri.</w:t>
      </w:r>
      <w:r w:rsidR="00020A5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Conţinutul şi formatul de raportare a situaţiilor financiare separate pe care </w:t>
      </w:r>
      <w:r w:rsidR="003E5EFE" w:rsidRPr="00446F65">
        <w:rPr>
          <w:rFonts w:ascii="Times New Roman" w:hAnsi="Times New Roman" w:cs="Times New Roman"/>
          <w:sz w:val="26"/>
          <w:szCs w:val="26"/>
          <w:lang w:val="ro-MO"/>
        </w:rPr>
        <w:t>Moldtelecom</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are obligaţia să le transmită ANRCETI şi să le publice pe propria pagină de </w:t>
      </w:r>
      <w:r w:rsidR="006B611E" w:rsidRPr="00446F65">
        <w:rPr>
          <w:rFonts w:ascii="Times New Roman" w:hAnsi="Times New Roman" w:cs="Times New Roman"/>
          <w:sz w:val="26"/>
          <w:szCs w:val="26"/>
          <w:lang w:val="ro-MO"/>
        </w:rPr>
        <w:t>Internet</w:t>
      </w:r>
      <w:r w:rsidR="00020A5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permit ANRCETI şi</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celorlalte persoane interesate să urmărească respectarea obligaţiilor de transparenţă, nediscriminare şi</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de fundamentare a tarifelor în funcţie de costuri.</w:t>
      </w:r>
    </w:p>
    <w:p w:rsidR="00C22630" w:rsidRPr="00446F65" w:rsidRDefault="006C55C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De asemenea, </w:t>
      </w:r>
      <w:r w:rsidR="00463EC0" w:rsidRPr="00446F65">
        <w:rPr>
          <w:rFonts w:ascii="Times New Roman" w:hAnsi="Times New Roman" w:cs="Times New Roman"/>
          <w:sz w:val="26"/>
          <w:szCs w:val="26"/>
          <w:lang w:val="ro-MO"/>
        </w:rPr>
        <w:t>Moldtelecom</w:t>
      </w:r>
      <w:r w:rsidR="003E5EF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are </w:t>
      </w:r>
      <w:r w:rsidRPr="00446F65">
        <w:rPr>
          <w:rFonts w:ascii="Times New Roman" w:hAnsi="Times New Roman" w:cs="Times New Roman"/>
          <w:b/>
          <w:bCs/>
          <w:sz w:val="26"/>
          <w:szCs w:val="26"/>
          <w:lang w:val="ro-MO"/>
        </w:rPr>
        <w:t>obligaţia de control al tarifelor, inclusiv de</w:t>
      </w:r>
      <w:r w:rsidR="00C46687" w:rsidRPr="00446F65">
        <w:rPr>
          <w:rFonts w:ascii="Times New Roman" w:hAnsi="Times New Roman" w:cs="Times New Roman"/>
          <w:b/>
          <w:bCs/>
          <w:sz w:val="26"/>
          <w:szCs w:val="26"/>
          <w:lang w:val="ro-MO"/>
        </w:rPr>
        <w:t xml:space="preserve"> </w:t>
      </w:r>
      <w:r w:rsidRPr="00446F65">
        <w:rPr>
          <w:rFonts w:ascii="Times New Roman" w:hAnsi="Times New Roman" w:cs="Times New Roman"/>
          <w:b/>
          <w:bCs/>
          <w:sz w:val="26"/>
          <w:szCs w:val="26"/>
          <w:lang w:val="ro-MO"/>
        </w:rPr>
        <w:t xml:space="preserve">fundamentare a tarifelor în funcţie de costuri </w:t>
      </w:r>
      <w:r w:rsidRPr="00446F65">
        <w:rPr>
          <w:rFonts w:ascii="Times New Roman" w:hAnsi="Times New Roman" w:cs="Times New Roman"/>
          <w:sz w:val="26"/>
          <w:szCs w:val="26"/>
          <w:lang w:val="ro-MO"/>
        </w:rPr>
        <w:t>pe baza unui model de calculaţie a costurilor sau a</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altor metode, aprobate de ANRCETI, tarife care vor fi suficient de detaliate pentru a asigura că solicitanţii</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nu vor trebui să plătească pentru resurse care nu sunt necesare serviciului pe care l-au solicitat. Până în</w:t>
      </w:r>
      <w:r w:rsidR="006B611E"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prezent, tarifele nu au fost fundamentate pe baza unui model </w:t>
      </w:r>
      <w:r w:rsidR="00AC5413" w:rsidRPr="00446F65">
        <w:rPr>
          <w:rFonts w:ascii="Times New Roman" w:hAnsi="Times New Roman" w:cs="Times New Roman"/>
          <w:sz w:val="26"/>
          <w:szCs w:val="26"/>
          <w:lang w:val="ro-MO"/>
        </w:rPr>
        <w:t xml:space="preserve">respectiv </w:t>
      </w:r>
      <w:r w:rsidRPr="00446F65">
        <w:rPr>
          <w:rFonts w:ascii="Times New Roman" w:hAnsi="Times New Roman" w:cs="Times New Roman"/>
          <w:sz w:val="26"/>
          <w:szCs w:val="26"/>
          <w:lang w:val="ro-MO"/>
        </w:rPr>
        <w:t xml:space="preserve">de calculaţie a costurilor. </w:t>
      </w:r>
      <w:r w:rsidR="003F0448" w:rsidRPr="00446F65">
        <w:rPr>
          <w:rFonts w:ascii="Times New Roman" w:hAnsi="Times New Roman" w:cs="Times New Roman"/>
          <w:sz w:val="26"/>
          <w:szCs w:val="26"/>
          <w:lang w:val="ro-MO"/>
        </w:rPr>
        <w:t xml:space="preserve">Până </w:t>
      </w:r>
      <w:r w:rsidRPr="00446F65">
        <w:rPr>
          <w:rFonts w:ascii="Times New Roman" w:hAnsi="Times New Roman" w:cs="Times New Roman"/>
          <w:sz w:val="26"/>
          <w:szCs w:val="26"/>
          <w:lang w:val="ro-MO"/>
        </w:rPr>
        <w:t xml:space="preserve">la aprobarea mecanismelor referitoare la controlul prețurilor în funcție de LRIC, ANRCETI a </w:t>
      </w:r>
      <w:r w:rsidR="006B611E" w:rsidRPr="00446F65">
        <w:rPr>
          <w:rFonts w:ascii="Times New Roman" w:hAnsi="Times New Roman" w:cs="Times New Roman"/>
          <w:sz w:val="26"/>
          <w:szCs w:val="26"/>
          <w:lang w:val="ro-MO"/>
        </w:rPr>
        <w:t xml:space="preserve">stabilit </w:t>
      </w:r>
      <w:r w:rsidRPr="00446F65">
        <w:rPr>
          <w:rFonts w:ascii="Times New Roman" w:hAnsi="Times New Roman" w:cs="Times New Roman"/>
          <w:sz w:val="26"/>
          <w:szCs w:val="26"/>
          <w:lang w:val="ro-MO"/>
        </w:rPr>
        <w:t xml:space="preserve">prețuri maxime ce pot fi </w:t>
      </w:r>
      <w:r w:rsidR="005A21BA" w:rsidRPr="00446F65">
        <w:rPr>
          <w:rFonts w:ascii="Times New Roman" w:hAnsi="Times New Roman" w:cs="Times New Roman"/>
          <w:sz w:val="26"/>
          <w:szCs w:val="26"/>
          <w:lang w:val="ro-MO"/>
        </w:rPr>
        <w:t>p</w:t>
      </w:r>
      <w:r w:rsidRPr="00446F65">
        <w:rPr>
          <w:rFonts w:ascii="Times New Roman" w:hAnsi="Times New Roman" w:cs="Times New Roman"/>
          <w:sz w:val="26"/>
          <w:szCs w:val="26"/>
          <w:lang w:val="ro-MO"/>
        </w:rPr>
        <w:t>ercepute de furnizorul ofertant car</w:t>
      </w:r>
      <w:r w:rsidR="00C22630" w:rsidRPr="00446F65">
        <w:rPr>
          <w:rFonts w:ascii="Times New Roman" w:hAnsi="Times New Roman" w:cs="Times New Roman"/>
          <w:sz w:val="26"/>
          <w:szCs w:val="26"/>
          <w:lang w:val="ro-MO"/>
        </w:rPr>
        <w:t>e se regăsesc în ORA.</w:t>
      </w:r>
    </w:p>
    <w:p w:rsidR="006C55C6" w:rsidRPr="00446F65" w:rsidRDefault="006C55C6"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Obligațiile date r</w:t>
      </w:r>
      <w:r w:rsidR="00F80964" w:rsidRPr="00446F65">
        <w:rPr>
          <w:rFonts w:ascii="Times New Roman" w:hAnsi="Times New Roman" w:cs="Times New Roman"/>
          <w:sz w:val="26"/>
          <w:szCs w:val="26"/>
          <w:lang w:val="ro-MO"/>
        </w:rPr>
        <w:t>ă</w:t>
      </w:r>
      <w:r w:rsidRPr="00446F65">
        <w:rPr>
          <w:rFonts w:ascii="Times New Roman" w:hAnsi="Times New Roman" w:cs="Times New Roman"/>
          <w:sz w:val="26"/>
          <w:szCs w:val="26"/>
          <w:lang w:val="ro-MO"/>
        </w:rPr>
        <w:t>m</w:t>
      </w:r>
      <w:r w:rsidR="00F80964" w:rsidRPr="00446F65">
        <w:rPr>
          <w:rFonts w:ascii="Times New Roman" w:hAnsi="Times New Roman" w:cs="Times New Roman"/>
          <w:sz w:val="26"/>
          <w:szCs w:val="26"/>
          <w:lang w:val="ro-MO"/>
        </w:rPr>
        <w:t>â</w:t>
      </w:r>
      <w:r w:rsidRPr="00446F65">
        <w:rPr>
          <w:rFonts w:ascii="Times New Roman" w:hAnsi="Times New Roman" w:cs="Times New Roman"/>
          <w:sz w:val="26"/>
          <w:szCs w:val="26"/>
          <w:lang w:val="ro-MO"/>
        </w:rPr>
        <w:t xml:space="preserve">n în sarcina </w:t>
      </w:r>
      <w:r w:rsidR="00463EC0" w:rsidRPr="00446F65">
        <w:rPr>
          <w:rFonts w:ascii="Times New Roman" w:hAnsi="Times New Roman" w:cs="Times New Roman"/>
          <w:sz w:val="26"/>
          <w:szCs w:val="26"/>
          <w:lang w:val="ro-MO"/>
        </w:rPr>
        <w:t>Moldtelecom</w:t>
      </w:r>
      <w:r w:rsidR="006B611E" w:rsidRPr="00446F65">
        <w:rPr>
          <w:rFonts w:ascii="Times New Roman" w:hAnsi="Times New Roman" w:cs="Times New Roman"/>
          <w:sz w:val="26"/>
          <w:szCs w:val="26"/>
          <w:lang w:val="ro-MO"/>
        </w:rPr>
        <w:t xml:space="preserve"> </w:t>
      </w:r>
      <w:r w:rsidR="00C46687" w:rsidRPr="00446F65">
        <w:rPr>
          <w:rFonts w:ascii="Times New Roman" w:hAnsi="Times New Roman" w:cs="Times New Roman"/>
          <w:sz w:val="26"/>
          <w:szCs w:val="26"/>
          <w:lang w:val="ro-MO"/>
        </w:rPr>
        <w:t>până</w:t>
      </w:r>
      <w:r w:rsidRPr="00446F65">
        <w:rPr>
          <w:rFonts w:ascii="Times New Roman" w:hAnsi="Times New Roman" w:cs="Times New Roman"/>
          <w:sz w:val="26"/>
          <w:szCs w:val="26"/>
          <w:lang w:val="ro-MO"/>
        </w:rPr>
        <w:t xml:space="preserve"> </w:t>
      </w:r>
      <w:r w:rsidR="00020A52" w:rsidRPr="00446F65">
        <w:rPr>
          <w:rFonts w:ascii="Times New Roman" w:hAnsi="Times New Roman" w:cs="Times New Roman"/>
          <w:sz w:val="26"/>
          <w:szCs w:val="26"/>
          <w:lang w:val="ro-MO"/>
        </w:rPr>
        <w:t xml:space="preserve">la revizuirea acestora de către </w:t>
      </w:r>
      <w:r w:rsidRPr="00446F65">
        <w:rPr>
          <w:rFonts w:ascii="Times New Roman" w:hAnsi="Times New Roman" w:cs="Times New Roman"/>
          <w:sz w:val="26"/>
          <w:szCs w:val="26"/>
          <w:lang w:val="ro-MO"/>
        </w:rPr>
        <w:t>ANRCETI</w:t>
      </w:r>
      <w:r w:rsidR="005A21BA" w:rsidRPr="00446F65">
        <w:rPr>
          <w:rFonts w:ascii="Times New Roman" w:hAnsi="Times New Roman" w:cs="Times New Roman"/>
          <w:sz w:val="26"/>
          <w:szCs w:val="26"/>
          <w:lang w:val="ro-MO"/>
        </w:rPr>
        <w:t xml:space="preserve">. Conform prevederilor Legii </w:t>
      </w:r>
      <w:r w:rsidR="00DA7F2A" w:rsidRPr="00446F65">
        <w:rPr>
          <w:rFonts w:ascii="Times New Roman" w:hAnsi="Times New Roman" w:cs="Times New Roman"/>
          <w:sz w:val="26"/>
          <w:szCs w:val="26"/>
          <w:lang w:val="ro-MO"/>
        </w:rPr>
        <w:t>nr. 241/2007</w:t>
      </w:r>
      <w:r w:rsidR="005A21BA" w:rsidRPr="00446F65">
        <w:rPr>
          <w:rFonts w:ascii="Times New Roman" w:hAnsi="Times New Roman" w:cs="Times New Roman"/>
          <w:sz w:val="26"/>
          <w:szCs w:val="26"/>
          <w:lang w:val="ro-MO"/>
        </w:rPr>
        <w:t>, ANRCETI</w:t>
      </w:r>
      <w:r w:rsidR="00020A52"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efectu</w:t>
      </w:r>
      <w:r w:rsidR="005A21BA" w:rsidRPr="00446F65">
        <w:rPr>
          <w:rFonts w:ascii="Times New Roman" w:hAnsi="Times New Roman" w:cs="Times New Roman"/>
          <w:sz w:val="26"/>
          <w:szCs w:val="26"/>
          <w:lang w:val="ro-MO"/>
        </w:rPr>
        <w:t xml:space="preserve">ează regulat (în termen de </w:t>
      </w:r>
      <w:r w:rsidR="002430BF" w:rsidRPr="00446F65">
        <w:rPr>
          <w:rFonts w:ascii="Times New Roman" w:hAnsi="Times New Roman" w:cs="Times New Roman"/>
          <w:sz w:val="26"/>
          <w:szCs w:val="26"/>
          <w:lang w:val="ro-MO"/>
        </w:rPr>
        <w:t>3</w:t>
      </w:r>
      <w:r w:rsidR="005A21BA" w:rsidRPr="00446F65">
        <w:rPr>
          <w:rFonts w:ascii="Times New Roman" w:hAnsi="Times New Roman" w:cs="Times New Roman"/>
          <w:sz w:val="26"/>
          <w:szCs w:val="26"/>
          <w:lang w:val="ro-MO"/>
        </w:rPr>
        <w:t xml:space="preserve"> ani)</w:t>
      </w:r>
      <w:r w:rsidRPr="00446F65">
        <w:rPr>
          <w:rFonts w:ascii="Times New Roman" w:hAnsi="Times New Roman" w:cs="Times New Roman"/>
          <w:sz w:val="26"/>
          <w:szCs w:val="26"/>
          <w:lang w:val="ro-MO"/>
        </w:rPr>
        <w:t xml:space="preserve"> analiza </w:t>
      </w:r>
      <w:r w:rsidR="005A21BA" w:rsidRPr="00446F65">
        <w:rPr>
          <w:rFonts w:ascii="Times New Roman" w:hAnsi="Times New Roman" w:cs="Times New Roman"/>
          <w:sz w:val="26"/>
          <w:szCs w:val="26"/>
          <w:lang w:val="ro-MO"/>
        </w:rPr>
        <w:t xml:space="preserve">piețelor relevante </w:t>
      </w:r>
      <w:r w:rsidRPr="00446F65">
        <w:rPr>
          <w:rFonts w:ascii="Times New Roman" w:hAnsi="Times New Roman" w:cs="Times New Roman"/>
          <w:sz w:val="26"/>
          <w:szCs w:val="26"/>
          <w:lang w:val="ro-MO"/>
        </w:rPr>
        <w:t xml:space="preserve">în vederea determinării </w:t>
      </w:r>
      <w:r w:rsidR="005A21BA" w:rsidRPr="00446F65">
        <w:rPr>
          <w:rFonts w:ascii="Times New Roman" w:hAnsi="Times New Roman" w:cs="Times New Roman"/>
          <w:sz w:val="26"/>
          <w:szCs w:val="26"/>
          <w:lang w:val="ro-MO"/>
        </w:rPr>
        <w:t>situației concurențiale pe piața relevantă, precum și identificării măsurilor necesare în cazul în care continuă să existe puterea semnificativă a furnizorului</w:t>
      </w:r>
      <w:r w:rsidRPr="00446F65">
        <w:rPr>
          <w:rFonts w:ascii="Times New Roman" w:hAnsi="Times New Roman" w:cs="Times New Roman"/>
          <w:sz w:val="26"/>
          <w:szCs w:val="26"/>
          <w:lang w:val="ro-MO"/>
        </w:rPr>
        <w:t>.</w:t>
      </w:r>
    </w:p>
    <w:p w:rsidR="00103D22" w:rsidRPr="00446F65" w:rsidRDefault="00DE1227" w:rsidP="00317915">
      <w:pPr>
        <w:pStyle w:val="Heading4"/>
        <w:numPr>
          <w:ilvl w:val="2"/>
          <w:numId w:val="16"/>
        </w:numPr>
        <w:spacing w:line="240" w:lineRule="auto"/>
        <w:rPr>
          <w:rFonts w:cs="Times New Roman"/>
          <w:i w:val="0"/>
          <w:color w:val="auto"/>
          <w:szCs w:val="26"/>
          <w:lang w:val="ro-MO"/>
        </w:rPr>
      </w:pPr>
      <w:bookmarkStart w:id="34" w:name="_Toc492907393"/>
      <w:r w:rsidRPr="00446F65">
        <w:rPr>
          <w:rFonts w:cs="Times New Roman"/>
          <w:i w:val="0"/>
          <w:color w:val="auto"/>
          <w:szCs w:val="26"/>
          <w:lang w:val="ro-MO"/>
        </w:rPr>
        <w:t xml:space="preserve">Problemele concurenței și identificarea </w:t>
      </w:r>
      <w:r w:rsidR="00AE016C" w:rsidRPr="00446F65">
        <w:rPr>
          <w:rFonts w:cs="Times New Roman"/>
          <w:i w:val="0"/>
          <w:color w:val="auto"/>
          <w:szCs w:val="26"/>
          <w:lang w:val="ro-MO"/>
        </w:rPr>
        <w:t>remediilor necesare</w:t>
      </w:r>
      <w:bookmarkEnd w:id="34"/>
    </w:p>
    <w:p w:rsidR="00612777" w:rsidRPr="00446F65" w:rsidRDefault="007D704F"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analiza de mai sus, ANRCETI a găsit că piața </w:t>
      </w:r>
      <w:r w:rsidR="003F0448" w:rsidRPr="00446F65">
        <w:rPr>
          <w:rFonts w:ascii="Times New Roman" w:hAnsi="Times New Roman" w:cs="Times New Roman"/>
          <w:sz w:val="26"/>
          <w:szCs w:val="26"/>
          <w:lang w:val="ro-MO"/>
        </w:rPr>
        <w:t xml:space="preserve">cu ridicata de servicii de acces local la puncte fixe </w:t>
      </w:r>
      <w:r w:rsidRPr="00446F65">
        <w:rPr>
          <w:rFonts w:ascii="Times New Roman" w:hAnsi="Times New Roman" w:cs="Times New Roman"/>
          <w:sz w:val="26"/>
          <w:szCs w:val="26"/>
          <w:lang w:val="ro-MO"/>
        </w:rPr>
        <w:t xml:space="preserve"> este susceptibilă reglementării preventive, iar anal</w:t>
      </w:r>
      <w:r w:rsidR="00020A52" w:rsidRPr="00446F65">
        <w:rPr>
          <w:rFonts w:ascii="Times New Roman" w:hAnsi="Times New Roman" w:cs="Times New Roman"/>
          <w:sz w:val="26"/>
          <w:szCs w:val="26"/>
          <w:lang w:val="ro-MO"/>
        </w:rPr>
        <w:t>iza în detaliu a arătat că S.A. „</w:t>
      </w:r>
      <w:r w:rsidRPr="00446F65">
        <w:rPr>
          <w:rFonts w:ascii="Times New Roman" w:hAnsi="Times New Roman" w:cs="Times New Roman"/>
          <w:sz w:val="26"/>
          <w:szCs w:val="26"/>
          <w:lang w:val="ro-MO"/>
        </w:rPr>
        <w:t>Moldtelecom” este furnizorul care se bucură de putere semnificativă pe această piață.</w:t>
      </w:r>
      <w:r w:rsidR="001A0B1B" w:rsidRPr="00446F65">
        <w:rPr>
          <w:rFonts w:ascii="Times New Roman" w:hAnsi="Times New Roman" w:cs="Times New Roman"/>
          <w:sz w:val="26"/>
          <w:szCs w:val="26"/>
          <w:lang w:val="ro-MO"/>
        </w:rPr>
        <w:t xml:space="preserve"> </w:t>
      </w:r>
      <w:r w:rsidR="00000210" w:rsidRPr="00446F65">
        <w:rPr>
          <w:rFonts w:ascii="Times New Roman" w:hAnsi="Times New Roman" w:cs="Times New Roman"/>
          <w:sz w:val="26"/>
          <w:szCs w:val="26"/>
          <w:lang w:val="ro-MO"/>
        </w:rPr>
        <w:t>Puterea dată de piaţă este întă</w:t>
      </w:r>
      <w:r w:rsidR="00020A52" w:rsidRPr="00446F65">
        <w:rPr>
          <w:rFonts w:ascii="Times New Roman" w:hAnsi="Times New Roman" w:cs="Times New Roman"/>
          <w:sz w:val="26"/>
          <w:szCs w:val="26"/>
          <w:lang w:val="ro-MO"/>
        </w:rPr>
        <w:t xml:space="preserve">rită de controlul de către </w:t>
      </w:r>
      <w:r w:rsidR="00000210" w:rsidRPr="00446F65">
        <w:rPr>
          <w:rFonts w:ascii="Times New Roman" w:hAnsi="Times New Roman" w:cs="Times New Roman"/>
          <w:sz w:val="26"/>
          <w:szCs w:val="26"/>
          <w:lang w:val="ro-MO"/>
        </w:rPr>
        <w:t>Moldtelecom a infrastructurii asociate, dublarea cărei de către concurenţi este economic nefezabilă. Astfel, existenţa puteri</w:t>
      </w:r>
      <w:r w:rsidR="00020A52" w:rsidRPr="00446F65">
        <w:rPr>
          <w:rFonts w:ascii="Times New Roman" w:hAnsi="Times New Roman" w:cs="Times New Roman"/>
          <w:sz w:val="26"/>
          <w:szCs w:val="26"/>
          <w:lang w:val="ro-MO"/>
        </w:rPr>
        <w:t xml:space="preserve">i date de piaţă îi permite </w:t>
      </w:r>
      <w:r w:rsidR="00000210" w:rsidRPr="00446F65">
        <w:rPr>
          <w:rFonts w:ascii="Times New Roman" w:hAnsi="Times New Roman" w:cs="Times New Roman"/>
          <w:sz w:val="26"/>
          <w:szCs w:val="26"/>
          <w:lang w:val="ro-MO"/>
        </w:rPr>
        <w:t>Moldtelecom, în lipsa unor reglementări de prevenire a utilizării puterii date în detrimentul concurenţei, să limiteze concurenţa de pe piaţa cu amănuntul a accesului în bandă largă, situată în avalul pieţei analizate. Astfel, d</w:t>
      </w:r>
      <w:r w:rsidR="00612777" w:rsidRPr="00446F65">
        <w:rPr>
          <w:rFonts w:ascii="Times New Roman" w:hAnsi="Times New Roman" w:cs="Times New Roman"/>
          <w:sz w:val="26"/>
          <w:szCs w:val="26"/>
          <w:lang w:val="ro-MO"/>
        </w:rPr>
        <w:t xml:space="preserve">ublarea </w:t>
      </w:r>
      <w:r w:rsidR="00000210" w:rsidRPr="00446F65">
        <w:rPr>
          <w:rFonts w:ascii="Times New Roman" w:hAnsi="Times New Roman" w:cs="Times New Roman"/>
          <w:sz w:val="26"/>
          <w:szCs w:val="26"/>
          <w:lang w:val="ro-MO"/>
        </w:rPr>
        <w:t xml:space="preserve">de către concurenți a </w:t>
      </w:r>
      <w:r w:rsidR="00612777" w:rsidRPr="00446F65">
        <w:rPr>
          <w:rFonts w:ascii="Times New Roman" w:hAnsi="Times New Roman" w:cs="Times New Roman"/>
          <w:sz w:val="26"/>
          <w:szCs w:val="26"/>
          <w:lang w:val="ro-MO"/>
        </w:rPr>
        <w:t xml:space="preserve">infrastructurii </w:t>
      </w:r>
      <w:r w:rsidR="00020A52" w:rsidRPr="00446F65">
        <w:rPr>
          <w:rFonts w:ascii="Times New Roman" w:hAnsi="Times New Roman" w:cs="Times New Roman"/>
          <w:sz w:val="26"/>
          <w:szCs w:val="26"/>
          <w:lang w:val="ro-MO"/>
        </w:rPr>
        <w:t xml:space="preserve">controlate de </w:t>
      </w:r>
      <w:r w:rsidR="00000210" w:rsidRPr="00446F65">
        <w:rPr>
          <w:rFonts w:ascii="Times New Roman" w:hAnsi="Times New Roman" w:cs="Times New Roman"/>
          <w:sz w:val="26"/>
          <w:szCs w:val="26"/>
          <w:lang w:val="ro-MO"/>
        </w:rPr>
        <w:t>Moldtelecom</w:t>
      </w:r>
      <w:r w:rsidR="003F0448" w:rsidRPr="00446F65">
        <w:rPr>
          <w:rFonts w:ascii="Times New Roman" w:hAnsi="Times New Roman" w:cs="Times New Roman"/>
          <w:sz w:val="26"/>
          <w:szCs w:val="26"/>
          <w:lang w:val="ro-MO"/>
        </w:rPr>
        <w:t xml:space="preserve"> </w:t>
      </w:r>
      <w:r w:rsidR="00612777" w:rsidRPr="00446F65">
        <w:rPr>
          <w:rFonts w:ascii="Times New Roman" w:hAnsi="Times New Roman" w:cs="Times New Roman"/>
          <w:sz w:val="26"/>
          <w:szCs w:val="26"/>
          <w:lang w:val="ro-MO"/>
        </w:rPr>
        <w:t>nu este fezabilă economic, din cauză că aceștia nu vor atinge efecte de scară</w:t>
      </w:r>
      <w:r w:rsidR="00000210" w:rsidRPr="00446F65">
        <w:rPr>
          <w:rFonts w:ascii="Times New Roman" w:hAnsi="Times New Roman" w:cs="Times New Roman"/>
          <w:sz w:val="26"/>
          <w:szCs w:val="26"/>
          <w:lang w:val="ro-MO"/>
        </w:rPr>
        <w:t xml:space="preserve"> şi densitate</w:t>
      </w:r>
      <w:r w:rsidR="00612777" w:rsidRPr="00446F65">
        <w:rPr>
          <w:rFonts w:ascii="Times New Roman" w:hAnsi="Times New Roman" w:cs="Times New Roman"/>
          <w:sz w:val="26"/>
          <w:szCs w:val="26"/>
          <w:lang w:val="ro-MO"/>
        </w:rPr>
        <w:t xml:space="preserve"> similare. Și din punct de vedere tehnic, dublarea acestei infrastructuri este extrem de anevoioasă sau chiar imposibilă din cauza reglementărilor și restricțiilor de urbanism și de construcții</w:t>
      </w:r>
      <w:r w:rsidR="00000210" w:rsidRPr="00446F65">
        <w:rPr>
          <w:rFonts w:ascii="Times New Roman" w:hAnsi="Times New Roman" w:cs="Times New Roman"/>
          <w:sz w:val="26"/>
          <w:szCs w:val="26"/>
          <w:lang w:val="ro-MO"/>
        </w:rPr>
        <w:t xml:space="preserve">. </w:t>
      </w:r>
    </w:p>
    <w:p w:rsidR="0032133F" w:rsidRPr="00446F65" w:rsidRDefault="00612777"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O</w:t>
      </w:r>
      <w:r w:rsidR="00020A52" w:rsidRPr="00446F65">
        <w:rPr>
          <w:rFonts w:ascii="Times New Roman" w:hAnsi="Times New Roman" w:cs="Times New Roman"/>
          <w:sz w:val="26"/>
          <w:szCs w:val="26"/>
          <w:lang w:val="ro-MO"/>
        </w:rPr>
        <w:t xml:space="preserve">perarea de către </w:t>
      </w:r>
      <w:r w:rsidRPr="00446F65">
        <w:rPr>
          <w:rFonts w:ascii="Times New Roman" w:hAnsi="Times New Roman" w:cs="Times New Roman"/>
          <w:sz w:val="26"/>
          <w:szCs w:val="26"/>
          <w:lang w:val="ro-MO"/>
        </w:rPr>
        <w:t xml:space="preserve">Moldtelecom a infrastructurii date îi oferă </w:t>
      </w:r>
      <w:r w:rsidR="00000210" w:rsidRPr="00446F65">
        <w:rPr>
          <w:rFonts w:ascii="Times New Roman" w:hAnsi="Times New Roman" w:cs="Times New Roman"/>
          <w:sz w:val="26"/>
          <w:szCs w:val="26"/>
          <w:lang w:val="ro-MO"/>
        </w:rPr>
        <w:t xml:space="preserve">posibilitatea exclusivă de a furniza servicii de acces în bandă largă. Refuzul de a oferi acces la infrastructura sa de reţea poate împiedica furnizorii alternativi să concureze cu </w:t>
      </w:r>
      <w:r w:rsidRPr="00446F65">
        <w:rPr>
          <w:rFonts w:ascii="Times New Roman" w:hAnsi="Times New Roman" w:cs="Times New Roman"/>
          <w:sz w:val="26"/>
          <w:szCs w:val="26"/>
          <w:lang w:val="ro-MO"/>
        </w:rPr>
        <w:t xml:space="preserve">Moldtelecom </w:t>
      </w:r>
      <w:r w:rsidR="00000210" w:rsidRPr="00446F65">
        <w:rPr>
          <w:rFonts w:ascii="Times New Roman" w:hAnsi="Times New Roman" w:cs="Times New Roman"/>
          <w:sz w:val="26"/>
          <w:szCs w:val="26"/>
          <w:lang w:val="ro-MO"/>
        </w:rPr>
        <w:t>pe piaţa din aval</w:t>
      </w:r>
      <w:r w:rsidR="00A238DF" w:rsidRPr="00446F65">
        <w:rPr>
          <w:rFonts w:ascii="Times New Roman" w:hAnsi="Times New Roman" w:cs="Times New Roman"/>
          <w:sz w:val="26"/>
          <w:szCs w:val="26"/>
          <w:lang w:val="ro-MO"/>
        </w:rPr>
        <w:t xml:space="preserve">. Oferirea accesului în condiţii discriminatorii şi la preţuri necompetitive de asemenea pot împiedica furnizorii alternativi să concureze eficient cu furnizorul cu putere semnificativă. </w:t>
      </w:r>
    </w:p>
    <w:p w:rsidR="00C22630" w:rsidRPr="00446F65" w:rsidRDefault="00A238DF"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De asemenea, utilizarea</w:t>
      </w:r>
      <w:r w:rsidR="00000210"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infrastructurii a</w:t>
      </w:r>
      <w:r w:rsidR="00020A52" w:rsidRPr="00446F65">
        <w:rPr>
          <w:rFonts w:ascii="Times New Roman" w:hAnsi="Times New Roman" w:cs="Times New Roman"/>
          <w:sz w:val="26"/>
          <w:szCs w:val="26"/>
          <w:lang w:val="ro-MO"/>
        </w:rPr>
        <w:t xml:space="preserve">sociate existente de către </w:t>
      </w:r>
      <w:r w:rsidRPr="00446F65">
        <w:rPr>
          <w:rFonts w:ascii="Times New Roman" w:hAnsi="Times New Roman" w:cs="Times New Roman"/>
          <w:sz w:val="26"/>
          <w:szCs w:val="26"/>
          <w:lang w:val="ro-MO"/>
        </w:rPr>
        <w:t xml:space="preserve">Moldtelecom îi oferă </w:t>
      </w:r>
      <w:r w:rsidR="00612777" w:rsidRPr="00446F65">
        <w:rPr>
          <w:rFonts w:ascii="Times New Roman" w:hAnsi="Times New Roman" w:cs="Times New Roman"/>
          <w:sz w:val="26"/>
          <w:szCs w:val="26"/>
          <w:lang w:val="ro-MO"/>
        </w:rPr>
        <w:t>avantajul derulării mai rapide a rețelelor de acces decât concurenții, ceea ce poate duce în viitor la o concurență limitată pe piața cu amănuntul de servicii de acces în bandă foarte largă baza</w:t>
      </w:r>
      <w:r w:rsidR="00C22630" w:rsidRPr="00446F65">
        <w:rPr>
          <w:rFonts w:ascii="Times New Roman" w:hAnsi="Times New Roman" w:cs="Times New Roman"/>
          <w:sz w:val="26"/>
          <w:szCs w:val="26"/>
          <w:lang w:val="ro-MO"/>
        </w:rPr>
        <w:t>t pe conexiuni de fibră optică.</w:t>
      </w:r>
    </w:p>
    <w:p w:rsidR="003F0448" w:rsidRPr="00446F65" w:rsidRDefault="00463EC0"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Prin </w:t>
      </w:r>
      <w:r w:rsidR="0030254D" w:rsidRPr="00446F65">
        <w:rPr>
          <w:rFonts w:ascii="Times New Roman" w:hAnsi="Times New Roman" w:cs="Times New Roman"/>
          <w:sz w:val="26"/>
          <w:szCs w:val="26"/>
          <w:lang w:val="ro-MO"/>
        </w:rPr>
        <w:t>urmare, ANRCETI consideră</w:t>
      </w:r>
      <w:r w:rsidR="003F0448" w:rsidRPr="00446F65">
        <w:rPr>
          <w:rFonts w:ascii="Times New Roman" w:hAnsi="Times New Roman" w:cs="Times New Roman"/>
          <w:sz w:val="26"/>
          <w:szCs w:val="26"/>
          <w:lang w:val="ro-MO"/>
        </w:rPr>
        <w:t>:</w:t>
      </w:r>
    </w:p>
    <w:p w:rsidR="00C22630" w:rsidRPr="00446F65" w:rsidRDefault="003F044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1)</w:t>
      </w:r>
      <w:r w:rsidR="0030254D" w:rsidRPr="00446F65">
        <w:rPr>
          <w:rFonts w:ascii="Times New Roman" w:hAnsi="Times New Roman" w:cs="Times New Roman"/>
          <w:sz w:val="26"/>
          <w:szCs w:val="26"/>
          <w:lang w:val="ro-MO"/>
        </w:rPr>
        <w:t xml:space="preserve"> necesară păstrarea remediilor impuse </w:t>
      </w:r>
      <w:r w:rsidR="00C10151" w:rsidRPr="00446F65">
        <w:rPr>
          <w:rFonts w:ascii="Times New Roman" w:hAnsi="Times New Roman" w:cs="Times New Roman"/>
          <w:sz w:val="26"/>
          <w:szCs w:val="26"/>
          <w:lang w:val="ro-MO"/>
        </w:rPr>
        <w:t>în sarcina S.A. „</w:t>
      </w:r>
      <w:r w:rsidR="0030254D" w:rsidRPr="00446F65">
        <w:rPr>
          <w:rFonts w:ascii="Times New Roman" w:hAnsi="Times New Roman" w:cs="Times New Roman"/>
          <w:sz w:val="26"/>
          <w:szCs w:val="26"/>
          <w:lang w:val="ro-MO"/>
        </w:rPr>
        <w:t xml:space="preserve">Moldtelecom” prin </w:t>
      </w:r>
      <w:r w:rsidR="00463EC0" w:rsidRPr="00446F65">
        <w:rPr>
          <w:rFonts w:ascii="Times New Roman" w:hAnsi="Times New Roman" w:cs="Times New Roman"/>
          <w:sz w:val="26"/>
          <w:szCs w:val="26"/>
          <w:lang w:val="ro-MO"/>
        </w:rPr>
        <w:t xml:space="preserve">Hotărârea Consiliului de </w:t>
      </w:r>
      <w:r w:rsidR="006B611E" w:rsidRPr="00446F65">
        <w:rPr>
          <w:rFonts w:ascii="Times New Roman" w:hAnsi="Times New Roman" w:cs="Times New Roman"/>
          <w:sz w:val="26"/>
          <w:szCs w:val="26"/>
          <w:lang w:val="ro-MO"/>
        </w:rPr>
        <w:t xml:space="preserve">Administrație </w:t>
      </w:r>
      <w:r w:rsidR="00463EC0" w:rsidRPr="00446F65">
        <w:rPr>
          <w:rFonts w:ascii="Times New Roman" w:hAnsi="Times New Roman" w:cs="Times New Roman"/>
          <w:sz w:val="26"/>
          <w:szCs w:val="26"/>
          <w:lang w:val="ro-MO"/>
        </w:rPr>
        <w:t>al ANRCETI  nr.</w:t>
      </w:r>
      <w:r w:rsidR="00003360" w:rsidRPr="00446F65">
        <w:rPr>
          <w:rFonts w:ascii="Times New Roman" w:hAnsi="Times New Roman" w:cs="Times New Roman"/>
          <w:sz w:val="26"/>
          <w:szCs w:val="26"/>
          <w:lang w:val="ro-MO"/>
        </w:rPr>
        <w:t>56</w:t>
      </w:r>
      <w:r w:rsidR="00463EC0" w:rsidRPr="00446F65">
        <w:rPr>
          <w:rFonts w:ascii="Times New Roman" w:hAnsi="Times New Roman" w:cs="Times New Roman"/>
          <w:sz w:val="26"/>
          <w:szCs w:val="26"/>
          <w:lang w:val="ro-MO"/>
        </w:rPr>
        <w:t>/20</w:t>
      </w:r>
      <w:r w:rsidR="00003360" w:rsidRPr="00446F65">
        <w:rPr>
          <w:rFonts w:ascii="Times New Roman" w:hAnsi="Times New Roman" w:cs="Times New Roman"/>
          <w:sz w:val="26"/>
          <w:szCs w:val="26"/>
          <w:lang w:val="ro-MO"/>
        </w:rPr>
        <w:t>13</w:t>
      </w:r>
      <w:r w:rsidR="00463EC0" w:rsidRPr="00446F65">
        <w:rPr>
          <w:rFonts w:ascii="Times New Roman" w:hAnsi="Times New Roman" w:cs="Times New Roman"/>
          <w:sz w:val="26"/>
          <w:szCs w:val="26"/>
          <w:lang w:val="ro-MO"/>
        </w:rPr>
        <w:t>.</w:t>
      </w:r>
      <w:r w:rsidR="006B611E" w:rsidRPr="00446F65">
        <w:rPr>
          <w:rFonts w:ascii="Times New Roman" w:hAnsi="Times New Roman" w:cs="Times New Roman"/>
          <w:sz w:val="26"/>
          <w:szCs w:val="26"/>
          <w:lang w:val="ro-MO"/>
        </w:rPr>
        <w:t xml:space="preserve"> </w:t>
      </w:r>
      <w:r w:rsidR="00AC5413" w:rsidRPr="00446F65">
        <w:rPr>
          <w:rFonts w:ascii="Times New Roman" w:hAnsi="Times New Roman" w:cs="Times New Roman"/>
          <w:sz w:val="26"/>
          <w:szCs w:val="26"/>
          <w:lang w:val="ro-MO"/>
        </w:rPr>
        <w:t>Sumar, acestea vizează:</w:t>
      </w:r>
    </w:p>
    <w:p w:rsidR="00BA20D4" w:rsidRPr="00446F65" w:rsidRDefault="00753237" w:rsidP="00317915">
      <w:pPr>
        <w:pStyle w:val="ListParagraph"/>
        <w:numPr>
          <w:ilvl w:val="0"/>
          <w:numId w:val="8"/>
        </w:numPr>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Obligaţia de asigurare a </w:t>
      </w:r>
      <w:r w:rsidR="00E93B0C">
        <w:rPr>
          <w:rFonts w:ascii="Times New Roman" w:hAnsi="Times New Roman" w:cs="Times New Roman"/>
          <w:sz w:val="26"/>
          <w:szCs w:val="26"/>
          <w:lang w:val="ro-MO"/>
        </w:rPr>
        <w:t>următoarelor tipuri de acces la rețeaua proprie</w:t>
      </w:r>
      <w:r w:rsidR="00BA20D4" w:rsidRPr="00446F65">
        <w:rPr>
          <w:rFonts w:ascii="Times New Roman" w:hAnsi="Times New Roman" w:cs="Times New Roman"/>
          <w:sz w:val="26"/>
          <w:szCs w:val="26"/>
          <w:lang w:val="ro-MO"/>
        </w:rPr>
        <w:t>:</w:t>
      </w:r>
    </w:p>
    <w:p w:rsidR="00572352" w:rsidRPr="00446F65" w:rsidRDefault="00BA20D4" w:rsidP="00317915">
      <w:pPr>
        <w:pStyle w:val="ListParagraph"/>
        <w:numPr>
          <w:ilvl w:val="1"/>
          <w:numId w:val="1"/>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necondiționat la bucla și subbucla locală de cupru;</w:t>
      </w:r>
    </w:p>
    <w:p w:rsidR="00572352" w:rsidRPr="00446F65" w:rsidRDefault="00BA20D4" w:rsidP="00317915">
      <w:pPr>
        <w:pStyle w:val="ListParagraph"/>
        <w:numPr>
          <w:ilvl w:val="1"/>
          <w:numId w:val="1"/>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Accesul la bucla locală optică</w:t>
      </w:r>
      <w:r w:rsidR="00137B3D" w:rsidRPr="00446F65">
        <w:rPr>
          <w:rFonts w:ascii="Times New Roman" w:hAnsi="Times New Roman" w:cs="Times New Roman"/>
          <w:sz w:val="26"/>
          <w:szCs w:val="26"/>
          <w:lang w:val="ro-MO"/>
        </w:rPr>
        <w:t xml:space="preserve"> acolo unde aceasta înlocuiește buclele locale de cupru</w:t>
      </w:r>
      <w:r w:rsidRPr="00446F65">
        <w:rPr>
          <w:rFonts w:ascii="Times New Roman" w:hAnsi="Times New Roman" w:cs="Times New Roman"/>
          <w:sz w:val="26"/>
          <w:szCs w:val="26"/>
          <w:lang w:val="ro-MO"/>
        </w:rPr>
        <w:t>;</w:t>
      </w:r>
    </w:p>
    <w:p w:rsidR="00003360" w:rsidRPr="00446F65" w:rsidRDefault="00003360" w:rsidP="00317915">
      <w:pPr>
        <w:pStyle w:val="ListParagraph"/>
        <w:numPr>
          <w:ilvl w:val="1"/>
          <w:numId w:val="1"/>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la buclele locale optice;</w:t>
      </w:r>
    </w:p>
    <w:p w:rsidR="00003360" w:rsidRPr="00446F65" w:rsidRDefault="00003360" w:rsidP="00317915">
      <w:pPr>
        <w:pStyle w:val="ListParagraph"/>
        <w:numPr>
          <w:ilvl w:val="1"/>
          <w:numId w:val="1"/>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la infrastructura de canalizaţie și stâlpi telefonici, inclusiv dimensionarea corespunzătoare a capacităților de canalizaţie nou construite să poată găzdui cablurile a câțiva furnizori;</w:t>
      </w:r>
    </w:p>
    <w:p w:rsidR="00003360" w:rsidRPr="00446F65" w:rsidRDefault="00003360" w:rsidP="00317915">
      <w:pPr>
        <w:pStyle w:val="ListParagraph"/>
        <w:numPr>
          <w:ilvl w:val="1"/>
          <w:numId w:val="1"/>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la infrastructura de canalizație și stîlpi în vederea pozării cablurilor indiferent dacă acestea sunt utilizate pentru accesul la bucla locală a furnizorului ofertant sau dacă furnizorii solicitanți pozează aceste cabluri pentru a-și dezvolta propria rețea de acces sau de transport;</w:t>
      </w:r>
    </w:p>
    <w:p w:rsidR="00572352" w:rsidRPr="00446F65" w:rsidRDefault="00BA20D4" w:rsidP="00317915">
      <w:pPr>
        <w:pStyle w:val="ListParagraph"/>
        <w:numPr>
          <w:ilvl w:val="1"/>
          <w:numId w:val="1"/>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Serviciul de „</w:t>
      </w:r>
      <w:r w:rsidRPr="00FC0005">
        <w:rPr>
          <w:rFonts w:ascii="Times New Roman" w:hAnsi="Times New Roman" w:cs="Times New Roman"/>
          <w:i/>
          <w:sz w:val="26"/>
          <w:szCs w:val="26"/>
          <w:lang w:val="ro-MO"/>
        </w:rPr>
        <w:t>backhaul</w:t>
      </w:r>
      <w:r w:rsidRPr="00446F65">
        <w:rPr>
          <w:rFonts w:ascii="Times New Roman" w:hAnsi="Times New Roman" w:cs="Times New Roman"/>
          <w:sz w:val="26"/>
          <w:szCs w:val="26"/>
          <w:lang w:val="ro-MO"/>
        </w:rPr>
        <w:t>”;</w:t>
      </w:r>
    </w:p>
    <w:p w:rsidR="00572352" w:rsidRPr="00446F65" w:rsidRDefault="00BA20D4" w:rsidP="00317915">
      <w:pPr>
        <w:pStyle w:val="ListParagraph"/>
        <w:numPr>
          <w:ilvl w:val="1"/>
          <w:numId w:val="1"/>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Servic</w:t>
      </w:r>
      <w:r w:rsidR="00C10151" w:rsidRPr="00446F65">
        <w:rPr>
          <w:rFonts w:ascii="Times New Roman" w:hAnsi="Times New Roman" w:cs="Times New Roman"/>
          <w:sz w:val="26"/>
          <w:szCs w:val="26"/>
          <w:lang w:val="ro-MO"/>
        </w:rPr>
        <w:t>ii de colocare a echipamentelor.</w:t>
      </w:r>
    </w:p>
    <w:p w:rsidR="00F06756" w:rsidRPr="00446F65" w:rsidRDefault="00C10151" w:rsidP="00317915">
      <w:pPr>
        <w:pStyle w:val="ListParagraph"/>
        <w:numPr>
          <w:ilvl w:val="0"/>
          <w:numId w:val="8"/>
        </w:numPr>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O</w:t>
      </w:r>
      <w:r w:rsidR="00F06756" w:rsidRPr="00446F65">
        <w:rPr>
          <w:rFonts w:ascii="Times New Roman" w:hAnsi="Times New Roman" w:cs="Times New Roman"/>
          <w:sz w:val="26"/>
          <w:szCs w:val="26"/>
          <w:lang w:val="ro-MO"/>
        </w:rPr>
        <w:t xml:space="preserve">bligaţia de </w:t>
      </w:r>
      <w:r w:rsidR="00753237" w:rsidRPr="00446F65">
        <w:rPr>
          <w:rFonts w:ascii="Times New Roman" w:hAnsi="Times New Roman" w:cs="Times New Roman"/>
          <w:sz w:val="26"/>
          <w:szCs w:val="26"/>
          <w:lang w:val="ro-MO"/>
        </w:rPr>
        <w:t xml:space="preserve">asigurare a transparenţei, prin publicarea unei </w:t>
      </w:r>
      <w:r w:rsidR="00BA20D4" w:rsidRPr="00446F65">
        <w:rPr>
          <w:rFonts w:ascii="Times New Roman" w:hAnsi="Times New Roman" w:cs="Times New Roman"/>
          <w:sz w:val="26"/>
          <w:szCs w:val="26"/>
          <w:lang w:val="ro-MO"/>
        </w:rPr>
        <w:t xml:space="preserve">oferte </w:t>
      </w:r>
      <w:r w:rsidR="00753237" w:rsidRPr="00446F65">
        <w:rPr>
          <w:rFonts w:ascii="Times New Roman" w:hAnsi="Times New Roman" w:cs="Times New Roman"/>
          <w:sz w:val="26"/>
          <w:szCs w:val="26"/>
          <w:lang w:val="ro-MO"/>
        </w:rPr>
        <w:t xml:space="preserve">de </w:t>
      </w:r>
      <w:r w:rsidR="00BA20D4" w:rsidRPr="00446F65">
        <w:rPr>
          <w:rFonts w:ascii="Times New Roman" w:hAnsi="Times New Roman" w:cs="Times New Roman"/>
          <w:sz w:val="26"/>
          <w:szCs w:val="26"/>
          <w:lang w:val="ro-MO"/>
        </w:rPr>
        <w:t>referinţă</w:t>
      </w:r>
      <w:r w:rsidR="00C46687" w:rsidRPr="00446F65">
        <w:rPr>
          <w:rFonts w:ascii="Times New Roman" w:hAnsi="Times New Roman" w:cs="Times New Roman"/>
          <w:sz w:val="26"/>
          <w:szCs w:val="26"/>
          <w:lang w:val="ro-MO"/>
        </w:rPr>
        <w:t xml:space="preserve"> pentru acces</w:t>
      </w:r>
      <w:r w:rsidR="00003360" w:rsidRPr="00446F65">
        <w:rPr>
          <w:rFonts w:ascii="Times New Roman" w:hAnsi="Times New Roman" w:cs="Times New Roman"/>
          <w:sz w:val="26"/>
          <w:szCs w:val="26"/>
          <w:lang w:val="ro-MO"/>
        </w:rPr>
        <w:t xml:space="preserve"> și publicării ofertelor publice de referinţă pentru infrastructura de canalizaţie și stâlpi</w:t>
      </w:r>
      <w:r w:rsidR="00F06756" w:rsidRPr="00446F65">
        <w:rPr>
          <w:rFonts w:ascii="Times New Roman" w:hAnsi="Times New Roman" w:cs="Times New Roman"/>
          <w:sz w:val="26"/>
          <w:szCs w:val="26"/>
          <w:lang w:val="ro-MO"/>
        </w:rPr>
        <w:t>;</w:t>
      </w:r>
    </w:p>
    <w:p w:rsidR="00F06756" w:rsidRPr="00446F65" w:rsidRDefault="00C10151" w:rsidP="00317915">
      <w:pPr>
        <w:pStyle w:val="ListParagraph"/>
        <w:numPr>
          <w:ilvl w:val="0"/>
          <w:numId w:val="8"/>
        </w:numPr>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O</w:t>
      </w:r>
      <w:r w:rsidR="00F06756" w:rsidRPr="00446F65">
        <w:rPr>
          <w:rFonts w:ascii="Times New Roman" w:hAnsi="Times New Roman" w:cs="Times New Roman"/>
          <w:sz w:val="26"/>
          <w:szCs w:val="26"/>
          <w:lang w:val="ro-MO"/>
        </w:rPr>
        <w:t>bligaţia de ne</w:t>
      </w:r>
      <w:r w:rsidR="00753237" w:rsidRPr="00446F65">
        <w:rPr>
          <w:rFonts w:ascii="Times New Roman" w:hAnsi="Times New Roman" w:cs="Times New Roman"/>
          <w:sz w:val="26"/>
          <w:szCs w:val="26"/>
          <w:lang w:val="ro-MO"/>
        </w:rPr>
        <w:t>admitere a discriminării</w:t>
      </w:r>
      <w:r w:rsidR="00F06756" w:rsidRPr="00446F65">
        <w:rPr>
          <w:rFonts w:ascii="Times New Roman" w:hAnsi="Times New Roman" w:cs="Times New Roman"/>
          <w:sz w:val="26"/>
          <w:szCs w:val="26"/>
          <w:lang w:val="ro-MO"/>
        </w:rPr>
        <w:t>;</w:t>
      </w:r>
    </w:p>
    <w:p w:rsidR="00753237" w:rsidRPr="00446F65" w:rsidRDefault="00C10151" w:rsidP="00317915">
      <w:pPr>
        <w:pStyle w:val="ListParagraph"/>
        <w:numPr>
          <w:ilvl w:val="0"/>
          <w:numId w:val="8"/>
        </w:numPr>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O</w:t>
      </w:r>
      <w:r w:rsidR="00F06756" w:rsidRPr="00446F65">
        <w:rPr>
          <w:rFonts w:ascii="Times New Roman" w:hAnsi="Times New Roman" w:cs="Times New Roman"/>
          <w:sz w:val="26"/>
          <w:szCs w:val="26"/>
          <w:lang w:val="ro-MO"/>
        </w:rPr>
        <w:t>bligaţii privind controlul tarifelor, inclusiv obligaţii de fundame</w:t>
      </w:r>
      <w:r w:rsidR="00753237" w:rsidRPr="00446F65">
        <w:rPr>
          <w:rFonts w:ascii="Times New Roman" w:hAnsi="Times New Roman" w:cs="Times New Roman"/>
          <w:sz w:val="26"/>
          <w:szCs w:val="26"/>
          <w:lang w:val="ro-MO"/>
        </w:rPr>
        <w:t xml:space="preserve">ntare a tarifelor în funcţie de </w:t>
      </w:r>
      <w:r w:rsidRPr="00446F65">
        <w:rPr>
          <w:rFonts w:ascii="Times New Roman" w:hAnsi="Times New Roman" w:cs="Times New Roman"/>
          <w:sz w:val="26"/>
          <w:szCs w:val="26"/>
          <w:lang w:val="ro-MO"/>
        </w:rPr>
        <w:t>costu</w:t>
      </w:r>
      <w:r w:rsidR="007A196D" w:rsidRPr="00446F65">
        <w:rPr>
          <w:rFonts w:ascii="Times New Roman" w:hAnsi="Times New Roman" w:cs="Times New Roman"/>
          <w:sz w:val="26"/>
          <w:szCs w:val="26"/>
          <w:lang w:val="ro-MO"/>
        </w:rPr>
        <w:t>l LRAIC</w:t>
      </w:r>
      <w:r w:rsidR="00042D04" w:rsidRPr="00446F65">
        <w:rPr>
          <w:rFonts w:ascii="Times New Roman" w:hAnsi="Times New Roman" w:cs="Times New Roman"/>
          <w:sz w:val="26"/>
          <w:szCs w:val="26"/>
          <w:lang w:val="ro-MO"/>
        </w:rPr>
        <w:t>, inclusiv pentru serviciile de acces la bucla locală optică și acces la canalizaţie și stâlpi telefonici</w:t>
      </w:r>
      <w:r w:rsidRPr="00446F65">
        <w:rPr>
          <w:rFonts w:ascii="Times New Roman" w:hAnsi="Times New Roman" w:cs="Times New Roman"/>
          <w:sz w:val="26"/>
          <w:szCs w:val="26"/>
          <w:lang w:val="ro-MO"/>
        </w:rPr>
        <w:t>;</w:t>
      </w:r>
    </w:p>
    <w:p w:rsidR="0032133F" w:rsidRPr="00446F65" w:rsidRDefault="00C10151" w:rsidP="00317915">
      <w:pPr>
        <w:pStyle w:val="ListParagraph"/>
        <w:numPr>
          <w:ilvl w:val="0"/>
          <w:numId w:val="8"/>
        </w:numPr>
        <w:autoSpaceDE w:val="0"/>
        <w:autoSpaceDN w:val="0"/>
        <w:adjustRightInd w:val="0"/>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O</w:t>
      </w:r>
      <w:r w:rsidR="00753237" w:rsidRPr="00446F65">
        <w:rPr>
          <w:rFonts w:ascii="Times New Roman" w:hAnsi="Times New Roman" w:cs="Times New Roman"/>
          <w:sz w:val="26"/>
          <w:szCs w:val="26"/>
          <w:lang w:val="ro-MO"/>
        </w:rPr>
        <w:t>bligaţia privind ținer</w:t>
      </w:r>
      <w:r w:rsidRPr="00446F65">
        <w:rPr>
          <w:rFonts w:ascii="Times New Roman" w:hAnsi="Times New Roman" w:cs="Times New Roman"/>
          <w:sz w:val="26"/>
          <w:szCs w:val="26"/>
          <w:lang w:val="ro-MO"/>
        </w:rPr>
        <w:t>ea evidenţei contabile separate.</w:t>
      </w:r>
    </w:p>
    <w:p w:rsidR="00B96C4F" w:rsidRPr="00446F65" w:rsidRDefault="003F044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2) </w:t>
      </w:r>
      <w:r w:rsidR="00B96C4F" w:rsidRPr="00446F65">
        <w:rPr>
          <w:rFonts w:ascii="Times New Roman" w:hAnsi="Times New Roman" w:cs="Times New Roman"/>
          <w:sz w:val="26"/>
          <w:szCs w:val="26"/>
          <w:lang w:val="ro-MO"/>
        </w:rPr>
        <w:t xml:space="preserve">necesară impunerea remediilor în sarcina Moldtelecom cu privire la </w:t>
      </w:r>
      <w:r w:rsidR="00036B8D" w:rsidRPr="00446F65">
        <w:rPr>
          <w:rFonts w:ascii="Times New Roman" w:hAnsi="Times New Roman" w:cs="Times New Roman"/>
          <w:sz w:val="26"/>
          <w:szCs w:val="26"/>
          <w:lang w:val="ro-MO"/>
        </w:rPr>
        <w:t xml:space="preserve">asigurarea </w:t>
      </w:r>
      <w:r w:rsidR="00B96C4F" w:rsidRPr="00446F65">
        <w:rPr>
          <w:rFonts w:ascii="Times New Roman" w:hAnsi="Times New Roman" w:cs="Times New Roman"/>
          <w:sz w:val="26"/>
          <w:szCs w:val="26"/>
          <w:lang w:val="ro-MO"/>
        </w:rPr>
        <w:t>accesul de tip VULA</w:t>
      </w:r>
      <w:r w:rsidR="00036B8D" w:rsidRPr="00446F65">
        <w:rPr>
          <w:rFonts w:ascii="Times New Roman" w:hAnsi="Times New Roman" w:cs="Times New Roman"/>
          <w:sz w:val="26"/>
          <w:szCs w:val="26"/>
          <w:lang w:val="ro-MO"/>
        </w:rPr>
        <w:t>, inclusiv a facilităților asociate.</w:t>
      </w:r>
    </w:p>
    <w:p w:rsidR="00E32C77" w:rsidRPr="00446F65" w:rsidRDefault="00E32C77" w:rsidP="00317915">
      <w:pPr>
        <w:pStyle w:val="Heading2"/>
        <w:spacing w:line="240" w:lineRule="auto"/>
        <w:ind w:firstLine="720"/>
        <w:rPr>
          <w:rFonts w:eastAsiaTheme="minorHAnsi" w:cs="Times New Roman"/>
          <w:bCs w:val="0"/>
          <w:color w:val="auto"/>
          <w:sz w:val="26"/>
          <w:lang w:val="ro-MO"/>
        </w:rPr>
      </w:pPr>
      <w:bookmarkStart w:id="35" w:name="_Toc492907394"/>
      <w:r w:rsidRPr="00446F65">
        <w:rPr>
          <w:rFonts w:eastAsiaTheme="minorHAnsi" w:cs="Times New Roman"/>
          <w:bCs w:val="0"/>
          <w:color w:val="auto"/>
          <w:sz w:val="26"/>
          <w:lang w:val="ro-MO"/>
        </w:rPr>
        <w:t>3.</w:t>
      </w:r>
      <w:r w:rsidR="00461D21" w:rsidRPr="00446F65">
        <w:rPr>
          <w:rFonts w:eastAsiaTheme="minorHAnsi" w:cs="Times New Roman"/>
          <w:bCs w:val="0"/>
          <w:color w:val="auto"/>
          <w:sz w:val="26"/>
          <w:lang w:val="ro-MO"/>
        </w:rPr>
        <w:t>4</w:t>
      </w:r>
      <w:r w:rsidRPr="00446F65">
        <w:rPr>
          <w:rFonts w:eastAsiaTheme="minorHAnsi" w:cs="Times New Roman"/>
          <w:bCs w:val="0"/>
          <w:color w:val="auto"/>
          <w:sz w:val="26"/>
          <w:lang w:val="ro-MO"/>
        </w:rPr>
        <w:t xml:space="preserve"> Identificarea Pieței </w:t>
      </w:r>
      <w:r w:rsidR="000270E0" w:rsidRPr="00446F65">
        <w:rPr>
          <w:rFonts w:eastAsiaTheme="minorHAnsi" w:cs="Times New Roman"/>
          <w:bCs w:val="0"/>
          <w:color w:val="auto"/>
          <w:sz w:val="26"/>
          <w:lang w:val="ro-MO"/>
        </w:rPr>
        <w:t xml:space="preserve">furnizării cu ridicata de servicii de acces central la puncte fixe pentru produse de larg consum </w:t>
      </w:r>
      <w:r w:rsidRPr="00446F65">
        <w:rPr>
          <w:rFonts w:eastAsiaTheme="minorHAnsi" w:cs="Times New Roman"/>
          <w:bCs w:val="0"/>
          <w:color w:val="auto"/>
          <w:sz w:val="26"/>
          <w:lang w:val="ro-MO"/>
        </w:rPr>
        <w:t>(WCA)</w:t>
      </w:r>
      <w:bookmarkEnd w:id="35"/>
    </w:p>
    <w:p w:rsidR="00157EB8" w:rsidRPr="00446F65" w:rsidRDefault="00157EB8" w:rsidP="00317915">
      <w:pPr>
        <w:pStyle w:val="ListParagraph"/>
        <w:tabs>
          <w:tab w:val="left" w:pos="720"/>
        </w:tabs>
        <w:spacing w:after="0" w:line="240" w:lineRule="auto"/>
        <w:ind w:left="0" w:firstLine="720"/>
        <w:jc w:val="both"/>
        <w:rPr>
          <w:rFonts w:ascii="Times New Roman" w:hAnsi="Times New Roman" w:cs="Times New Roman"/>
          <w:sz w:val="26"/>
          <w:szCs w:val="26"/>
          <w:lang w:val="ro-MO"/>
        </w:rPr>
      </w:pPr>
      <w:bookmarkStart w:id="36" w:name="_Toc338940376"/>
      <w:bookmarkStart w:id="37" w:name="_Toc430854382"/>
      <w:r w:rsidRPr="00446F65">
        <w:rPr>
          <w:rFonts w:ascii="Times New Roman" w:hAnsi="Times New Roman" w:cs="Times New Roman"/>
          <w:sz w:val="26"/>
          <w:szCs w:val="26"/>
          <w:lang w:val="ro-MO"/>
        </w:rPr>
        <w:t>În compartimentele ce urmează, ANRCETI desfășoară o analiză care stabilește:</w:t>
      </w:r>
    </w:p>
    <w:p w:rsidR="00157EB8" w:rsidRPr="00446F65" w:rsidRDefault="00157EB8" w:rsidP="00FC0005">
      <w:pPr>
        <w:pStyle w:val="ListParagraph"/>
        <w:numPr>
          <w:ilvl w:val="0"/>
          <w:numId w:val="27"/>
        </w:numPr>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limitele pieței produsului și pieţei geografice ale pieței WCA, utilizând raționamentele Testului Monopolistului Ipotetic;</w:t>
      </w:r>
    </w:p>
    <w:p w:rsidR="00157EB8" w:rsidRPr="00446F65" w:rsidRDefault="00157EB8" w:rsidP="00FC0005">
      <w:pPr>
        <w:pStyle w:val="ListParagraph"/>
        <w:numPr>
          <w:ilvl w:val="0"/>
          <w:numId w:val="27"/>
        </w:numPr>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situaţia concurenţială şi evoluţia viitoare a acestei pieţe în scopul de a desemna, după caz, furnizorul sau furnizorii cu putere semnificativă;</w:t>
      </w:r>
    </w:p>
    <w:p w:rsidR="00157EB8" w:rsidRPr="00446F65" w:rsidRDefault="00157EB8" w:rsidP="00FC0005">
      <w:pPr>
        <w:pStyle w:val="ListParagraph"/>
        <w:numPr>
          <w:ilvl w:val="0"/>
          <w:numId w:val="27"/>
        </w:numPr>
        <w:spacing w:after="0" w:line="240" w:lineRule="auto"/>
        <w:ind w:left="0"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identificarea obligaţiilor ce urmează a fi impuse furnizorului determinat cu putere semnificativă pe piața dată.</w:t>
      </w:r>
    </w:p>
    <w:p w:rsidR="00157EB8" w:rsidRPr="00446F65" w:rsidRDefault="00461D21" w:rsidP="00317915">
      <w:pPr>
        <w:pStyle w:val="Heading4"/>
        <w:spacing w:line="240" w:lineRule="auto"/>
        <w:ind w:firstLine="720"/>
        <w:rPr>
          <w:rFonts w:eastAsiaTheme="minorHAnsi" w:cs="Times New Roman"/>
          <w:bCs w:val="0"/>
          <w:i w:val="0"/>
          <w:iCs w:val="0"/>
          <w:color w:val="auto"/>
          <w:szCs w:val="26"/>
          <w:lang w:val="ro-MO"/>
        </w:rPr>
      </w:pPr>
      <w:bookmarkStart w:id="38" w:name="_Toc492907395"/>
      <w:bookmarkEnd w:id="36"/>
      <w:bookmarkEnd w:id="37"/>
      <w:r w:rsidRPr="00446F65">
        <w:rPr>
          <w:rFonts w:eastAsiaTheme="minorHAnsi" w:cs="Times New Roman"/>
          <w:bCs w:val="0"/>
          <w:i w:val="0"/>
          <w:iCs w:val="0"/>
          <w:color w:val="auto"/>
          <w:szCs w:val="26"/>
          <w:lang w:val="ro-MO"/>
        </w:rPr>
        <w:t>3.4</w:t>
      </w:r>
      <w:r w:rsidR="006D6C56" w:rsidRPr="00446F65">
        <w:rPr>
          <w:rFonts w:eastAsiaTheme="minorHAnsi" w:cs="Times New Roman"/>
          <w:bCs w:val="0"/>
          <w:i w:val="0"/>
          <w:iCs w:val="0"/>
          <w:color w:val="auto"/>
          <w:szCs w:val="26"/>
          <w:lang w:val="ro-MO"/>
        </w:rPr>
        <w:t>.</w:t>
      </w:r>
      <w:r w:rsidR="00157EB8" w:rsidRPr="00446F65">
        <w:rPr>
          <w:rFonts w:eastAsiaTheme="minorHAnsi" w:cs="Times New Roman"/>
          <w:bCs w:val="0"/>
          <w:i w:val="0"/>
          <w:iCs w:val="0"/>
          <w:color w:val="auto"/>
          <w:szCs w:val="26"/>
          <w:lang w:val="ro-MO"/>
        </w:rPr>
        <w:t>1 Definirea pieței produsului</w:t>
      </w:r>
      <w:bookmarkEnd w:id="38"/>
      <w:r w:rsidR="00157EB8" w:rsidRPr="00446F65">
        <w:rPr>
          <w:rFonts w:eastAsiaTheme="minorHAnsi" w:cs="Times New Roman"/>
          <w:bCs w:val="0"/>
          <w:i w:val="0"/>
          <w:iCs w:val="0"/>
          <w:color w:val="auto"/>
          <w:szCs w:val="26"/>
          <w:lang w:val="ro-MO"/>
        </w:rPr>
        <w:t xml:space="preserve"> </w:t>
      </w:r>
    </w:p>
    <w:p w:rsidR="00157EB8" w:rsidRPr="00446F65" w:rsidRDefault="00157EB8" w:rsidP="00317915">
      <w:pPr>
        <w:pStyle w:val="BodyText"/>
        <w:ind w:firstLine="720"/>
        <w:jc w:val="both"/>
        <w:rPr>
          <w:color w:val="000000"/>
          <w:sz w:val="26"/>
          <w:szCs w:val="26"/>
          <w:lang w:val="ro-MO"/>
        </w:rPr>
      </w:pPr>
      <w:r w:rsidRPr="00446F65">
        <w:rPr>
          <w:sz w:val="26"/>
          <w:szCs w:val="26"/>
          <w:lang w:val="ro-MO"/>
        </w:rPr>
        <w:t xml:space="preserve">WCA </w:t>
      </w:r>
      <w:r w:rsidR="006D6C56" w:rsidRPr="00446F65">
        <w:rPr>
          <w:sz w:val="26"/>
          <w:szCs w:val="26"/>
          <w:lang w:val="ro-MO"/>
        </w:rPr>
        <w:t>reprezintă</w:t>
      </w:r>
      <w:r w:rsidRPr="00446F65">
        <w:rPr>
          <w:sz w:val="26"/>
          <w:szCs w:val="26"/>
          <w:lang w:val="ro-MO"/>
        </w:rPr>
        <w:t xml:space="preserve"> </w:t>
      </w:r>
      <w:r w:rsidR="006D6C56" w:rsidRPr="00446F65">
        <w:rPr>
          <w:sz w:val="26"/>
          <w:szCs w:val="26"/>
          <w:lang w:val="ro-MO"/>
        </w:rPr>
        <w:t>o resursă</w:t>
      </w:r>
      <w:r w:rsidRPr="00446F65">
        <w:rPr>
          <w:sz w:val="26"/>
          <w:szCs w:val="26"/>
          <w:lang w:val="ro-MO"/>
        </w:rPr>
        <w:t xml:space="preserve"> cu ridicata non-fizic</w:t>
      </w:r>
      <w:r w:rsidR="006D6C56" w:rsidRPr="00446F65">
        <w:rPr>
          <w:sz w:val="26"/>
          <w:szCs w:val="26"/>
          <w:lang w:val="ro-MO"/>
        </w:rPr>
        <w:t>ă</w:t>
      </w:r>
      <w:r w:rsidRPr="00446F65">
        <w:rPr>
          <w:sz w:val="26"/>
          <w:szCs w:val="26"/>
          <w:lang w:val="ro-MO"/>
        </w:rPr>
        <w:t xml:space="preserve"> utilizat</w:t>
      </w:r>
      <w:r w:rsidR="006D6C56" w:rsidRPr="00446F65">
        <w:rPr>
          <w:sz w:val="26"/>
          <w:szCs w:val="26"/>
          <w:lang w:val="ro-MO"/>
        </w:rPr>
        <w:t>ă</w:t>
      </w:r>
      <w:r w:rsidRPr="00446F65">
        <w:rPr>
          <w:sz w:val="26"/>
          <w:szCs w:val="26"/>
          <w:lang w:val="ro-MO"/>
        </w:rPr>
        <w:t xml:space="preserve"> pentru furnizarea serviciilor cu amănuntul utilizatorilor finali ca accesul la Internet în bandă largă, servicii TV, servicii de telefonie. WCA cuprinde conform Notei explicative la Recomandarea 2014/710/UE </w:t>
      </w:r>
      <w:r w:rsidRPr="00446F65">
        <w:rPr>
          <w:i/>
          <w:sz w:val="26"/>
          <w:szCs w:val="26"/>
          <w:lang w:val="ro-MO"/>
        </w:rPr>
        <w:t xml:space="preserve">„produsele de acces care permit furnizorilor solicitanți un control direct mai redus și mai standardizat asupra liniei de acces”. </w:t>
      </w:r>
      <w:r w:rsidRPr="00446F65">
        <w:rPr>
          <w:sz w:val="26"/>
          <w:szCs w:val="26"/>
          <w:lang w:val="ro-MO"/>
        </w:rPr>
        <w:t xml:space="preserve">Controlul limitat asupra liniei de acces se datorează cerințelor mai mici de a efectua investiții de către solicitantul de acces pentru a obține conectivitatea.  </w:t>
      </w:r>
    </w:p>
    <w:p w:rsidR="00157EB8" w:rsidRPr="00446F65" w:rsidRDefault="00157EB8" w:rsidP="00317915">
      <w:pPr>
        <w:pStyle w:val="BodyText"/>
        <w:ind w:firstLine="720"/>
        <w:jc w:val="both"/>
        <w:rPr>
          <w:color w:val="000000"/>
          <w:sz w:val="26"/>
          <w:szCs w:val="26"/>
          <w:lang w:val="ro-MO"/>
        </w:rPr>
      </w:pPr>
      <w:r w:rsidRPr="00446F65">
        <w:rPr>
          <w:color w:val="000000"/>
          <w:sz w:val="26"/>
          <w:szCs w:val="26"/>
          <w:lang w:val="ro-MO"/>
        </w:rPr>
        <w:t xml:space="preserve">Piața WCA înlocuiește Piața 5 (piaţa accesului cu ridicată la comunicații în bandă largă) din Recomandarea 2007/879/EC, iar serviciile furnizate pe această piață sunt denumite tradițional servicii </w:t>
      </w:r>
      <w:r w:rsidRPr="00446F65">
        <w:rPr>
          <w:sz w:val="26"/>
          <w:szCs w:val="26"/>
          <w:lang w:val="ro-MO"/>
        </w:rPr>
        <w:t xml:space="preserve">de tip </w:t>
      </w:r>
      <w:r w:rsidR="006D6C56" w:rsidRPr="00FC0005">
        <w:rPr>
          <w:i/>
          <w:sz w:val="26"/>
          <w:szCs w:val="26"/>
          <w:lang w:val="ro-MO"/>
        </w:rPr>
        <w:t>b</w:t>
      </w:r>
      <w:r w:rsidRPr="00FC0005">
        <w:rPr>
          <w:i/>
          <w:sz w:val="26"/>
          <w:szCs w:val="26"/>
          <w:lang w:val="ro-MO"/>
        </w:rPr>
        <w:t>itstream</w:t>
      </w:r>
      <w:r w:rsidRPr="00446F65">
        <w:rPr>
          <w:color w:val="000000"/>
          <w:sz w:val="26"/>
          <w:szCs w:val="26"/>
          <w:lang w:val="ro-MO"/>
        </w:rPr>
        <w:t xml:space="preserve"> </w:t>
      </w:r>
      <w:r w:rsidRPr="00446F65">
        <w:rPr>
          <w:sz w:val="26"/>
          <w:szCs w:val="26"/>
          <w:lang w:val="ro-MO"/>
        </w:rPr>
        <w:t xml:space="preserve">și de obicei includ acces la capacități furnizate prin intermediul rețelelor de cupru, rețelelor de fibră optică sau rețelelor hibride (cupru/fibră optică), utilizarea echipamentelor </w:t>
      </w:r>
      <w:r w:rsidR="006D6C56" w:rsidRPr="00446F65">
        <w:rPr>
          <w:sz w:val="26"/>
          <w:szCs w:val="26"/>
          <w:lang w:val="ro-MO"/>
        </w:rPr>
        <w:t>în bandă largă</w:t>
      </w:r>
      <w:r w:rsidRPr="00446F65">
        <w:rPr>
          <w:sz w:val="26"/>
          <w:szCs w:val="26"/>
          <w:lang w:val="ro-MO"/>
        </w:rPr>
        <w:t xml:space="preserve"> și anumitor elemente de </w:t>
      </w:r>
      <w:r w:rsidRPr="00FC0005">
        <w:rPr>
          <w:i/>
          <w:sz w:val="26"/>
          <w:szCs w:val="26"/>
          <w:lang w:val="ro-MO"/>
        </w:rPr>
        <w:t>backhaul și handover</w:t>
      </w:r>
      <w:r w:rsidRPr="00446F65">
        <w:rPr>
          <w:color w:val="000000"/>
          <w:sz w:val="26"/>
          <w:szCs w:val="26"/>
          <w:lang w:val="ro-MO"/>
        </w:rPr>
        <w:t xml:space="preserve">. </w:t>
      </w:r>
      <w:r w:rsidRPr="00446F65">
        <w:rPr>
          <w:sz w:val="26"/>
          <w:szCs w:val="26"/>
          <w:lang w:val="ro-MO"/>
        </w:rPr>
        <w:t xml:space="preserve">Instrucţiunile </w:t>
      </w:r>
      <w:r w:rsidRPr="00446F65">
        <w:rPr>
          <w:color w:val="000000"/>
          <w:sz w:val="26"/>
          <w:szCs w:val="26"/>
          <w:lang w:val="ro-MO"/>
        </w:rPr>
        <w:t>Comisiei Europene sugerează că produsele care oferă “calitatea serviciilor de tip “</w:t>
      </w:r>
      <w:proofErr w:type="spellStart"/>
      <w:r w:rsidRPr="00FC0005">
        <w:rPr>
          <w:i/>
          <w:color w:val="000000"/>
          <w:sz w:val="26"/>
          <w:szCs w:val="26"/>
          <w:lang w:val="ro-MO"/>
        </w:rPr>
        <w:t>best</w:t>
      </w:r>
      <w:proofErr w:type="spellEnd"/>
      <w:r w:rsidRPr="00FC0005">
        <w:rPr>
          <w:i/>
          <w:color w:val="000000"/>
          <w:sz w:val="26"/>
          <w:szCs w:val="26"/>
          <w:lang w:val="ro-MO"/>
        </w:rPr>
        <w:t xml:space="preserve"> </w:t>
      </w:r>
      <w:proofErr w:type="spellStart"/>
      <w:r w:rsidRPr="00FC0005">
        <w:rPr>
          <w:i/>
          <w:color w:val="000000"/>
          <w:sz w:val="26"/>
          <w:szCs w:val="26"/>
          <w:lang w:val="ro-MO"/>
        </w:rPr>
        <w:t>effort</w:t>
      </w:r>
      <w:proofErr w:type="spellEnd"/>
      <w:r w:rsidRPr="00446F65">
        <w:rPr>
          <w:color w:val="000000"/>
          <w:sz w:val="26"/>
          <w:szCs w:val="26"/>
          <w:lang w:val="ro-MO"/>
        </w:rPr>
        <w:t>”, fără garanții de disponibilitate, “</w:t>
      </w:r>
      <w:proofErr w:type="spellStart"/>
      <w:r w:rsidRPr="00FC0005">
        <w:rPr>
          <w:i/>
          <w:color w:val="000000"/>
          <w:sz w:val="26"/>
          <w:szCs w:val="26"/>
          <w:lang w:val="ro-MO"/>
        </w:rPr>
        <w:t>contention</w:t>
      </w:r>
      <w:proofErr w:type="spellEnd"/>
      <w:r w:rsidRPr="00FC0005">
        <w:rPr>
          <w:i/>
          <w:color w:val="000000"/>
          <w:sz w:val="26"/>
          <w:szCs w:val="26"/>
          <w:lang w:val="ro-MO"/>
        </w:rPr>
        <w:t xml:space="preserve"> </w:t>
      </w:r>
      <w:proofErr w:type="spellStart"/>
      <w:r w:rsidRPr="00FC0005">
        <w:rPr>
          <w:i/>
          <w:color w:val="000000"/>
          <w:sz w:val="26"/>
          <w:szCs w:val="26"/>
          <w:lang w:val="ro-MO"/>
        </w:rPr>
        <w:t>ratio</w:t>
      </w:r>
      <w:proofErr w:type="spellEnd"/>
      <w:r w:rsidRPr="00446F65">
        <w:rPr>
          <w:color w:val="000000"/>
          <w:sz w:val="26"/>
          <w:szCs w:val="26"/>
          <w:lang w:val="ro-MO"/>
        </w:rPr>
        <w:t xml:space="preserve">” ridicat, viteze asimetrice” ar trebui să cadă în Piața WCA. </w:t>
      </w:r>
    </w:p>
    <w:p w:rsidR="00157EB8" w:rsidRPr="00446F65" w:rsidRDefault="00157EB8" w:rsidP="00317915">
      <w:pPr>
        <w:pStyle w:val="Default"/>
        <w:ind w:firstLine="720"/>
        <w:jc w:val="both"/>
        <w:rPr>
          <w:color w:val="auto"/>
          <w:sz w:val="26"/>
          <w:szCs w:val="26"/>
          <w:lang w:val="ro-MO"/>
        </w:rPr>
      </w:pPr>
      <w:r w:rsidRPr="00446F65">
        <w:rPr>
          <w:color w:val="auto"/>
          <w:sz w:val="26"/>
          <w:szCs w:val="26"/>
          <w:lang w:val="ro-MO"/>
        </w:rPr>
        <w:lastRenderedPageBreak/>
        <w:t xml:space="preserve">În conformitate cu practicile Uniunii Europene, piaţa accesului în bandă largă (redefinită în piața WCA) poate fi definită în baza următoarelor caracteristici: </w:t>
      </w:r>
    </w:p>
    <w:p w:rsidR="00157EB8" w:rsidRPr="00446F65" w:rsidRDefault="00157EB8" w:rsidP="00317915">
      <w:pPr>
        <w:pStyle w:val="Default"/>
        <w:ind w:firstLine="720"/>
        <w:jc w:val="both"/>
        <w:rPr>
          <w:color w:val="auto"/>
          <w:sz w:val="26"/>
          <w:szCs w:val="26"/>
          <w:lang w:val="ro-MO"/>
        </w:rPr>
      </w:pPr>
      <w:r w:rsidRPr="00446F65">
        <w:rPr>
          <w:color w:val="auto"/>
          <w:sz w:val="26"/>
          <w:szCs w:val="26"/>
          <w:lang w:val="ro-MO"/>
        </w:rPr>
        <w:t>1. Serviciul este "mereu activ"– adică nu este necesară conexiunea Dial-Up, iar utilizatorul final are o conexiune permanentă la reţea şi la serviciile acesteia</w:t>
      </w:r>
      <w:r w:rsidR="000A7FB1" w:rsidRPr="00446F65">
        <w:rPr>
          <w:color w:val="auto"/>
          <w:sz w:val="26"/>
          <w:szCs w:val="26"/>
          <w:lang w:val="ro-MO"/>
        </w:rPr>
        <w:t>;</w:t>
      </w:r>
      <w:r w:rsidRPr="00446F65">
        <w:rPr>
          <w:color w:val="auto"/>
          <w:sz w:val="26"/>
          <w:szCs w:val="26"/>
          <w:lang w:val="ro-MO"/>
        </w:rPr>
        <w:t xml:space="preserve"> </w:t>
      </w:r>
    </w:p>
    <w:p w:rsidR="00157EB8" w:rsidRPr="00446F65" w:rsidRDefault="00157EB8" w:rsidP="00317915">
      <w:pPr>
        <w:pStyle w:val="Default"/>
        <w:ind w:firstLine="720"/>
        <w:jc w:val="both"/>
        <w:rPr>
          <w:color w:val="auto"/>
          <w:sz w:val="26"/>
          <w:szCs w:val="26"/>
          <w:lang w:val="ro-MO"/>
        </w:rPr>
      </w:pPr>
      <w:r w:rsidRPr="00446F65">
        <w:rPr>
          <w:color w:val="auto"/>
          <w:sz w:val="26"/>
          <w:szCs w:val="26"/>
          <w:lang w:val="ro-MO"/>
        </w:rPr>
        <w:t>2. Există posibilitatea de a utiliza simultan serviciile voce şi transport date</w:t>
      </w:r>
      <w:r w:rsidR="000A7FB1" w:rsidRPr="00446F65">
        <w:rPr>
          <w:color w:val="auto"/>
          <w:sz w:val="26"/>
          <w:szCs w:val="26"/>
          <w:lang w:val="ro-MO"/>
        </w:rPr>
        <w:t>;</w:t>
      </w:r>
      <w:r w:rsidRPr="00446F65">
        <w:rPr>
          <w:color w:val="auto"/>
          <w:sz w:val="26"/>
          <w:szCs w:val="26"/>
          <w:lang w:val="ro-MO"/>
        </w:rPr>
        <w:t xml:space="preserve"> </w:t>
      </w:r>
    </w:p>
    <w:p w:rsidR="00157EB8" w:rsidRPr="00446F65" w:rsidRDefault="00157EB8" w:rsidP="00317915">
      <w:pPr>
        <w:pStyle w:val="Default"/>
        <w:ind w:firstLine="720"/>
        <w:jc w:val="both"/>
        <w:rPr>
          <w:color w:val="auto"/>
          <w:sz w:val="26"/>
          <w:szCs w:val="26"/>
          <w:lang w:val="ro-MO"/>
        </w:rPr>
      </w:pPr>
      <w:r w:rsidRPr="00446F65">
        <w:rPr>
          <w:color w:val="auto"/>
          <w:sz w:val="26"/>
          <w:szCs w:val="26"/>
          <w:lang w:val="ro-MO"/>
        </w:rPr>
        <w:t xml:space="preserve">3. Accesul în bandă largă este mai rapid decât accesul la internet prin Dial-Up. </w:t>
      </w:r>
    </w:p>
    <w:p w:rsidR="00157EB8" w:rsidRPr="00446F65" w:rsidRDefault="00157EB8" w:rsidP="00317915">
      <w:pPr>
        <w:pStyle w:val="Default"/>
        <w:ind w:firstLine="720"/>
        <w:jc w:val="both"/>
        <w:rPr>
          <w:color w:val="auto"/>
          <w:sz w:val="26"/>
          <w:szCs w:val="26"/>
          <w:lang w:val="ro-MO"/>
        </w:rPr>
      </w:pPr>
      <w:r w:rsidRPr="00446F65">
        <w:rPr>
          <w:color w:val="auto"/>
          <w:sz w:val="26"/>
          <w:szCs w:val="26"/>
          <w:lang w:val="ro-MO"/>
        </w:rPr>
        <w:t>La punctul trei, ANRCETI nu consideră că este necesar să fie stabilit un nivel minim sau maxim de viteză ca parte a definiţiei. Condiţiile de piaţă se schimbă rapid şi vitezele de la care începe delimitarea bandei largi pot să nu fie percepute deja de consumatori drept bandă largă. Totodată vitezele percepute în prezent ca fiind bandă largă, în viitorul apropiat pot să nu mai fie percepute astfel. Dat fiind că condiţiile de piaţă sunt în permanentă schimbare, ANRCETI, la această etapă, a renunţat la definirea limitelor de viteză pentru serviciul dat. La această etapă de dezvoltare a pieţei condiţiile de cerere şi ofertă, nu par să solicite o astfel de separare, însă ANRCETI va monitoriza minuţios evoluţia pieţei pentru a se asigura că orice definire a pieţei şi intervenţie potenţială de reglementare sunt adecvate şi proporţionale.</w:t>
      </w:r>
    </w:p>
    <w:p w:rsidR="00157EB8" w:rsidRPr="00446F65" w:rsidRDefault="00157EB8" w:rsidP="00317915">
      <w:pPr>
        <w:pStyle w:val="BodyText"/>
        <w:ind w:firstLine="720"/>
        <w:jc w:val="both"/>
        <w:rPr>
          <w:color w:val="000000"/>
          <w:sz w:val="26"/>
          <w:szCs w:val="26"/>
          <w:lang w:val="ro-MO"/>
        </w:rPr>
      </w:pPr>
      <w:r w:rsidRPr="00446F65">
        <w:rPr>
          <w:color w:val="000000"/>
          <w:sz w:val="26"/>
          <w:szCs w:val="26"/>
          <w:lang w:val="ro-MO"/>
        </w:rPr>
        <w:t xml:space="preserve">Piața WCA se află în aval față de Piața WLA și în amonte față de piața cu amănuntul în bandă largă. Figura </w:t>
      </w:r>
      <w:r w:rsidR="000A7FB1" w:rsidRPr="00446F65">
        <w:rPr>
          <w:color w:val="000000"/>
          <w:sz w:val="26"/>
          <w:szCs w:val="26"/>
          <w:lang w:val="ro-MO"/>
        </w:rPr>
        <w:t>9</w:t>
      </w:r>
      <w:r w:rsidRPr="00446F65">
        <w:rPr>
          <w:color w:val="000000"/>
          <w:sz w:val="26"/>
          <w:szCs w:val="26"/>
          <w:lang w:val="ro-MO"/>
        </w:rPr>
        <w:t xml:space="preserve"> prezintă limitele acestui serviciu şi demonstrează această relaţie utilizând tehnologia ADSL. </w:t>
      </w:r>
    </w:p>
    <w:p w:rsidR="00157EB8" w:rsidRPr="00446F65" w:rsidRDefault="00157EB8" w:rsidP="00317915">
      <w:pPr>
        <w:pStyle w:val="BodyText"/>
        <w:ind w:firstLine="720"/>
        <w:jc w:val="both"/>
        <w:rPr>
          <w:sz w:val="26"/>
          <w:szCs w:val="26"/>
          <w:lang w:val="ro-MO"/>
        </w:rPr>
      </w:pPr>
      <w:r w:rsidRPr="00446F65">
        <w:rPr>
          <w:color w:val="000000"/>
          <w:sz w:val="26"/>
          <w:szCs w:val="26"/>
          <w:lang w:val="ro-MO"/>
        </w:rPr>
        <w:t xml:space="preserve">Diagrama arată că diferenţa principală dintre serviciile furnizate pe piața WCA și cele furnizate pe piața WLA constă în faptul că primele sunt oferite prin includerea DSLAM în partea de acces a serviciului, de către furnizorul de servicii, pentru solicitantul serviciului dat. În plus, pot fi furnizate diverse tipuri de </w:t>
      </w:r>
      <w:r w:rsidRPr="00446F65">
        <w:rPr>
          <w:i/>
          <w:iCs/>
          <w:color w:val="000000"/>
          <w:sz w:val="26"/>
          <w:szCs w:val="26"/>
          <w:lang w:val="ro-MO"/>
        </w:rPr>
        <w:t>capacităţi de transmitere asociată</w:t>
      </w:r>
      <w:r w:rsidRPr="00446F65">
        <w:rPr>
          <w:color w:val="000000"/>
          <w:sz w:val="26"/>
          <w:szCs w:val="26"/>
          <w:lang w:val="ro-MO"/>
        </w:rPr>
        <w:t xml:space="preserve">, iar serviciile pot fi prestate la nivel de ATM (sau </w:t>
      </w:r>
      <w:r w:rsidRPr="00FC0005">
        <w:rPr>
          <w:i/>
          <w:color w:val="000000"/>
          <w:sz w:val="26"/>
          <w:szCs w:val="26"/>
          <w:lang w:val="ro-MO"/>
        </w:rPr>
        <w:t>Ethernet</w:t>
      </w:r>
      <w:r w:rsidRPr="00446F65">
        <w:rPr>
          <w:color w:val="000000"/>
          <w:sz w:val="26"/>
          <w:szCs w:val="26"/>
          <w:lang w:val="ro-MO"/>
        </w:rPr>
        <w:t xml:space="preserve">), IP sau pot fi furnizate ca un simplu serviciu de </w:t>
      </w:r>
      <w:r w:rsidRPr="00446F65">
        <w:rPr>
          <w:sz w:val="26"/>
          <w:szCs w:val="26"/>
          <w:lang w:val="ro-MO"/>
        </w:rPr>
        <w:t xml:space="preserve">re-vânzare (în cazul dat solicitantul serviciului nu are posibilitatea să influenţeze caracteristicile tehnice ale serviciului). </w:t>
      </w:r>
    </w:p>
    <w:p w:rsidR="00157EB8" w:rsidRPr="00446F65" w:rsidRDefault="00157EB8" w:rsidP="00317915">
      <w:pPr>
        <w:spacing w:line="240" w:lineRule="auto"/>
        <w:rPr>
          <w:rFonts w:ascii="Times New Roman" w:hAnsi="Times New Roman" w:cs="Times New Roman"/>
          <w:sz w:val="26"/>
          <w:szCs w:val="26"/>
          <w:lang w:val="ro-MO"/>
        </w:rPr>
      </w:pPr>
    </w:p>
    <w:p w:rsidR="00157EB8" w:rsidRPr="00446F65" w:rsidRDefault="00157EB8" w:rsidP="00317915">
      <w:pPr>
        <w:spacing w:line="240" w:lineRule="auto"/>
        <w:jc w:val="center"/>
        <w:rPr>
          <w:rFonts w:ascii="Times New Roman" w:hAnsi="Times New Roman" w:cs="Times New Roman"/>
          <w:b/>
          <w:bCs/>
          <w:sz w:val="26"/>
          <w:szCs w:val="26"/>
          <w:lang w:val="ro-MO"/>
        </w:rPr>
      </w:pPr>
      <w:r w:rsidRPr="00446F65">
        <w:rPr>
          <w:rFonts w:ascii="Times New Roman" w:hAnsi="Times New Roman" w:cs="Times New Roman"/>
          <w:b/>
          <w:bCs/>
          <w:noProof/>
          <w:sz w:val="26"/>
          <w:szCs w:val="26"/>
        </w:rPr>
        <w:drawing>
          <wp:inline distT="0" distB="0" distL="0" distR="0" wp14:anchorId="7829E736" wp14:editId="7A980CC8">
            <wp:extent cx="6019800" cy="27051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P5 2.png"/>
                    <pic:cNvPicPr/>
                  </pic:nvPicPr>
                  <pic:blipFill>
                    <a:blip r:embed="rId24">
                      <a:extLst>
                        <a:ext uri="{28A0092B-C50C-407E-A947-70E740481C1C}">
                          <a14:useLocalDpi xmlns:a14="http://schemas.microsoft.com/office/drawing/2010/main" val="0"/>
                        </a:ext>
                      </a:extLst>
                    </a:blip>
                    <a:stretch>
                      <a:fillRect/>
                    </a:stretch>
                  </pic:blipFill>
                  <pic:spPr>
                    <a:xfrm>
                      <a:off x="0" y="0"/>
                      <a:ext cx="6019800" cy="2705100"/>
                    </a:xfrm>
                    <a:prstGeom prst="rect">
                      <a:avLst/>
                    </a:prstGeom>
                  </pic:spPr>
                </pic:pic>
              </a:graphicData>
            </a:graphic>
          </wp:inline>
        </w:drawing>
      </w:r>
    </w:p>
    <w:p w:rsidR="00157EB8" w:rsidRPr="00446F65" w:rsidRDefault="00157EB8" w:rsidP="00317915">
      <w:pPr>
        <w:spacing w:line="240" w:lineRule="auto"/>
        <w:ind w:firstLine="720"/>
        <w:rPr>
          <w:rFonts w:ascii="Times New Roman" w:hAnsi="Times New Roman" w:cs="Times New Roman"/>
          <w:bCs/>
          <w:sz w:val="26"/>
          <w:szCs w:val="26"/>
          <w:lang w:val="ro-MO"/>
        </w:rPr>
      </w:pPr>
      <w:r w:rsidRPr="00446F65">
        <w:rPr>
          <w:rFonts w:ascii="Times New Roman" w:hAnsi="Times New Roman" w:cs="Times New Roman"/>
          <w:b/>
          <w:bCs/>
          <w:sz w:val="26"/>
          <w:szCs w:val="26"/>
          <w:lang w:val="ro-MO"/>
        </w:rPr>
        <w:t xml:space="preserve">Figura </w:t>
      </w:r>
      <w:r w:rsidR="000A7FB1" w:rsidRPr="00446F65">
        <w:rPr>
          <w:rFonts w:ascii="Times New Roman" w:hAnsi="Times New Roman" w:cs="Times New Roman"/>
          <w:b/>
          <w:bCs/>
          <w:sz w:val="26"/>
          <w:szCs w:val="26"/>
          <w:lang w:val="ro-MO"/>
        </w:rPr>
        <w:t>9</w:t>
      </w:r>
      <w:r w:rsidRPr="00446F65">
        <w:rPr>
          <w:rFonts w:ascii="Times New Roman" w:hAnsi="Times New Roman" w:cs="Times New Roman"/>
          <w:b/>
          <w:bCs/>
          <w:sz w:val="26"/>
          <w:szCs w:val="26"/>
          <w:lang w:val="ro-MO"/>
        </w:rPr>
        <w:t xml:space="preserve">. Acces de tip </w:t>
      </w:r>
      <w:r w:rsidR="000A7FB1" w:rsidRPr="00FC0005">
        <w:rPr>
          <w:rFonts w:ascii="Times New Roman" w:hAnsi="Times New Roman" w:cs="Times New Roman"/>
          <w:b/>
          <w:bCs/>
          <w:i/>
          <w:sz w:val="26"/>
          <w:szCs w:val="26"/>
          <w:lang w:val="ro-MO"/>
        </w:rPr>
        <w:t>b</w:t>
      </w:r>
      <w:r w:rsidRPr="00FC0005">
        <w:rPr>
          <w:rFonts w:ascii="Times New Roman" w:hAnsi="Times New Roman" w:cs="Times New Roman"/>
          <w:b/>
          <w:bCs/>
          <w:i/>
          <w:sz w:val="26"/>
          <w:szCs w:val="26"/>
          <w:lang w:val="ro-MO"/>
        </w:rPr>
        <w:t>itstream</w:t>
      </w:r>
      <w:r w:rsidRPr="00446F65">
        <w:rPr>
          <w:rFonts w:ascii="Times New Roman" w:hAnsi="Times New Roman" w:cs="Times New Roman"/>
          <w:b/>
          <w:bCs/>
          <w:sz w:val="26"/>
          <w:szCs w:val="26"/>
          <w:lang w:val="ro-MO"/>
        </w:rPr>
        <w:t xml:space="preserve"> la bucla locală de cupru</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urma efectuării Testului Monopolistului Ipotetic, în cadrul iterației 2 (anul 2012) a pieței furnizării accesului cu ridicata la comunicații în bandă largă (Piața 5), ANRCETI a concluzionat </w:t>
      </w:r>
      <w:r w:rsidRPr="00446F65">
        <w:rPr>
          <w:rFonts w:ascii="Times New Roman" w:hAnsi="Times New Roman" w:cs="Times New Roman"/>
          <w:sz w:val="26"/>
          <w:szCs w:val="26"/>
          <w:lang w:val="ro-MO"/>
        </w:rPr>
        <w:lastRenderedPageBreak/>
        <w:t>că accesul în bandă largă bazat pe fibre optice (</w:t>
      </w:r>
      <w:r w:rsidRPr="00446F65">
        <w:rPr>
          <w:rFonts w:ascii="Times New Roman" w:hAnsi="Times New Roman" w:cs="Times New Roman"/>
          <w:b/>
          <w:i/>
          <w:sz w:val="26"/>
          <w:szCs w:val="26"/>
          <w:lang w:val="ro-MO"/>
        </w:rPr>
        <w:t xml:space="preserve">serviciile de tip </w:t>
      </w:r>
      <w:r w:rsidR="000A7FB1" w:rsidRPr="00446F65">
        <w:rPr>
          <w:rFonts w:ascii="Times New Roman" w:hAnsi="Times New Roman" w:cs="Times New Roman"/>
          <w:b/>
          <w:bCs/>
          <w:i/>
          <w:sz w:val="26"/>
          <w:szCs w:val="26"/>
          <w:lang w:val="ro-MO"/>
        </w:rPr>
        <w:t>b</w:t>
      </w:r>
      <w:r w:rsidRPr="00446F65">
        <w:rPr>
          <w:rFonts w:ascii="Times New Roman" w:hAnsi="Times New Roman" w:cs="Times New Roman"/>
          <w:b/>
          <w:bCs/>
          <w:i/>
          <w:sz w:val="26"/>
          <w:szCs w:val="26"/>
          <w:lang w:val="ro-MO"/>
        </w:rPr>
        <w:t>itstream bazate pe rețele de fibră optică</w:t>
      </w:r>
      <w:r w:rsidRPr="00446F65">
        <w:rPr>
          <w:rFonts w:ascii="Times New Roman" w:hAnsi="Times New Roman" w:cs="Times New Roman"/>
          <w:sz w:val="26"/>
          <w:szCs w:val="26"/>
          <w:lang w:val="ro-MO"/>
        </w:rPr>
        <w:t xml:space="preserve">) este un substituent eficient pentru produsul focal (accesul în bandă largă - </w:t>
      </w:r>
      <w:r w:rsidRPr="00446F65">
        <w:rPr>
          <w:rFonts w:ascii="Times New Roman" w:hAnsi="Times New Roman" w:cs="Times New Roman"/>
          <w:b/>
          <w:bCs/>
          <w:i/>
          <w:sz w:val="26"/>
          <w:szCs w:val="26"/>
          <w:lang w:val="ro-MO"/>
        </w:rPr>
        <w:t xml:space="preserve">Bitstream </w:t>
      </w:r>
      <w:r w:rsidRPr="00446F65">
        <w:rPr>
          <w:rFonts w:ascii="Times New Roman" w:hAnsi="Times New Roman" w:cs="Times New Roman"/>
          <w:sz w:val="26"/>
          <w:szCs w:val="26"/>
          <w:lang w:val="ro-MO"/>
        </w:rPr>
        <w:t xml:space="preserve">bazat pe cupru) și este parte a pieței relevante a produsului.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Din punct de vedere al</w:t>
      </w:r>
      <w:r w:rsidRPr="00446F65">
        <w:rPr>
          <w:rFonts w:ascii="Times New Roman" w:hAnsi="Times New Roman" w:cs="Times New Roman"/>
          <w:b/>
          <w:sz w:val="26"/>
          <w:szCs w:val="26"/>
          <w:lang w:val="ro-MO"/>
        </w:rPr>
        <w:t xml:space="preserve"> </w:t>
      </w:r>
      <w:r w:rsidRPr="00446F65">
        <w:rPr>
          <w:rFonts w:ascii="Times New Roman" w:hAnsi="Times New Roman" w:cs="Times New Roman"/>
          <w:sz w:val="26"/>
          <w:szCs w:val="26"/>
          <w:lang w:val="ro-MO"/>
        </w:rPr>
        <w:t xml:space="preserve">cererii cu amănuntul, ANRCETI a considerat că odată cu creşterea posibilităţilor de selectare a conţinutului, care necesită acces la Internet în bandă largă şi cererea în creştere pentru servicii de IPTV, utilizatorii vor avea nevoie de o capacitate mai mare, ceea ce presupune că cererea de acces la Internet în bandă largă de mare viteză va continua să crească (evoluția cererii pentru servicii de acces la Internet în bandă largă de mare viteză este prezentată în Diagrama 7).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Întrucât, în comparaţie cu tehnologia xDSL, fibra optică permite o viteză de transfer mai mare, aceasta face posibilă furnizarea de servicii de înaltă calitate şi suportă aplicaţii avansate IP, cum ar fi, de exemplu, HDTV, ANRCETI consideră că numărul de utilizatori la care furnizorii vor furniza servicii de acces la Internet în bandă largă prin fibra optică va creşte în continuare, ceea ce înseamnă că vor exista mai mulţi utilizatori care vor fi gata să plătească un preţ mai mare pentru un serviciu de o calitate superioară (evoluția numărului de abonaţi la serviciile în bandă largă la puncte fixe, în funcţie de tehnologia utilizată este prezentată în Diagrama 3).</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Din punct de vedere a cererii cu ridicata menționăm că serviciile de tip </w:t>
      </w:r>
      <w:r w:rsidR="000A7FB1" w:rsidRPr="00FC0005">
        <w:rPr>
          <w:rFonts w:ascii="Times New Roman" w:hAnsi="Times New Roman" w:cs="Times New Roman"/>
          <w:i/>
          <w:sz w:val="26"/>
          <w:szCs w:val="26"/>
          <w:lang w:val="ro-MO"/>
        </w:rPr>
        <w:t>b</w:t>
      </w:r>
      <w:r w:rsidRPr="00FC0005">
        <w:rPr>
          <w:rFonts w:ascii="Times New Roman" w:hAnsi="Times New Roman" w:cs="Times New Roman"/>
          <w:i/>
          <w:sz w:val="26"/>
          <w:szCs w:val="26"/>
          <w:lang w:val="ro-MO"/>
        </w:rPr>
        <w:t>itstream</w:t>
      </w:r>
      <w:r w:rsidRPr="00446F65">
        <w:rPr>
          <w:rFonts w:ascii="Times New Roman" w:hAnsi="Times New Roman" w:cs="Times New Roman"/>
          <w:sz w:val="26"/>
          <w:szCs w:val="26"/>
          <w:lang w:val="ro-MO"/>
        </w:rPr>
        <w:t xml:space="preserve"> bazate pe fibră optică sunt atractive pentru furnizorii solicitanți (noi intrați pe piață sau existenți) care concurează pe piața cu amănuntul datorită capacităților avansate ale produselor bazate pe fibră optică și a calității serviciilor comparativ cu produsele de tip </w:t>
      </w:r>
      <w:r w:rsidR="000A7FB1" w:rsidRPr="00FC0005">
        <w:rPr>
          <w:rFonts w:ascii="Times New Roman" w:hAnsi="Times New Roman" w:cs="Times New Roman"/>
          <w:i/>
          <w:sz w:val="26"/>
          <w:szCs w:val="26"/>
          <w:lang w:val="ro-MO"/>
        </w:rPr>
        <w:t>bitstream</w:t>
      </w:r>
      <w:r w:rsidRPr="00446F65">
        <w:rPr>
          <w:rFonts w:ascii="Times New Roman" w:hAnsi="Times New Roman" w:cs="Times New Roman"/>
          <w:sz w:val="26"/>
          <w:szCs w:val="26"/>
          <w:lang w:val="ro-MO"/>
        </w:rPr>
        <w:t xml:space="preserve"> bazate pe cupru, care se manifestă, după cum a fost menționat mai sus, prin cererea tot mai mare a utilizatorilor finali de servicii în bandă largă de mare viteză. </w:t>
      </w:r>
    </w:p>
    <w:p w:rsidR="00157EB8" w:rsidRPr="00446F65" w:rsidRDefault="00157EB8" w:rsidP="00317915">
      <w:pPr>
        <w:pStyle w:val="Heading5"/>
        <w:spacing w:line="240" w:lineRule="auto"/>
        <w:ind w:firstLine="720"/>
        <w:rPr>
          <w:rFonts w:ascii="Times New Roman" w:hAnsi="Times New Roman" w:cs="Times New Roman"/>
          <w:b/>
          <w:color w:val="auto"/>
          <w:sz w:val="26"/>
          <w:szCs w:val="26"/>
          <w:lang w:val="ro-MO"/>
        </w:rPr>
      </w:pPr>
      <w:bookmarkStart w:id="39" w:name="_Toc430854386"/>
      <w:bookmarkStart w:id="40" w:name="_Toc492907396"/>
      <w:r w:rsidRPr="00446F65">
        <w:rPr>
          <w:rFonts w:ascii="Times New Roman" w:hAnsi="Times New Roman" w:cs="Times New Roman"/>
          <w:b/>
          <w:color w:val="auto"/>
          <w:sz w:val="26"/>
          <w:szCs w:val="26"/>
          <w:lang w:val="ro-MO"/>
        </w:rPr>
        <w:t>4.1.1.1 Produsul focal</w:t>
      </w:r>
      <w:bookmarkEnd w:id="39"/>
      <w:bookmarkEnd w:id="40"/>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Produsul focal este produsul cel mai îngust definit care se află în mod evident pe piaţa definită.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Ținând cont de cele expuse la secțiunea precedentă ANRCETI găsește potrivit să pornească de la produsul focal – </w:t>
      </w:r>
      <w:r w:rsidRPr="00446F65">
        <w:rPr>
          <w:rFonts w:ascii="Times New Roman" w:hAnsi="Times New Roman" w:cs="Times New Roman"/>
          <w:b/>
          <w:i/>
          <w:sz w:val="26"/>
          <w:szCs w:val="26"/>
          <w:lang w:val="ro-MO"/>
        </w:rPr>
        <w:t xml:space="preserve">serviciile de tip </w:t>
      </w:r>
      <w:r w:rsidR="00A12F85" w:rsidRPr="00446F65">
        <w:rPr>
          <w:rFonts w:ascii="Times New Roman" w:hAnsi="Times New Roman" w:cs="Times New Roman"/>
          <w:b/>
          <w:bCs/>
          <w:i/>
          <w:sz w:val="26"/>
          <w:szCs w:val="26"/>
          <w:lang w:val="ro-MO"/>
        </w:rPr>
        <w:t>b</w:t>
      </w:r>
      <w:r w:rsidRPr="00446F65">
        <w:rPr>
          <w:rFonts w:ascii="Times New Roman" w:hAnsi="Times New Roman" w:cs="Times New Roman"/>
          <w:b/>
          <w:bCs/>
          <w:i/>
          <w:sz w:val="26"/>
          <w:szCs w:val="26"/>
          <w:lang w:val="ro-MO"/>
        </w:rPr>
        <w:t>itstream bazate pe rețele de cupru și fibră optică</w:t>
      </w:r>
      <w:r w:rsidRPr="00446F65">
        <w:rPr>
          <w:rFonts w:ascii="Times New Roman" w:hAnsi="Times New Roman" w:cs="Times New Roman"/>
          <w:b/>
          <w:bCs/>
          <w:sz w:val="26"/>
          <w:szCs w:val="26"/>
          <w:lang w:val="ro-MO"/>
        </w:rPr>
        <w:t xml:space="preserve">, </w:t>
      </w:r>
      <w:r w:rsidRPr="00446F65">
        <w:rPr>
          <w:rFonts w:ascii="Times New Roman" w:hAnsi="Times New Roman" w:cs="Times New Roman"/>
          <w:sz w:val="26"/>
          <w:szCs w:val="26"/>
          <w:lang w:val="ro-MO"/>
        </w:rPr>
        <w:t>drept cel mai evident serviciu cu ridicata de acces central la puncte fixe pentru produse de larg consum (WCA).</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sz w:val="26"/>
          <w:szCs w:val="26"/>
          <w:lang w:val="ro-MO"/>
        </w:rPr>
        <w:t>În continuare, ANRCETI va examina dacă există și alte produse cu ridicata care pot substitui eficient produsul focal, utilizând Testul Monopolistului Ipotetic. În cazul identificării unor astfel de produse, aceasta ar indica asupra faptului că ele fac parte din aceeași piață de produse cu produsul focal.</w:t>
      </w:r>
    </w:p>
    <w:p w:rsidR="00157EB8" w:rsidRPr="00446F65" w:rsidRDefault="00157EB8" w:rsidP="00317915">
      <w:pPr>
        <w:pStyle w:val="Heading5"/>
        <w:spacing w:line="240" w:lineRule="auto"/>
        <w:ind w:left="720"/>
        <w:rPr>
          <w:rFonts w:ascii="Times New Roman" w:eastAsiaTheme="minorHAnsi" w:hAnsi="Times New Roman" w:cs="Times New Roman"/>
          <w:color w:val="auto"/>
          <w:sz w:val="26"/>
          <w:szCs w:val="26"/>
          <w:lang w:val="ro-MO"/>
        </w:rPr>
      </w:pPr>
      <w:bookmarkStart w:id="41" w:name="_Toc492907397"/>
      <w:bookmarkStart w:id="42" w:name="_Toc430854387"/>
      <w:r w:rsidRPr="00446F65">
        <w:rPr>
          <w:rFonts w:ascii="Times New Roman" w:hAnsi="Times New Roman" w:cs="Times New Roman"/>
          <w:b/>
          <w:color w:val="auto"/>
          <w:sz w:val="26"/>
          <w:szCs w:val="26"/>
          <w:lang w:val="ro-MO"/>
        </w:rPr>
        <w:t xml:space="preserve">4.1.1.2 </w:t>
      </w:r>
      <w:r w:rsidRPr="00446F65">
        <w:rPr>
          <w:rFonts w:ascii="Times New Roman" w:eastAsiaTheme="minorHAnsi" w:hAnsi="Times New Roman" w:cs="Times New Roman"/>
          <w:b/>
          <w:color w:val="auto"/>
          <w:sz w:val="26"/>
          <w:szCs w:val="26"/>
          <w:lang w:val="ro-MO"/>
        </w:rPr>
        <w:t>Lista substituenţilor produsului focal cu ridicata</w:t>
      </w:r>
      <w:bookmarkEnd w:id="41"/>
    </w:p>
    <w:bookmarkEnd w:id="42"/>
    <w:p w:rsidR="00157EB8" w:rsidRPr="00446F65" w:rsidRDefault="00157EB8" w:rsidP="00317915">
      <w:pPr>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Produsele candidat substituenţi cu ridicata pentru produsul focal identificate de ANRCETI sunt următoarele:</w:t>
      </w:r>
    </w:p>
    <w:p w:rsidR="00157EB8" w:rsidRPr="00446F65" w:rsidRDefault="00157EB8" w:rsidP="00317915">
      <w:pPr>
        <w:pStyle w:val="ListParagraph"/>
        <w:numPr>
          <w:ilvl w:val="0"/>
          <w:numId w:val="26"/>
        </w:numPr>
        <w:spacing w:line="240" w:lineRule="auto"/>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accesul furnizat prin cablu coaxial; </w:t>
      </w:r>
    </w:p>
    <w:p w:rsidR="00157EB8" w:rsidRPr="00446F65" w:rsidRDefault="00157EB8" w:rsidP="00317915">
      <w:pPr>
        <w:pStyle w:val="ListParagraph"/>
        <w:numPr>
          <w:ilvl w:val="0"/>
          <w:numId w:val="22"/>
        </w:num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furnizat prin tehnologia fixă fără fir;</w:t>
      </w:r>
    </w:p>
    <w:p w:rsidR="00157EB8" w:rsidRPr="00446F65" w:rsidRDefault="00157EB8" w:rsidP="00317915">
      <w:pPr>
        <w:pStyle w:val="ListParagraph"/>
        <w:numPr>
          <w:ilvl w:val="0"/>
          <w:numId w:val="22"/>
        </w:num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furnizate prin reţele mobile (3G/4G);</w:t>
      </w:r>
    </w:p>
    <w:p w:rsidR="00157EB8" w:rsidRPr="00446F65" w:rsidRDefault="00157EB8" w:rsidP="00317915">
      <w:pPr>
        <w:pStyle w:val="ListParagraph"/>
        <w:numPr>
          <w:ilvl w:val="0"/>
          <w:numId w:val="22"/>
        </w:num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accesul auto-furnizat.</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Capitolele de mai jos analizează măsura în care fiecare dintre aceste produse substituent posibile pot constrânge activităţile unui monopolist ipotetic care furnizează acces prin intermediul tehnologiilor xDSL și FTTx.</w:t>
      </w:r>
    </w:p>
    <w:p w:rsidR="00157EB8" w:rsidRPr="00446F65" w:rsidRDefault="00157EB8" w:rsidP="00317915">
      <w:pPr>
        <w:pStyle w:val="ListParagraph"/>
        <w:numPr>
          <w:ilvl w:val="0"/>
          <w:numId w:val="24"/>
        </w:numPr>
        <w:tabs>
          <w:tab w:val="left" w:pos="720"/>
        </w:tabs>
        <w:autoSpaceDE w:val="0"/>
        <w:autoSpaceDN w:val="0"/>
        <w:adjustRightInd w:val="0"/>
        <w:spacing w:after="0" w:line="240" w:lineRule="auto"/>
        <w:ind w:left="0" w:firstLine="720"/>
        <w:jc w:val="both"/>
        <w:rPr>
          <w:rFonts w:ascii="Times New Roman" w:hAnsi="Times New Roman" w:cs="Times New Roman"/>
          <w:b/>
          <w:i/>
          <w:sz w:val="26"/>
          <w:szCs w:val="26"/>
          <w:lang w:val="ro-MO"/>
        </w:rPr>
      </w:pPr>
      <w:r w:rsidRPr="00446F65">
        <w:rPr>
          <w:rFonts w:ascii="Times New Roman" w:hAnsi="Times New Roman" w:cs="Times New Roman"/>
          <w:b/>
          <w:i/>
          <w:sz w:val="26"/>
          <w:szCs w:val="26"/>
          <w:lang w:val="ro-MO"/>
        </w:rPr>
        <w:t>Analiza oportunităţii includerii în aceeaşi piaţă relevantă a produsului a serviciilor de acces oferit prin cablu coaxial şi tehnologia fix fără fir.</w:t>
      </w:r>
    </w:p>
    <w:p w:rsidR="00157EB8" w:rsidRPr="00446F65" w:rsidRDefault="00157EB8" w:rsidP="00317915">
      <w:pPr>
        <w:pStyle w:val="ListParagraph"/>
        <w:tabs>
          <w:tab w:val="left" w:pos="851"/>
        </w:tabs>
        <w:autoSpaceDE w:val="0"/>
        <w:autoSpaceDN w:val="0"/>
        <w:adjustRightInd w:val="0"/>
        <w:spacing w:after="0" w:line="240" w:lineRule="auto"/>
        <w:ind w:left="567"/>
        <w:jc w:val="both"/>
        <w:rPr>
          <w:rFonts w:ascii="Times New Roman" w:hAnsi="Times New Roman" w:cs="Times New Roman"/>
          <w:b/>
          <w:i/>
          <w:sz w:val="26"/>
          <w:szCs w:val="26"/>
          <w:lang w:val="ro-MO"/>
        </w:rPr>
      </w:pPr>
    </w:p>
    <w:p w:rsidR="00157EB8" w:rsidRPr="00446F65" w:rsidRDefault="00157EB8" w:rsidP="00317915">
      <w:pPr>
        <w:pStyle w:val="ListParagraph"/>
        <w:tabs>
          <w:tab w:val="left" w:pos="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Chiar dacă este posibil din punct de vedere tehnic de a furniza servicii cu ridicata de pe piața WCA prin rețele de cablu TV, ANRCETI consideră puțin probabil ca acestea să poată fi furnizate într-o perioadă de timp scurtă (până la 1 an), astfel încât să poată constrânge comportamentul monopolistului ipotetic, ținând cont că </w:t>
      </w:r>
      <w:r w:rsidRPr="00446F65">
        <w:rPr>
          <w:rFonts w:ascii="Times New Roman" w:hAnsi="Times New Roman" w:cs="Times New Roman"/>
          <w:color w:val="000000"/>
          <w:sz w:val="26"/>
          <w:szCs w:val="26"/>
          <w:lang w:val="ro-MO"/>
        </w:rPr>
        <w:t xml:space="preserve">investiţiile suplimentare în reţele de cablu coaxial necesare pentru a furniza un serviciu de </w:t>
      </w:r>
      <w:r w:rsidRPr="00FC0005">
        <w:rPr>
          <w:rFonts w:ascii="Times New Roman" w:hAnsi="Times New Roman" w:cs="Times New Roman"/>
          <w:i/>
          <w:color w:val="000000"/>
          <w:sz w:val="26"/>
          <w:szCs w:val="26"/>
          <w:lang w:val="ro-MO"/>
        </w:rPr>
        <w:t>bitstream</w:t>
      </w:r>
      <w:r w:rsidRPr="00446F65">
        <w:rPr>
          <w:rFonts w:ascii="Times New Roman" w:hAnsi="Times New Roman" w:cs="Times New Roman"/>
          <w:color w:val="000000"/>
          <w:sz w:val="26"/>
          <w:szCs w:val="26"/>
          <w:lang w:val="ro-MO"/>
        </w:rPr>
        <w:t xml:space="preserve"> sunt semnificative. Solicitanții de acces ar trebui să investească de exemplu în procurarea și implementarea de sistemele de suport operațional și business (</w:t>
      </w:r>
      <w:r w:rsidRPr="00FC0005">
        <w:rPr>
          <w:rFonts w:ascii="Times New Roman" w:hAnsi="Times New Roman" w:cs="Times New Roman"/>
          <w:i/>
          <w:color w:val="000000"/>
          <w:sz w:val="26"/>
          <w:szCs w:val="26"/>
          <w:lang w:val="ro-MO"/>
        </w:rPr>
        <w:t xml:space="preserve">OSS - </w:t>
      </w:r>
      <w:proofErr w:type="spellStart"/>
      <w:r w:rsidR="00FC0005" w:rsidRPr="00FC0005">
        <w:rPr>
          <w:rFonts w:ascii="Times New Roman" w:hAnsi="Times New Roman" w:cs="Times New Roman"/>
          <w:i/>
          <w:color w:val="000000"/>
          <w:sz w:val="26"/>
          <w:szCs w:val="26"/>
          <w:lang w:val="ro-MO"/>
        </w:rPr>
        <w:t>Operational</w:t>
      </w:r>
      <w:proofErr w:type="spellEnd"/>
      <w:r w:rsidR="00FC0005" w:rsidRPr="00FC0005">
        <w:rPr>
          <w:rFonts w:ascii="Times New Roman" w:hAnsi="Times New Roman" w:cs="Times New Roman"/>
          <w:i/>
          <w:color w:val="000000"/>
          <w:sz w:val="26"/>
          <w:szCs w:val="26"/>
          <w:lang w:val="ro-MO"/>
        </w:rPr>
        <w:t xml:space="preserve">  </w:t>
      </w:r>
      <w:proofErr w:type="spellStart"/>
      <w:r w:rsidR="00FC0005" w:rsidRPr="00FC0005">
        <w:rPr>
          <w:rFonts w:ascii="Times New Roman" w:hAnsi="Times New Roman" w:cs="Times New Roman"/>
          <w:i/>
          <w:color w:val="000000"/>
          <w:sz w:val="26"/>
          <w:szCs w:val="26"/>
          <w:lang w:val="ro-MO"/>
        </w:rPr>
        <w:t>Support</w:t>
      </w:r>
      <w:proofErr w:type="spellEnd"/>
      <w:r w:rsidR="00FC0005" w:rsidRPr="00FC0005">
        <w:rPr>
          <w:rFonts w:ascii="Times New Roman" w:hAnsi="Times New Roman" w:cs="Times New Roman"/>
          <w:i/>
          <w:color w:val="000000"/>
          <w:sz w:val="26"/>
          <w:szCs w:val="26"/>
          <w:lang w:val="ro-MO"/>
        </w:rPr>
        <w:t xml:space="preserve">  </w:t>
      </w:r>
      <w:proofErr w:type="spellStart"/>
      <w:r w:rsidR="00FC0005" w:rsidRPr="00FC0005">
        <w:rPr>
          <w:rFonts w:ascii="Times New Roman" w:hAnsi="Times New Roman" w:cs="Times New Roman"/>
          <w:i/>
          <w:color w:val="000000"/>
          <w:sz w:val="26"/>
          <w:szCs w:val="26"/>
          <w:lang w:val="ro-MO"/>
        </w:rPr>
        <w:t>Systems</w:t>
      </w:r>
      <w:proofErr w:type="spellEnd"/>
      <w:r w:rsidRPr="00FC0005">
        <w:rPr>
          <w:rFonts w:ascii="Times New Roman" w:hAnsi="Times New Roman" w:cs="Times New Roman"/>
          <w:i/>
          <w:color w:val="000000"/>
          <w:sz w:val="26"/>
          <w:szCs w:val="26"/>
          <w:lang w:val="ro-MO"/>
        </w:rPr>
        <w:t xml:space="preserve"> și</w:t>
      </w:r>
      <w:r w:rsidR="00FC0005" w:rsidRPr="00FC0005">
        <w:rPr>
          <w:rFonts w:ascii="Times New Roman" w:hAnsi="Times New Roman" w:cs="Times New Roman"/>
          <w:i/>
          <w:color w:val="000000"/>
          <w:sz w:val="26"/>
          <w:szCs w:val="26"/>
          <w:lang w:val="ro-MO"/>
        </w:rPr>
        <w:t xml:space="preserve"> </w:t>
      </w:r>
      <w:r w:rsidRPr="00FC0005">
        <w:rPr>
          <w:rFonts w:ascii="Times New Roman" w:hAnsi="Times New Roman" w:cs="Times New Roman"/>
          <w:i/>
          <w:color w:val="000000"/>
          <w:sz w:val="26"/>
          <w:szCs w:val="26"/>
          <w:lang w:val="ro-MO"/>
        </w:rPr>
        <w:t xml:space="preserve">BSS - Business </w:t>
      </w:r>
      <w:proofErr w:type="spellStart"/>
      <w:r w:rsidRPr="00FC0005">
        <w:rPr>
          <w:rFonts w:ascii="Times New Roman" w:hAnsi="Times New Roman" w:cs="Times New Roman"/>
          <w:i/>
          <w:color w:val="000000"/>
          <w:sz w:val="26"/>
          <w:szCs w:val="26"/>
          <w:lang w:val="ro-MO"/>
        </w:rPr>
        <w:t>Support</w:t>
      </w:r>
      <w:proofErr w:type="spellEnd"/>
      <w:r w:rsidRPr="00FC0005">
        <w:rPr>
          <w:rFonts w:ascii="Times New Roman" w:hAnsi="Times New Roman" w:cs="Times New Roman"/>
          <w:i/>
          <w:color w:val="000000"/>
          <w:sz w:val="26"/>
          <w:szCs w:val="26"/>
          <w:lang w:val="ro-MO"/>
        </w:rPr>
        <w:t xml:space="preserve"> </w:t>
      </w:r>
      <w:proofErr w:type="spellStart"/>
      <w:r w:rsidRPr="00FC0005">
        <w:rPr>
          <w:rFonts w:ascii="Times New Roman" w:hAnsi="Times New Roman" w:cs="Times New Roman"/>
          <w:i/>
          <w:color w:val="000000"/>
          <w:sz w:val="26"/>
          <w:szCs w:val="26"/>
          <w:lang w:val="ro-MO"/>
        </w:rPr>
        <w:t>Systems</w:t>
      </w:r>
      <w:proofErr w:type="spellEnd"/>
      <w:r w:rsidRPr="00446F65">
        <w:rPr>
          <w:rFonts w:ascii="Times New Roman" w:hAnsi="Times New Roman" w:cs="Times New Roman"/>
          <w:color w:val="000000"/>
          <w:sz w:val="26"/>
          <w:szCs w:val="26"/>
          <w:lang w:val="ro-MO"/>
        </w:rPr>
        <w:t xml:space="preserve">). De asemenea solicitanții de acces </w:t>
      </w:r>
      <w:r w:rsidRPr="00446F65">
        <w:rPr>
          <w:rFonts w:ascii="Times New Roman" w:hAnsi="Times New Roman" w:cs="Times New Roman"/>
          <w:sz w:val="26"/>
          <w:szCs w:val="26"/>
          <w:lang w:val="ro-MO"/>
        </w:rPr>
        <w:t>vor fi nevoiți să schimbe echipamente de la sediul clientului (cum ar fi modemele) cu echipamente specifice pentru rețele de cablu coaxial etc.</w:t>
      </w:r>
    </w:p>
    <w:p w:rsidR="00157EB8" w:rsidRPr="00446F65" w:rsidRDefault="00157EB8" w:rsidP="00317915">
      <w:pPr>
        <w:pStyle w:val="ListParagraph"/>
        <w:tabs>
          <w:tab w:val="left" w:pos="0"/>
        </w:tabs>
        <w:autoSpaceDE w:val="0"/>
        <w:autoSpaceDN w:val="0"/>
        <w:adjustRightInd w:val="0"/>
        <w:spacing w:after="0" w:line="240" w:lineRule="auto"/>
        <w:ind w:left="0" w:firstLine="720"/>
        <w:jc w:val="both"/>
        <w:rPr>
          <w:rFonts w:ascii="Times New Roman" w:hAnsi="Times New Roman" w:cs="Times New Roman"/>
          <w:color w:val="000000"/>
          <w:sz w:val="26"/>
          <w:szCs w:val="26"/>
          <w:lang w:val="ro-MO"/>
        </w:rPr>
      </w:pPr>
      <w:r w:rsidRPr="00446F65">
        <w:rPr>
          <w:rFonts w:ascii="Times New Roman" w:hAnsi="Times New Roman" w:cs="Times New Roman"/>
          <w:sz w:val="26"/>
          <w:szCs w:val="26"/>
          <w:lang w:val="ro-MO"/>
        </w:rPr>
        <w:t xml:space="preserve">ANRCETI consideră că aceste costuri </w:t>
      </w:r>
      <w:r w:rsidRPr="00446F65">
        <w:rPr>
          <w:rFonts w:ascii="Times New Roman" w:hAnsi="Times New Roman" w:cs="Times New Roman"/>
          <w:color w:val="000000"/>
          <w:sz w:val="26"/>
          <w:szCs w:val="26"/>
          <w:lang w:val="ro-MO"/>
        </w:rPr>
        <w:t>ar fi disproporţionale în raport cu costurile suplimentare generate de către un SSNIP. Prin urmare, o astfel de substituire este puţin probabilă şi nu va avea un impact suficient pentru a face SSNIP-ul monopolistului ipotetic neprofitabil. Mai mult, din punct de vedere a cererii cu ridicata, amplasarea reţelelor de cablu coaxial este foarte limitată și sunt destinate autofurnizării şi nici unul din furnizori de astfel de reţele nu oferă în prezent servicii cu ridicata.</w:t>
      </w:r>
    </w:p>
    <w:p w:rsidR="00157EB8" w:rsidRPr="00446F65" w:rsidRDefault="00157EB8" w:rsidP="00317915">
      <w:pPr>
        <w:pStyle w:val="ListParagraph"/>
        <w:tabs>
          <w:tab w:val="left" w:pos="0"/>
        </w:tabs>
        <w:autoSpaceDE w:val="0"/>
        <w:autoSpaceDN w:val="0"/>
        <w:adjustRightInd w:val="0"/>
        <w:spacing w:after="0" w:line="240" w:lineRule="auto"/>
        <w:ind w:left="0" w:firstLine="720"/>
        <w:jc w:val="both"/>
        <w:rPr>
          <w:rFonts w:ascii="Times New Roman" w:hAnsi="Times New Roman" w:cs="Times New Roman"/>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ANRCETI consideră că serviciile de </w:t>
      </w:r>
      <w:r w:rsidRPr="00FC0005">
        <w:rPr>
          <w:rFonts w:ascii="Times New Roman" w:hAnsi="Times New Roman" w:cs="Times New Roman"/>
          <w:i/>
          <w:color w:val="000000"/>
          <w:sz w:val="26"/>
          <w:szCs w:val="26"/>
          <w:lang w:val="ro-MO"/>
        </w:rPr>
        <w:t>bitstream</w:t>
      </w:r>
      <w:r w:rsidRPr="00446F65">
        <w:rPr>
          <w:rFonts w:ascii="Times New Roman" w:hAnsi="Times New Roman" w:cs="Times New Roman"/>
          <w:color w:val="000000"/>
          <w:sz w:val="26"/>
          <w:szCs w:val="26"/>
          <w:lang w:val="ro-MO"/>
        </w:rPr>
        <w:t xml:space="preserve"> prin intermediul rețelelor fixe fără fir nu reprezintă pentru un substituent eficient al produsului focal din următoarele considerente:</w:t>
      </w:r>
    </w:p>
    <w:p w:rsidR="00157EB8" w:rsidRPr="00446F65" w:rsidRDefault="00157EB8" w:rsidP="00317915">
      <w:pPr>
        <w:pStyle w:val="ListParagraph"/>
        <w:numPr>
          <w:ilvl w:val="0"/>
          <w:numId w:val="27"/>
        </w:numPr>
        <w:autoSpaceDE w:val="0"/>
        <w:autoSpaceDN w:val="0"/>
        <w:adjustRightInd w:val="0"/>
        <w:spacing w:after="0" w:line="240" w:lineRule="auto"/>
        <w:ind w:left="0"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cererea pentru produse cu ridicata derivă din cererea cu amănuntul pentru servicii furnizate prin resursele cu ridicata date, iar ponderea conexiunilor furnizate prin rețele fixe fără fir din totalul conexiunilor în bandă largă la puncte fixe este nesemnificativă – 0,41% (conform datelor furnizate de furnizori pentru anul 2016 -</w:t>
      </w:r>
      <w:r w:rsidR="00FC0005">
        <w:rPr>
          <w:rFonts w:ascii="Times New Roman" w:hAnsi="Times New Roman" w:cs="Times New Roman"/>
          <w:color w:val="000000"/>
          <w:sz w:val="26"/>
          <w:szCs w:val="26"/>
          <w:lang w:val="ro-MO"/>
        </w:rPr>
        <w:t xml:space="preserve"> </w:t>
      </w:r>
      <w:r w:rsidRPr="00446F65">
        <w:rPr>
          <w:rFonts w:ascii="Times New Roman" w:hAnsi="Times New Roman" w:cs="Times New Roman"/>
          <w:color w:val="000000"/>
          <w:sz w:val="26"/>
          <w:szCs w:val="26"/>
          <w:lang w:val="ro-MO"/>
        </w:rPr>
        <w:t xml:space="preserve">Diagrama </w:t>
      </w:r>
      <w:r w:rsidR="00461D21" w:rsidRPr="00446F65">
        <w:rPr>
          <w:rFonts w:ascii="Times New Roman" w:hAnsi="Times New Roman" w:cs="Times New Roman"/>
          <w:color w:val="000000"/>
          <w:sz w:val="26"/>
          <w:szCs w:val="26"/>
          <w:lang w:val="ro-MO"/>
        </w:rPr>
        <w:t>4</w:t>
      </w:r>
      <w:r w:rsidRPr="00446F65">
        <w:rPr>
          <w:rFonts w:ascii="Times New Roman" w:hAnsi="Times New Roman" w:cs="Times New Roman"/>
          <w:color w:val="000000"/>
          <w:sz w:val="26"/>
          <w:szCs w:val="26"/>
          <w:lang w:val="ro-MO"/>
        </w:rPr>
        <w:t>);</w:t>
      </w:r>
    </w:p>
    <w:p w:rsidR="00157EB8" w:rsidRPr="00446F65" w:rsidRDefault="00157EB8" w:rsidP="00317915">
      <w:pPr>
        <w:pStyle w:val="ListParagraph"/>
        <w:numPr>
          <w:ilvl w:val="0"/>
          <w:numId w:val="27"/>
        </w:numPr>
        <w:autoSpaceDE w:val="0"/>
        <w:autoSpaceDN w:val="0"/>
        <w:adjustRightInd w:val="0"/>
        <w:spacing w:after="0" w:line="240" w:lineRule="auto"/>
        <w:ind w:left="0"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aproape toate accesurile la reţea fixă fără fir se petrec prin reţea CDMA2000 1x, cu viteze de până la 153 Kbps, ceea ce este insuficient pentru a răspunde cerinţelor actuale de bandă ale utilizatorilor de servicii xDSL și FTTx; </w:t>
      </w:r>
    </w:p>
    <w:p w:rsidR="00157EB8" w:rsidRPr="00446F65" w:rsidRDefault="00157EB8" w:rsidP="00317915">
      <w:pPr>
        <w:pStyle w:val="ListParagraph"/>
        <w:numPr>
          <w:ilvl w:val="0"/>
          <w:numId w:val="27"/>
        </w:numPr>
        <w:autoSpaceDE w:val="0"/>
        <w:autoSpaceDN w:val="0"/>
        <w:adjustRightInd w:val="0"/>
        <w:spacing w:after="0" w:line="240" w:lineRule="auto"/>
        <w:ind w:left="0"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din punct de vedere a cererii cu ridicata, amplasarea rețelelor fixe fără fir este foarte limitată, sunt destinate auto-furnizării şi nici unul din furnizori de astfel de reţele nu oferă în prezent servicii cu ridicata, fiind incertă fezabilitatea tehnică de furnizare a astfel de servicii;</w:t>
      </w:r>
    </w:p>
    <w:p w:rsidR="00157EB8" w:rsidRPr="00446F65" w:rsidRDefault="00157EB8" w:rsidP="00317915">
      <w:pPr>
        <w:pStyle w:val="ListParagraph"/>
        <w:numPr>
          <w:ilvl w:val="0"/>
          <w:numId w:val="27"/>
        </w:numPr>
        <w:autoSpaceDE w:val="0"/>
        <w:autoSpaceDN w:val="0"/>
        <w:adjustRightInd w:val="0"/>
        <w:spacing w:after="0" w:line="240" w:lineRule="auto"/>
        <w:ind w:left="0"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solicitanții de acces ar suporta costuri semnificative de trecere la un furnizor de servicii cu ridicata de </w:t>
      </w:r>
      <w:r w:rsidRPr="00FC0005">
        <w:rPr>
          <w:rFonts w:ascii="Times New Roman" w:hAnsi="Times New Roman" w:cs="Times New Roman"/>
          <w:i/>
          <w:color w:val="000000"/>
          <w:sz w:val="26"/>
          <w:szCs w:val="26"/>
          <w:lang w:val="ro-MO"/>
        </w:rPr>
        <w:t>bitst</w:t>
      </w:r>
      <w:r w:rsidR="00461D21" w:rsidRPr="00FC0005">
        <w:rPr>
          <w:rFonts w:ascii="Times New Roman" w:hAnsi="Times New Roman" w:cs="Times New Roman"/>
          <w:i/>
          <w:color w:val="000000"/>
          <w:sz w:val="26"/>
          <w:szCs w:val="26"/>
          <w:lang w:val="ro-MO"/>
        </w:rPr>
        <w:t>r</w:t>
      </w:r>
      <w:r w:rsidRPr="00FC0005">
        <w:rPr>
          <w:rFonts w:ascii="Times New Roman" w:hAnsi="Times New Roman" w:cs="Times New Roman"/>
          <w:i/>
          <w:color w:val="000000"/>
          <w:sz w:val="26"/>
          <w:szCs w:val="26"/>
          <w:lang w:val="ro-MO"/>
        </w:rPr>
        <w:t>eam</w:t>
      </w:r>
      <w:r w:rsidRPr="00446F65">
        <w:rPr>
          <w:rFonts w:ascii="Times New Roman" w:hAnsi="Times New Roman" w:cs="Times New Roman"/>
          <w:color w:val="000000"/>
          <w:sz w:val="26"/>
          <w:szCs w:val="26"/>
          <w:lang w:val="ro-MO"/>
        </w:rPr>
        <w:t xml:space="preserve"> bazate pe rețele fixe fără fir (cel puțin de schimbare a modemelor pentru utilizatorii finali), costuri care ar fi disproporţionale în raport cu costurile suplimentare generate de către un SSNIP.</w:t>
      </w:r>
    </w:p>
    <w:p w:rsidR="00157EB8" w:rsidRPr="00446F65" w:rsidRDefault="00157EB8" w:rsidP="00317915">
      <w:pPr>
        <w:pStyle w:val="ListParagraph"/>
        <w:autoSpaceDE w:val="0"/>
        <w:autoSpaceDN w:val="0"/>
        <w:adjustRightInd w:val="0"/>
        <w:spacing w:after="0" w:line="240" w:lineRule="auto"/>
        <w:jc w:val="both"/>
        <w:rPr>
          <w:rFonts w:ascii="Times New Roman" w:hAnsi="Times New Roman" w:cs="Times New Roman"/>
          <w:color w:val="000000"/>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b/>
          <w:color w:val="000000"/>
          <w:sz w:val="26"/>
          <w:szCs w:val="26"/>
          <w:lang w:val="ro-MO"/>
        </w:rPr>
        <w:t xml:space="preserve">Concluzia ANRCETI: </w:t>
      </w:r>
      <w:r w:rsidRPr="00446F65">
        <w:rPr>
          <w:rFonts w:ascii="Times New Roman" w:hAnsi="Times New Roman" w:cs="Times New Roman"/>
          <w:color w:val="000000"/>
          <w:sz w:val="26"/>
          <w:szCs w:val="26"/>
          <w:lang w:val="ro-MO"/>
        </w:rPr>
        <w:t xml:space="preserve">serviciile </w:t>
      </w:r>
      <w:r w:rsidRPr="00FC0005">
        <w:rPr>
          <w:rFonts w:ascii="Times New Roman" w:hAnsi="Times New Roman" w:cs="Times New Roman"/>
          <w:i/>
          <w:color w:val="000000"/>
          <w:sz w:val="26"/>
          <w:szCs w:val="26"/>
          <w:lang w:val="ro-MO"/>
        </w:rPr>
        <w:t>bitstream</w:t>
      </w:r>
      <w:r w:rsidRPr="00446F65">
        <w:rPr>
          <w:rFonts w:ascii="Times New Roman" w:hAnsi="Times New Roman" w:cs="Times New Roman"/>
          <w:color w:val="000000"/>
          <w:sz w:val="26"/>
          <w:szCs w:val="26"/>
          <w:lang w:val="ro-MO"/>
        </w:rPr>
        <w:t xml:space="preserve"> furnizate prin cablu coaxial și a tehnologiei fixă fără nu sunt substituente produsului focal identificat. </w:t>
      </w:r>
    </w:p>
    <w:p w:rsidR="00157EB8" w:rsidRPr="00446F65" w:rsidRDefault="00157EB8" w:rsidP="00317915">
      <w:pPr>
        <w:autoSpaceDE w:val="0"/>
        <w:autoSpaceDN w:val="0"/>
        <w:adjustRightInd w:val="0"/>
        <w:spacing w:after="0" w:line="240" w:lineRule="auto"/>
        <w:jc w:val="both"/>
        <w:rPr>
          <w:rFonts w:ascii="Times New Roman" w:hAnsi="Times New Roman" w:cs="Times New Roman"/>
          <w:sz w:val="26"/>
          <w:szCs w:val="26"/>
          <w:lang w:val="ro-MO"/>
        </w:rPr>
      </w:pPr>
    </w:p>
    <w:p w:rsidR="00157EB8" w:rsidRPr="00446F65" w:rsidRDefault="00157EB8" w:rsidP="00317915">
      <w:pPr>
        <w:pStyle w:val="ListParagraph"/>
        <w:numPr>
          <w:ilvl w:val="0"/>
          <w:numId w:val="24"/>
        </w:numPr>
        <w:tabs>
          <w:tab w:val="left" w:pos="720"/>
        </w:tabs>
        <w:autoSpaceDE w:val="0"/>
        <w:autoSpaceDN w:val="0"/>
        <w:adjustRightInd w:val="0"/>
        <w:spacing w:after="0" w:line="240" w:lineRule="auto"/>
        <w:ind w:left="0" w:firstLine="720"/>
        <w:jc w:val="both"/>
        <w:rPr>
          <w:rFonts w:ascii="Times New Roman" w:hAnsi="Times New Roman" w:cs="Times New Roman"/>
          <w:b/>
          <w:i/>
          <w:sz w:val="26"/>
          <w:szCs w:val="26"/>
          <w:lang w:val="ro-MO"/>
        </w:rPr>
      </w:pPr>
      <w:r w:rsidRPr="00446F65">
        <w:rPr>
          <w:rFonts w:ascii="Times New Roman" w:hAnsi="Times New Roman" w:cs="Times New Roman"/>
          <w:b/>
          <w:i/>
          <w:color w:val="000000"/>
          <w:sz w:val="26"/>
          <w:szCs w:val="26"/>
          <w:lang w:val="ro-MO"/>
        </w:rPr>
        <w:t>Analiza posibilităţii</w:t>
      </w:r>
      <w:r w:rsidRPr="00446F65">
        <w:rPr>
          <w:rFonts w:ascii="Times New Roman" w:hAnsi="Times New Roman" w:cs="Times New Roman"/>
          <w:b/>
          <w:i/>
          <w:sz w:val="26"/>
          <w:szCs w:val="26"/>
          <w:lang w:val="ro-MO"/>
        </w:rPr>
        <w:t xml:space="preserve"> includerii în piaţa relevantă a produsului a serviciilor de acces oferit prin rețeaua mobilă (3G/4G).</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b/>
          <w:i/>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La compartimentul </w:t>
      </w:r>
      <w:r w:rsidRPr="00446F65">
        <w:rPr>
          <w:rFonts w:ascii="Times New Roman" w:hAnsi="Times New Roman" w:cs="Times New Roman"/>
          <w:i/>
          <w:sz w:val="26"/>
          <w:szCs w:val="26"/>
          <w:lang w:val="ro-MO"/>
        </w:rPr>
        <w:t>Pieței produsului cu amănuntul</w:t>
      </w:r>
      <w:r w:rsidRPr="00446F65">
        <w:rPr>
          <w:rFonts w:ascii="Times New Roman" w:hAnsi="Times New Roman" w:cs="Times New Roman"/>
          <w:sz w:val="26"/>
          <w:szCs w:val="26"/>
          <w:lang w:val="ro-MO"/>
        </w:rPr>
        <w:t xml:space="preserve"> ANRCETI a concluzionat că serviciile de acces mobil în bandă largă, în pofida faptului că pot servi aceleaşi necesităţi ale utilizatorilor pentru servicii de bandă largă ca şi cele oferite de reţele xDSL sau FTTx, nu sunt un substituent suficient pentru penalizarea unei creşteri mici dar semnificative şi non-tranzitorii a preţului la produsul focal de către monopolistul ipotetic. Prin urmare, acestea fac parte din pieţe diferite ale produsului.</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 xml:space="preserve">Cu toate că este fezabil din punct de vedere tehnic de a furniza servicii de pe piața WCA prin rețelele mobile, practica europeană arată că este neglijabilă cererea pentru astfel de produse cu ridicata, chiar și în zone în care sursele alternative de furnizare a serviciilor în bandă largă cu amănuntul sunt limitate (sau chiar nu există). </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color w:val="000000"/>
          <w:sz w:val="26"/>
          <w:szCs w:val="26"/>
          <w:lang w:val="ro-MO"/>
        </w:rPr>
        <w:t>Prin urmare</w:t>
      </w:r>
      <w:r w:rsidRPr="00446F65">
        <w:rPr>
          <w:rFonts w:ascii="Times New Roman" w:hAnsi="Times New Roman" w:cs="Times New Roman"/>
          <w:b/>
          <w:color w:val="000000"/>
          <w:sz w:val="26"/>
          <w:szCs w:val="26"/>
          <w:lang w:val="ro-MO"/>
        </w:rPr>
        <w:t xml:space="preserve"> </w:t>
      </w:r>
      <w:r w:rsidRPr="00446F65">
        <w:rPr>
          <w:rFonts w:ascii="Times New Roman" w:hAnsi="Times New Roman" w:cs="Times New Roman"/>
          <w:color w:val="000000"/>
          <w:sz w:val="26"/>
          <w:szCs w:val="26"/>
          <w:lang w:val="ro-MO"/>
        </w:rPr>
        <w:t>concluzia ANRCETI</w:t>
      </w:r>
      <w:r w:rsidRPr="00446F65">
        <w:rPr>
          <w:rFonts w:ascii="Times New Roman" w:hAnsi="Times New Roman" w:cs="Times New Roman"/>
          <w:b/>
          <w:color w:val="000000"/>
          <w:sz w:val="26"/>
          <w:szCs w:val="26"/>
          <w:lang w:val="ro-MO"/>
        </w:rPr>
        <w:t xml:space="preserve"> </w:t>
      </w:r>
      <w:r w:rsidRPr="00446F65">
        <w:rPr>
          <w:rFonts w:ascii="Times New Roman" w:hAnsi="Times New Roman" w:cs="Times New Roman"/>
          <w:color w:val="000000"/>
          <w:sz w:val="26"/>
          <w:szCs w:val="26"/>
          <w:lang w:val="ro-MO"/>
        </w:rPr>
        <w:t>este că</w:t>
      </w:r>
      <w:r w:rsidRPr="00446F65">
        <w:rPr>
          <w:rFonts w:ascii="Times New Roman" w:hAnsi="Times New Roman" w:cs="Times New Roman"/>
          <w:b/>
          <w:color w:val="000000"/>
          <w:sz w:val="26"/>
          <w:szCs w:val="26"/>
          <w:lang w:val="ro-MO"/>
        </w:rPr>
        <w:t xml:space="preserve"> </w:t>
      </w:r>
      <w:r w:rsidRPr="00446F65">
        <w:rPr>
          <w:rFonts w:ascii="Times New Roman" w:hAnsi="Times New Roman" w:cs="Times New Roman"/>
          <w:color w:val="000000"/>
          <w:sz w:val="26"/>
          <w:szCs w:val="26"/>
          <w:lang w:val="ro-MO"/>
        </w:rPr>
        <w:t xml:space="preserve">serviciile </w:t>
      </w:r>
      <w:r w:rsidRPr="00FC0005">
        <w:rPr>
          <w:rFonts w:ascii="Times New Roman" w:hAnsi="Times New Roman" w:cs="Times New Roman"/>
          <w:i/>
          <w:color w:val="000000"/>
          <w:sz w:val="26"/>
          <w:szCs w:val="26"/>
          <w:lang w:val="ro-MO"/>
        </w:rPr>
        <w:t>bitstream</w:t>
      </w:r>
      <w:r w:rsidRPr="00446F65">
        <w:rPr>
          <w:rFonts w:ascii="Times New Roman" w:hAnsi="Times New Roman" w:cs="Times New Roman"/>
          <w:color w:val="000000"/>
          <w:sz w:val="26"/>
          <w:szCs w:val="26"/>
          <w:lang w:val="ro-MO"/>
        </w:rPr>
        <w:t xml:space="preserve"> furnizate prin rețelele mobile (3G/4G) nu sunt substituente produsului focal identificat</w:t>
      </w:r>
      <w:r w:rsidRPr="00446F65">
        <w:rPr>
          <w:rFonts w:ascii="Times New Roman" w:hAnsi="Times New Roman" w:cs="Times New Roman"/>
          <w:sz w:val="26"/>
          <w:szCs w:val="26"/>
          <w:lang w:val="ro-MO"/>
        </w:rPr>
        <w:t>.</w:t>
      </w:r>
    </w:p>
    <w:p w:rsidR="00157EB8" w:rsidRPr="00446F65" w:rsidRDefault="00157EB8" w:rsidP="00317915">
      <w:pPr>
        <w:autoSpaceDE w:val="0"/>
        <w:autoSpaceDN w:val="0"/>
        <w:adjustRightInd w:val="0"/>
        <w:spacing w:after="0" w:line="240" w:lineRule="auto"/>
        <w:jc w:val="both"/>
        <w:rPr>
          <w:rFonts w:ascii="Times New Roman" w:hAnsi="Times New Roman" w:cs="Times New Roman"/>
          <w:sz w:val="26"/>
          <w:szCs w:val="26"/>
          <w:lang w:val="ro-MO"/>
        </w:rPr>
      </w:pPr>
    </w:p>
    <w:p w:rsidR="00157EB8" w:rsidRPr="00446F65" w:rsidRDefault="00157EB8" w:rsidP="00317915">
      <w:pPr>
        <w:pStyle w:val="ListParagraph"/>
        <w:numPr>
          <w:ilvl w:val="0"/>
          <w:numId w:val="24"/>
        </w:numPr>
        <w:tabs>
          <w:tab w:val="left" w:pos="720"/>
        </w:tabs>
        <w:autoSpaceDE w:val="0"/>
        <w:autoSpaceDN w:val="0"/>
        <w:adjustRightInd w:val="0"/>
        <w:spacing w:after="0" w:line="240" w:lineRule="auto"/>
        <w:ind w:left="0" w:firstLine="720"/>
        <w:jc w:val="both"/>
        <w:rPr>
          <w:rFonts w:ascii="Times New Roman" w:hAnsi="Times New Roman" w:cs="Times New Roman"/>
          <w:b/>
          <w:i/>
          <w:sz w:val="26"/>
          <w:szCs w:val="26"/>
          <w:lang w:val="ro-MO"/>
        </w:rPr>
      </w:pPr>
      <w:r w:rsidRPr="00446F65">
        <w:rPr>
          <w:rFonts w:ascii="Times New Roman" w:hAnsi="Times New Roman" w:cs="Times New Roman"/>
          <w:b/>
          <w:i/>
          <w:sz w:val="26"/>
          <w:szCs w:val="26"/>
          <w:lang w:val="ro-MO"/>
        </w:rPr>
        <w:t>Analiza măsurii în care accesul bitstream auto-furnizat face parte din piaţa relevantă a produsului.</w:t>
      </w:r>
    </w:p>
    <w:p w:rsidR="00157EB8" w:rsidRPr="00446F65" w:rsidRDefault="00157EB8" w:rsidP="00317915">
      <w:pPr>
        <w:autoSpaceDE w:val="0"/>
        <w:autoSpaceDN w:val="0"/>
        <w:adjustRightInd w:val="0"/>
        <w:spacing w:after="0" w:line="240" w:lineRule="auto"/>
        <w:ind w:firstLine="709"/>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Substituibilitatea cererii cu ridicata are loc când un cumpărător cu ridicata a accesului în bandă largă este determinat să folosească produse alternative ca răspuns la SSNIP-ul monopolistului ipotetic. Întrebarea este dacă aceasta va avea loc într-o asemenea măsură în care ar constrânge impactul SSNIP.</w:t>
      </w:r>
    </w:p>
    <w:p w:rsidR="00157EB8" w:rsidRPr="00446F65" w:rsidRDefault="00157EB8" w:rsidP="00317915">
      <w:pPr>
        <w:autoSpaceDE w:val="0"/>
        <w:autoSpaceDN w:val="0"/>
        <w:adjustRightInd w:val="0"/>
        <w:spacing w:after="0" w:line="240" w:lineRule="auto"/>
        <w:ind w:firstLine="709"/>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ceea ce priveşte auto-furnizarea, crearea unei reţele xDSL sau FTTx alternative pentru furnizarea serviciilor în bandă largă în Republica Moldova necesită atât timp cât şi resurse investiţionale semnificative (inclusiv crearea unei reţele de acces, capacităţii de transmitere, infrastructurii în bandă largă şi echipament) fapt care este puţin probabil să aibă loc în măsura în care ar constrânge impactul SSNIP.</w:t>
      </w:r>
    </w:p>
    <w:p w:rsidR="00157EB8" w:rsidRPr="00446F65" w:rsidRDefault="00157EB8" w:rsidP="00317915">
      <w:pPr>
        <w:spacing w:after="0" w:line="240" w:lineRule="auto"/>
        <w:ind w:firstLine="709"/>
        <w:jc w:val="both"/>
        <w:rPr>
          <w:rFonts w:ascii="Times New Roman" w:eastAsia="Times New Roman" w:hAnsi="Times New Roman" w:cs="Times New Roman"/>
          <w:sz w:val="26"/>
          <w:szCs w:val="26"/>
          <w:lang w:val="ro-MO"/>
        </w:rPr>
      </w:pPr>
      <w:r w:rsidRPr="00446F65">
        <w:rPr>
          <w:rFonts w:ascii="Times New Roman" w:eastAsia="Times New Roman" w:hAnsi="Times New Roman" w:cs="Times New Roman"/>
          <w:sz w:val="26"/>
          <w:szCs w:val="26"/>
          <w:lang w:val="ro-MO"/>
        </w:rPr>
        <w:t xml:space="preserve">Având în vedere că serviciile de acces în bandă largă cu amănuntul bazate pe tehnologia xDSL prin cupru şi accesul prin fibră optică sunt considerate ca servicii substituente, trebuie să se stabilească dacă există o presiune suficient de competitivă din partea operatorilor care furnizează servicii prin infrastructura de acces proprie sau închiriată, în scopul auto furnizării, în măsura în care aceştia pot influenţa preţurile la serviciile de acces </w:t>
      </w:r>
      <w:r w:rsidRPr="00FC0005">
        <w:rPr>
          <w:rFonts w:ascii="Times New Roman" w:eastAsia="Times New Roman" w:hAnsi="Times New Roman" w:cs="Times New Roman"/>
          <w:i/>
          <w:sz w:val="26"/>
          <w:szCs w:val="26"/>
          <w:lang w:val="ro-MO"/>
        </w:rPr>
        <w:t>bitstream</w:t>
      </w:r>
      <w:r w:rsidRPr="00446F65">
        <w:rPr>
          <w:rFonts w:ascii="Times New Roman" w:eastAsia="Times New Roman" w:hAnsi="Times New Roman" w:cs="Times New Roman"/>
          <w:sz w:val="26"/>
          <w:szCs w:val="26"/>
          <w:lang w:val="ro-MO"/>
        </w:rPr>
        <w:t xml:space="preserve">. În cazul existenţei unei concurenţe competitive la nivelul pieţei cu amănuntul, dimensiunea serviciilor pe piaţa relevantă trebuie să includă serviciul de acces la Internet în bandă largă furnizat de către operatori în scopul auto furnizării. </w:t>
      </w:r>
    </w:p>
    <w:p w:rsidR="00157EB8" w:rsidRPr="00446F65" w:rsidRDefault="00157EB8" w:rsidP="00317915">
      <w:pPr>
        <w:spacing w:after="0" w:line="240" w:lineRule="auto"/>
        <w:ind w:firstLine="709"/>
        <w:jc w:val="both"/>
        <w:rPr>
          <w:rFonts w:ascii="Times New Roman" w:eastAsia="Times New Roman" w:hAnsi="Times New Roman" w:cs="Times New Roman"/>
          <w:sz w:val="26"/>
          <w:szCs w:val="26"/>
          <w:lang w:val="ro-MO"/>
        </w:rPr>
      </w:pPr>
      <w:r w:rsidRPr="00446F65">
        <w:rPr>
          <w:rFonts w:ascii="Times New Roman" w:eastAsia="Times New Roman" w:hAnsi="Times New Roman" w:cs="Times New Roman"/>
          <w:sz w:val="26"/>
          <w:szCs w:val="26"/>
          <w:lang w:val="ro-MO"/>
        </w:rPr>
        <w:t xml:space="preserve">Majorarea preţului la serviciile cu ridicata de </w:t>
      </w:r>
      <w:r w:rsidRPr="00FC0005">
        <w:rPr>
          <w:rFonts w:ascii="Times New Roman" w:eastAsia="Times New Roman" w:hAnsi="Times New Roman" w:cs="Times New Roman"/>
          <w:i/>
          <w:sz w:val="26"/>
          <w:szCs w:val="26"/>
          <w:lang w:val="ro-MO"/>
        </w:rPr>
        <w:t>bitstream</w:t>
      </w:r>
      <w:r w:rsidRPr="00446F65">
        <w:rPr>
          <w:rFonts w:ascii="Times New Roman" w:eastAsia="Times New Roman" w:hAnsi="Times New Roman" w:cs="Times New Roman"/>
          <w:sz w:val="26"/>
          <w:szCs w:val="26"/>
          <w:lang w:val="ro-MO"/>
        </w:rPr>
        <w:t xml:space="preserve"> furnizate de operatorul istoric ar trebui să conducă la creşterea preţului de vânzare cu amănuntul a serviciilor prestate de operatorii care furnizează servicii de acces la Internet în bandă largă pentru utilizatorii finali prin intermediul accesului de tip </w:t>
      </w:r>
      <w:r w:rsidRPr="00FC0005">
        <w:rPr>
          <w:rFonts w:ascii="Times New Roman" w:eastAsia="Times New Roman" w:hAnsi="Times New Roman" w:cs="Times New Roman"/>
          <w:i/>
          <w:sz w:val="26"/>
          <w:szCs w:val="26"/>
          <w:lang w:val="ro-MO"/>
        </w:rPr>
        <w:t>bitstream</w:t>
      </w:r>
      <w:r w:rsidRPr="00446F65">
        <w:rPr>
          <w:rFonts w:ascii="Times New Roman" w:eastAsia="Times New Roman" w:hAnsi="Times New Roman" w:cs="Times New Roman"/>
          <w:sz w:val="26"/>
          <w:szCs w:val="26"/>
          <w:lang w:val="ro-MO"/>
        </w:rPr>
        <w:t xml:space="preserve">, deoarece furnizorii vor fi nevoiţi să transfere costurile la serviciile cu ridicata în sarcina utilizatorilor finali. Utilizatorii finali se vor confrunta cu creşterea preţului de vânzare cu amănuntul a serviciilor bazate pe serviciile de acces de tip </w:t>
      </w:r>
      <w:r w:rsidRPr="00FC0005">
        <w:rPr>
          <w:rFonts w:ascii="Times New Roman" w:eastAsia="Times New Roman" w:hAnsi="Times New Roman" w:cs="Times New Roman"/>
          <w:i/>
          <w:sz w:val="26"/>
          <w:szCs w:val="26"/>
          <w:lang w:val="ro-MO"/>
        </w:rPr>
        <w:t xml:space="preserve">bitstream </w:t>
      </w:r>
      <w:r w:rsidRPr="00446F65">
        <w:rPr>
          <w:rFonts w:ascii="Times New Roman" w:eastAsia="Times New Roman" w:hAnsi="Times New Roman" w:cs="Times New Roman"/>
          <w:sz w:val="26"/>
          <w:szCs w:val="26"/>
          <w:lang w:val="ro-MO"/>
        </w:rPr>
        <w:t>şi vor începe să utilizeze acele servicii furnizate prin propria infrastructură de acces, care reprezintă servicii substituente, la nivelul pieţei cu amănuntul, deoarece acestea vor fi mult mai accesibile.</w:t>
      </w:r>
    </w:p>
    <w:p w:rsidR="00157EB8" w:rsidRPr="00446F65" w:rsidRDefault="00157EB8" w:rsidP="00317915">
      <w:pPr>
        <w:spacing w:after="0" w:line="240" w:lineRule="auto"/>
        <w:ind w:firstLine="709"/>
        <w:jc w:val="both"/>
        <w:rPr>
          <w:rFonts w:ascii="Times New Roman" w:hAnsi="Times New Roman" w:cs="Times New Roman"/>
          <w:sz w:val="26"/>
          <w:szCs w:val="26"/>
          <w:lang w:val="ro-MO"/>
        </w:rPr>
      </w:pPr>
      <w:r w:rsidRPr="00446F65">
        <w:rPr>
          <w:rFonts w:ascii="Times New Roman" w:eastAsia="Times New Roman" w:hAnsi="Times New Roman" w:cs="Times New Roman"/>
          <w:sz w:val="26"/>
          <w:szCs w:val="26"/>
          <w:lang w:val="ro-MO"/>
        </w:rPr>
        <w:t xml:space="preserve">Cu toate acestea, ANRCETI consideră că operatorii care furnizează servicii de acces la Internet în bandă largă în scopul auto-furnizării nu pot influenţa stabilirea preţurilor la servicii de acces de tip </w:t>
      </w:r>
      <w:r w:rsidRPr="00FC0005">
        <w:rPr>
          <w:rFonts w:ascii="Times New Roman" w:eastAsia="Times New Roman" w:hAnsi="Times New Roman" w:cs="Times New Roman"/>
          <w:i/>
          <w:sz w:val="26"/>
          <w:szCs w:val="26"/>
          <w:lang w:val="ro-MO"/>
        </w:rPr>
        <w:t>bitstream</w:t>
      </w:r>
      <w:r w:rsidRPr="00446F65">
        <w:rPr>
          <w:rFonts w:ascii="Times New Roman" w:eastAsia="Times New Roman" w:hAnsi="Times New Roman" w:cs="Times New Roman"/>
          <w:sz w:val="26"/>
          <w:szCs w:val="26"/>
          <w:lang w:val="ro-MO"/>
        </w:rPr>
        <w:t xml:space="preserve"> la nivelul pieţei cu amănuntul prin intermediul puterii sale semnificative. Nu există o astfel de presiune competitivă, care ar împiedica operatorul istoric să majoreze preţul la servicii cu 5-</w:t>
      </w:r>
      <w:r w:rsidRPr="00446F65">
        <w:rPr>
          <w:rFonts w:ascii="Times New Roman" w:hAnsi="Times New Roman" w:cs="Times New Roman"/>
          <w:sz w:val="26"/>
          <w:szCs w:val="26"/>
          <w:lang w:val="ro-MO"/>
        </w:rPr>
        <w:t xml:space="preserve">10%, în lipsa reglementării serviciilor de acces la </w:t>
      </w:r>
      <w:r w:rsidRPr="00FC0005">
        <w:rPr>
          <w:rFonts w:ascii="Times New Roman" w:hAnsi="Times New Roman" w:cs="Times New Roman"/>
          <w:i/>
          <w:sz w:val="26"/>
          <w:szCs w:val="26"/>
          <w:lang w:val="ro-MO"/>
        </w:rPr>
        <w:t>bitstream</w:t>
      </w:r>
      <w:r w:rsidRPr="00446F65">
        <w:rPr>
          <w:rFonts w:ascii="Times New Roman" w:hAnsi="Times New Roman" w:cs="Times New Roman"/>
          <w:sz w:val="26"/>
          <w:szCs w:val="26"/>
          <w:lang w:val="ro-MO"/>
        </w:rPr>
        <w:t>, deoarece operatorii nu au posibilitatea de a trece la alţi operatori şi aceştia, cel mai probabil, în scopul de a păstra utilizatorii lor finali, nu vor pune în sarcina  utilizatorilor lor finali diferenţa de preţ la serviciile cu ridicata.</w:t>
      </w:r>
    </w:p>
    <w:p w:rsidR="00157EB8" w:rsidRPr="00446F65" w:rsidRDefault="00157EB8" w:rsidP="00317915">
      <w:pPr>
        <w:spacing w:after="0" w:line="240" w:lineRule="auto"/>
        <w:ind w:firstLine="709"/>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de asemenea consideră că, în cazul în care furnizorul pune în sarcina utilizatorului final, achitarea diferenţei de preţ (de pe piaţa cu ridicata), aceştia vor substitui aceste servicii ale furnizorului cu serviciul de Internet în bandă largă oferit de Moldtelecom, deoarece </w:t>
      </w:r>
      <w:r w:rsidRPr="00446F65">
        <w:rPr>
          <w:rFonts w:ascii="Times New Roman" w:hAnsi="Times New Roman" w:cs="Times New Roman"/>
          <w:sz w:val="26"/>
          <w:szCs w:val="26"/>
          <w:lang w:val="ro-MO"/>
        </w:rPr>
        <w:lastRenderedPageBreak/>
        <w:t>serviciile acestuia sunt mult mai răspândite decât cele ale furnizorilor alternativi, prin intermediul infrastructurii lor de acces proprii sau închiriate. Cu toate acestea, chiar şi în zonele în care operatorii furnizează servicii de acces la Internet în bandă largă în scopul auto-furnizării, nu există nici o presiune semnificativă la nivelul pieţei cu amănuntul, şi acest lucru este evident din considerentul că Moldtelecom nu este obligat să furnizeze serviciul în cauză, la preţuri mai mici în aceste zone, comparativ cu alte zone.</w:t>
      </w:r>
    </w:p>
    <w:p w:rsidR="00157EB8" w:rsidRPr="00446F65" w:rsidRDefault="00157EB8" w:rsidP="00317915">
      <w:pPr>
        <w:spacing w:after="0" w:line="240" w:lineRule="auto"/>
        <w:ind w:firstLine="709"/>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Prin urmare, ANRCETI consideră că, în perioada de timp la care se referă această analiză, serviciile de acces la Internet în bandă largă furnizate de către alţi operatori în scopul auto-furnizării, indiferent de infrastructura de acces, nu fac parte din piaţa relevantă a produsului.</w:t>
      </w:r>
    </w:p>
    <w:p w:rsidR="00157EB8" w:rsidRPr="00446F65" w:rsidRDefault="00157EB8" w:rsidP="00317915">
      <w:pPr>
        <w:spacing w:after="0" w:line="240" w:lineRule="auto"/>
        <w:ind w:firstLine="709"/>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Pe de altă parte, datorită acoperirii reţelei asigurate de Moldtelecom, este necesar să se ia în considerare influenţa serviciului de acces bazat pe tehnologia xDSL și FTTx furnizat de Moldtelecom în scopul auto-furnizării.</w:t>
      </w:r>
    </w:p>
    <w:p w:rsidR="00157EB8" w:rsidRPr="00446F65" w:rsidRDefault="00157EB8" w:rsidP="00317915">
      <w:pPr>
        <w:spacing w:after="0" w:line="240" w:lineRule="auto"/>
        <w:ind w:firstLine="709"/>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Întrucât operatorii care furnizează servicii de acces bitstream prin reţeaua furnizorului istoric pot avea acces la toţi utilizatorii unde reţeaua Moldtelecom este disponibilă pentru accesul la Internet în bandă largă, se poate concluziona că Moldtelecom poate furniza acelaşi serviciu pentru toţi utilizatorii finali ai operatorului care utilizează serviciul de acces de tip </w:t>
      </w:r>
      <w:r w:rsidRPr="00FC0005">
        <w:rPr>
          <w:rFonts w:ascii="Times New Roman" w:hAnsi="Times New Roman" w:cs="Times New Roman"/>
          <w:i/>
          <w:sz w:val="26"/>
          <w:szCs w:val="26"/>
          <w:lang w:val="ro-MO"/>
        </w:rPr>
        <w:t>bitstream</w:t>
      </w:r>
      <w:r w:rsidRPr="00446F65">
        <w:rPr>
          <w:rFonts w:ascii="Times New Roman" w:hAnsi="Times New Roman" w:cs="Times New Roman"/>
          <w:sz w:val="26"/>
          <w:szCs w:val="26"/>
          <w:lang w:val="ro-MO"/>
        </w:rPr>
        <w:t>, fără a suporta costuri suplimentare.</w:t>
      </w:r>
    </w:p>
    <w:p w:rsidR="00157EB8" w:rsidRPr="00446F65" w:rsidRDefault="00157EB8" w:rsidP="00317915">
      <w:pPr>
        <w:spacing w:after="0" w:line="240" w:lineRule="auto"/>
        <w:ind w:firstLine="709"/>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Prin urmare, aşa cum a fost deja menţionat, în cazul în care operatorul care furnizează servicii de acces bitstream transferă utilizatorului final creşterea ipotetică a preţului unui serviciu relevant, majoritatea utilizatorilor lui finali vor alege serviciile oferite de Moldtelecom. De asemenea, este necesar de ţinut cont şi de principiul de perspectivă şi de luat în considerare influenţa serviciilor de acces la Internet în bandă largă prestate prin tehnologii FTTB, FTTC şi FTTH, utilizate de Moldtelecom  pentru auto-furnizare, care cunoaştem că are dezvoltată reţeaua proprie din fibră optică prin care furnizează utilizatorilor săi finali servicii de acces în bandă largă.</w:t>
      </w:r>
    </w:p>
    <w:p w:rsidR="00157EB8" w:rsidRPr="00446F65" w:rsidRDefault="00157EB8" w:rsidP="00317915">
      <w:pPr>
        <w:spacing w:after="0" w:line="240" w:lineRule="auto"/>
        <w:ind w:firstLine="709"/>
        <w:jc w:val="both"/>
        <w:rPr>
          <w:rFonts w:ascii="Times New Roman" w:hAnsi="Times New Roman" w:cs="Times New Roman"/>
          <w:sz w:val="26"/>
          <w:szCs w:val="26"/>
          <w:lang w:val="ro-MO"/>
        </w:rPr>
      </w:pPr>
      <w:r w:rsidRPr="00446F65">
        <w:rPr>
          <w:rFonts w:ascii="Times New Roman" w:hAnsi="Times New Roman" w:cs="Times New Roman"/>
          <w:b/>
          <w:color w:val="000000"/>
          <w:sz w:val="26"/>
          <w:szCs w:val="26"/>
          <w:lang w:val="ro-MO"/>
        </w:rPr>
        <w:t xml:space="preserve">Concluzia ANRCETI: </w:t>
      </w:r>
      <w:r w:rsidRPr="00446F65">
        <w:rPr>
          <w:rFonts w:ascii="Times New Roman" w:hAnsi="Times New Roman" w:cs="Times New Roman"/>
          <w:sz w:val="26"/>
          <w:szCs w:val="26"/>
          <w:lang w:val="ro-MO"/>
        </w:rPr>
        <w:t xml:space="preserve">serviciul de acces în bandă largă utilizat de Moldtelecom pentru auto-furnizare trebuie să fie inclus în piaţa relevantă, indiferent de faptul dacă acesta este un acces bazat pe perechile de cupru torsadate, pe fibra optică sau pe o soluţie hibridă, care include linii de cupru şi fibre optice. </w:t>
      </w:r>
    </w:p>
    <w:p w:rsidR="00157EB8" w:rsidRPr="00446F65" w:rsidRDefault="00157EB8" w:rsidP="00317915">
      <w:pPr>
        <w:spacing w:after="0" w:line="240" w:lineRule="auto"/>
        <w:ind w:firstLine="567"/>
        <w:jc w:val="both"/>
        <w:rPr>
          <w:rFonts w:ascii="Times New Roman" w:hAnsi="Times New Roman" w:cs="Times New Roman"/>
          <w:sz w:val="26"/>
          <w:szCs w:val="26"/>
          <w:lang w:val="ro-MO"/>
        </w:rPr>
      </w:pPr>
    </w:p>
    <w:p w:rsidR="00157EB8" w:rsidRPr="00446F65" w:rsidRDefault="00157EB8" w:rsidP="00317915">
      <w:pPr>
        <w:pStyle w:val="Heading5"/>
        <w:numPr>
          <w:ilvl w:val="3"/>
          <w:numId w:val="14"/>
        </w:numPr>
        <w:spacing w:line="240" w:lineRule="auto"/>
        <w:rPr>
          <w:rFonts w:ascii="Times New Roman" w:eastAsiaTheme="minorHAnsi" w:hAnsi="Times New Roman" w:cs="Times New Roman"/>
          <w:b/>
          <w:color w:val="auto"/>
          <w:sz w:val="26"/>
          <w:szCs w:val="26"/>
          <w:lang w:val="ro-MO"/>
        </w:rPr>
      </w:pPr>
      <w:bookmarkStart w:id="43" w:name="_Toc430854388"/>
      <w:bookmarkStart w:id="44" w:name="_Toc492907398"/>
      <w:r w:rsidRPr="00446F65">
        <w:rPr>
          <w:rFonts w:ascii="Times New Roman" w:eastAsiaTheme="minorHAnsi" w:hAnsi="Times New Roman" w:cs="Times New Roman"/>
          <w:b/>
          <w:color w:val="auto"/>
          <w:sz w:val="26"/>
          <w:szCs w:val="26"/>
          <w:lang w:val="ro-MO"/>
        </w:rPr>
        <w:t>Sumarul analizei pieţei produsului</w:t>
      </w:r>
      <w:bookmarkEnd w:id="43"/>
      <w:bookmarkEnd w:id="44"/>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ANRCETI a identificat că produsul focal pentru Piața WCA reprezintă </w:t>
      </w:r>
      <w:r w:rsidRPr="00446F65">
        <w:rPr>
          <w:rFonts w:ascii="Times New Roman" w:hAnsi="Times New Roman" w:cs="Times New Roman"/>
          <w:b/>
          <w:i/>
          <w:sz w:val="26"/>
          <w:szCs w:val="26"/>
          <w:lang w:val="ro-MO"/>
        </w:rPr>
        <w:t xml:space="preserve">serviciile de tip </w:t>
      </w:r>
      <w:r w:rsidR="00461D21" w:rsidRPr="00446F65">
        <w:rPr>
          <w:rFonts w:ascii="Times New Roman" w:hAnsi="Times New Roman" w:cs="Times New Roman"/>
          <w:b/>
          <w:bCs/>
          <w:i/>
          <w:sz w:val="26"/>
          <w:szCs w:val="26"/>
          <w:lang w:val="ro-MO"/>
        </w:rPr>
        <w:t>b</w:t>
      </w:r>
      <w:r w:rsidRPr="00446F65">
        <w:rPr>
          <w:rFonts w:ascii="Times New Roman" w:hAnsi="Times New Roman" w:cs="Times New Roman"/>
          <w:b/>
          <w:bCs/>
          <w:i/>
          <w:sz w:val="26"/>
          <w:szCs w:val="26"/>
          <w:lang w:val="ro-MO"/>
        </w:rPr>
        <w:t>itstream bazate pe rețele de cupru și fibră optică.</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Aplicarea testului monopolistului ipotetic indică asupra faptului, că piaţa WCA include serviciile </w:t>
      </w:r>
      <w:r w:rsidR="00461D21" w:rsidRPr="00446F65">
        <w:rPr>
          <w:rFonts w:ascii="Times New Roman" w:hAnsi="Times New Roman" w:cs="Times New Roman"/>
          <w:color w:val="000000"/>
          <w:sz w:val="26"/>
          <w:szCs w:val="26"/>
          <w:lang w:val="ro-MO"/>
        </w:rPr>
        <w:t xml:space="preserve">de tip </w:t>
      </w:r>
      <w:r w:rsidR="00461D21" w:rsidRPr="00FC0005">
        <w:rPr>
          <w:rFonts w:ascii="Times New Roman" w:hAnsi="Times New Roman" w:cs="Times New Roman"/>
          <w:i/>
          <w:color w:val="000000"/>
          <w:sz w:val="26"/>
          <w:szCs w:val="26"/>
          <w:lang w:val="ro-MO"/>
        </w:rPr>
        <w:t>b</w:t>
      </w:r>
      <w:r w:rsidRPr="00FC0005">
        <w:rPr>
          <w:rFonts w:ascii="Times New Roman" w:hAnsi="Times New Roman" w:cs="Times New Roman"/>
          <w:i/>
          <w:color w:val="000000"/>
          <w:sz w:val="26"/>
          <w:szCs w:val="26"/>
          <w:lang w:val="ro-MO"/>
        </w:rPr>
        <w:t>itstream</w:t>
      </w:r>
      <w:r w:rsidRPr="00446F65">
        <w:rPr>
          <w:rFonts w:ascii="Times New Roman" w:hAnsi="Times New Roman" w:cs="Times New Roman"/>
          <w:color w:val="000000"/>
          <w:sz w:val="26"/>
          <w:szCs w:val="26"/>
          <w:lang w:val="ro-MO"/>
        </w:rPr>
        <w:t xml:space="preserve"> bazate pe rețele de cupru și fibră optică şi serviciile de auto furnizare.</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color w:val="000000"/>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ANRCETI concluzionează că piaţa relevantă a produsului este următoarea: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b/>
          <w:bCs/>
          <w:i/>
          <w:iCs/>
          <w:color w:val="000000"/>
          <w:sz w:val="26"/>
          <w:szCs w:val="26"/>
          <w:lang w:val="ro-MO"/>
        </w:rPr>
      </w:pPr>
      <w:r w:rsidRPr="00446F65">
        <w:rPr>
          <w:rFonts w:ascii="Times New Roman" w:hAnsi="Times New Roman" w:cs="Times New Roman"/>
          <w:b/>
          <w:bCs/>
          <w:i/>
          <w:color w:val="000000"/>
          <w:sz w:val="26"/>
          <w:szCs w:val="26"/>
          <w:lang w:val="ro-MO"/>
        </w:rPr>
        <w:t>Piaţa WCA cuprinde servicii de acces de tip</w:t>
      </w:r>
      <w:r w:rsidR="00461D21" w:rsidRPr="00446F65">
        <w:rPr>
          <w:rFonts w:ascii="Times New Roman" w:hAnsi="Times New Roman" w:cs="Times New Roman"/>
          <w:b/>
          <w:bCs/>
          <w:i/>
          <w:sz w:val="26"/>
          <w:szCs w:val="26"/>
          <w:lang w:val="ro-MO"/>
        </w:rPr>
        <w:t xml:space="preserve"> b</w:t>
      </w:r>
      <w:r w:rsidRPr="00446F65">
        <w:rPr>
          <w:rFonts w:ascii="Times New Roman" w:hAnsi="Times New Roman" w:cs="Times New Roman"/>
          <w:b/>
          <w:bCs/>
          <w:i/>
          <w:sz w:val="26"/>
          <w:szCs w:val="26"/>
          <w:lang w:val="ro-MO"/>
        </w:rPr>
        <w:t>itstream bazate pe rețele de cupru și fibră optică</w:t>
      </w:r>
      <w:r w:rsidRPr="00446F65">
        <w:rPr>
          <w:rFonts w:ascii="Times New Roman" w:hAnsi="Times New Roman" w:cs="Times New Roman"/>
          <w:b/>
          <w:bCs/>
          <w:i/>
          <w:iCs/>
          <w:color w:val="000000"/>
          <w:sz w:val="26"/>
          <w:szCs w:val="26"/>
          <w:lang w:val="ro-MO"/>
        </w:rPr>
        <w:t xml:space="preserve">. </w:t>
      </w:r>
    </w:p>
    <w:p w:rsidR="00157EB8" w:rsidRPr="00446F65" w:rsidRDefault="00157EB8" w:rsidP="00317915">
      <w:pPr>
        <w:pStyle w:val="Heading4"/>
        <w:numPr>
          <w:ilvl w:val="2"/>
          <w:numId w:val="24"/>
        </w:numPr>
        <w:spacing w:line="240" w:lineRule="auto"/>
        <w:rPr>
          <w:rFonts w:eastAsiaTheme="minorHAnsi" w:cs="Times New Roman"/>
          <w:i w:val="0"/>
          <w:iCs w:val="0"/>
          <w:color w:val="000000"/>
          <w:szCs w:val="26"/>
          <w:lang w:val="ro-MO"/>
        </w:rPr>
      </w:pPr>
      <w:bookmarkStart w:id="45" w:name="_Toc430854389"/>
      <w:bookmarkStart w:id="46" w:name="_Toc492907399"/>
      <w:r w:rsidRPr="00446F65">
        <w:rPr>
          <w:rFonts w:eastAsiaTheme="minorHAnsi" w:cs="Times New Roman"/>
          <w:i w:val="0"/>
          <w:iCs w:val="0"/>
          <w:color w:val="000000"/>
          <w:szCs w:val="26"/>
          <w:lang w:val="ro-MO"/>
        </w:rPr>
        <w:t>Piaţa geografică</w:t>
      </w:r>
      <w:bookmarkEnd w:id="45"/>
      <w:bookmarkEnd w:id="46"/>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Piaţa geografică relevantă reprezintă zona în care sunt localizaţi furnizorii produselor din piaţa relevantă a produsului, zonă în care condiţiile de concurenţă sunt suficient de omogene şi care poate fi delimitată de arii geografice vecine datorită unor condiţii concurenţiale diferite. De asemenea, conform Instrucţiunilor CE, în mod tradiţional, identificarea pieţei relevante geografice se realizează pe baza următoarelor criterii: aria acoperită de reţea şi existenţa unor limite geografice impuse prin lege sau prin acte administrative.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 xml:space="preserve">Analizând aceste criterii, ANRCETI a constatat că piaţa geografică relevantă corespunzătoare pieței WCA este naţională, determinată de teritoriul Republicii Moldova.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prezent, Moldtelecom este singurul furnizor care oferă altor furnizori acces de tip bitstream prin intermediul xDSL. Reţeaua Moldtelecom are cea mai mare acoperire, fiind dezvoltată la nivel naţional, urmată de rețeaua StarNet (FTTx) și  a Sun Communications (prin rețea de cablu TV). De asemenea, în unele zone sunt dezvoltate reţele de arie locală, preponderent în zonele urbane, cu un număr mare de utilizatori, unde costurile per utilizator sunt, în general, mai scăzute. Prin contrast, în zonele rurale, în afara reţelei Moldtelecom sunt dezvoltate reţele de cablu coaxial de dimensiuni mici. Acestea actualmente nu sunt folosite de către furnizori pentru servicii de acces în bandă largă din cauza lipsei economiilor de scară (costurile unui proiect bazat pe acces DOCSIS sunt foarte sensibile la numărul de utilizatori, odată ce costurile inițiale pentru CMTS sunt esențiale).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Pornind de la aceste constatări şi de la analiza pieţei cu amănuntul a serviciilor de acces la internet în bandă largă, s-a constat că în ultimii ani condiţiile concurenţiale diferă pe teritoriul Republica Moldova, în principal în zonele urbane unde, în afară de Moldtelecom, sunt prezenţi furnizori alternativi care operează propriile reţele locale de acces pe suport de fire de fibră optică. În ceea ce priveşte zonele rurale, s-a constatat că au fost dezvoltate, în principal, reţele de acces pe suport de fire metalice torsadate de cupru aparţinând Moldtelecom.</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Cu toate acestea, atât în prezent, cât şi în orizontul de timp al analizei de piaţă, existenţa acestor diferenţe la nivel local sau între mediul urban şi cel rural nu este suficientă pentru definirea de pieţe geografice cu ridicata subnaţionale. ANRCETI consideră că datorită în principal caracterului fluid al pieţei şi eterogenităţii condiţiilor concurenţiale între diferite zone, o eventuală delimitare a pieţelor în funcţie de factori structurali – cum ar fi număr de operatori, cote de piaţă, bariere la intrarea pe piaţă, tarife - este puţin probabil să se menţină stabilă în orizontul de timp al analizei de piaţă.</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acelaşi timp, ANRCETI subliniază faptul că o eventuală definire a unor pieţe geografice distincte pentru mediul rural şi, respectiv, pentru mediul urban şi, respectiv, o eventuală diferenţiere a remediilor în funcţie de condiţiile concurenţiale diferite, nu este potrivită. Totodată nu este exclus faptul ca la analizele viitoare să fie definite pieţe geografice distincte, datorită tehnologiilor alternative de acces dezvoltate de furnizorii alternativi, în special în mun.</w:t>
      </w:r>
      <w:r w:rsidR="00DE646B"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Chişinău. Cu toate acestea, atâta timp cât rămâne cerinţa pentru preţuri medii geografice pentru toată ţara, acest lucru puţin probabil ar duce la condiţii semnificativ diferite de ofertă în diferite zone ale ţării.</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 xml:space="preserve">Concluzia ANRCETI: </w:t>
      </w:r>
      <w:r w:rsidRPr="00446F65">
        <w:rPr>
          <w:rFonts w:ascii="Times New Roman" w:hAnsi="Times New Roman" w:cs="Times New Roman"/>
          <w:sz w:val="26"/>
          <w:szCs w:val="26"/>
          <w:lang w:val="ro-MO"/>
        </w:rPr>
        <w:t>piaţa geografică relevantă a serviciilor de pe piața WCA este naţională, determinată de teritoriul Republicii Moldova.</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157EB8" w:rsidRPr="00446F65" w:rsidRDefault="00DE646B" w:rsidP="00317915">
      <w:pPr>
        <w:pStyle w:val="Heading4"/>
        <w:spacing w:line="240" w:lineRule="auto"/>
        <w:ind w:firstLine="567"/>
        <w:rPr>
          <w:rFonts w:eastAsiaTheme="minorHAnsi" w:cs="Times New Roman"/>
          <w:bCs w:val="0"/>
          <w:i w:val="0"/>
          <w:iCs w:val="0"/>
          <w:color w:val="auto"/>
          <w:szCs w:val="26"/>
          <w:lang w:val="ro-MO"/>
        </w:rPr>
      </w:pPr>
      <w:bookmarkStart w:id="47" w:name="_Toc430854390"/>
      <w:bookmarkStart w:id="48" w:name="_Toc492907400"/>
      <w:r w:rsidRPr="00446F65">
        <w:rPr>
          <w:rFonts w:eastAsiaTheme="minorHAnsi" w:cs="Times New Roman"/>
          <w:bCs w:val="0"/>
          <w:i w:val="0"/>
          <w:iCs w:val="0"/>
          <w:color w:val="auto"/>
          <w:szCs w:val="26"/>
          <w:lang w:val="ro-MO"/>
        </w:rPr>
        <w:t xml:space="preserve">3.4.3 </w:t>
      </w:r>
      <w:r w:rsidR="00157EB8" w:rsidRPr="00446F65">
        <w:rPr>
          <w:rFonts w:eastAsiaTheme="minorHAnsi" w:cs="Times New Roman"/>
          <w:bCs w:val="0"/>
          <w:i w:val="0"/>
          <w:iCs w:val="0"/>
          <w:color w:val="auto"/>
          <w:szCs w:val="26"/>
          <w:lang w:val="ro-MO"/>
        </w:rPr>
        <w:t>Aplicarea testului celor trei criterii</w:t>
      </w:r>
      <w:bookmarkEnd w:id="47"/>
      <w:bookmarkEnd w:id="48"/>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continuare ANRCETI va aplica testul celor trei criterii pentru a determina piaţa WCA este relevantă reglementării ex ante.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Cele trei criterii sunt (descrierea criteriilor date a fost efectuată în compartimentul cu privire la identificarea pieței WLA): </w:t>
      </w:r>
    </w:p>
    <w:p w:rsidR="00157EB8" w:rsidRPr="00446F65" w:rsidRDefault="00157EB8" w:rsidP="00317915">
      <w:pPr>
        <w:pStyle w:val="ListParagraph"/>
        <w:numPr>
          <w:ilvl w:val="1"/>
          <w:numId w:val="31"/>
        </w:numPr>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dacă piaţa de comunicaţii electronice este caracterizată prin existenţa unor bariere înalte la intrare; </w:t>
      </w:r>
    </w:p>
    <w:p w:rsidR="00157EB8" w:rsidRPr="00446F65" w:rsidRDefault="00157EB8" w:rsidP="00317915">
      <w:pPr>
        <w:pStyle w:val="ListParagraph"/>
        <w:numPr>
          <w:ilvl w:val="1"/>
          <w:numId w:val="31"/>
        </w:numPr>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dacă piaţa de comunicaţii electronice în cauză ar tinde pe termen scurt sau mediu, spre o concurenţă suficientă pentru a proteja interesele consumatorilor, chiar şi fără intervenţii de reglementare; şi </w:t>
      </w:r>
    </w:p>
    <w:p w:rsidR="00157EB8" w:rsidRPr="00446F65" w:rsidRDefault="00157EB8" w:rsidP="00317915">
      <w:pPr>
        <w:pStyle w:val="ListParagraph"/>
        <w:numPr>
          <w:ilvl w:val="1"/>
          <w:numId w:val="31"/>
        </w:numPr>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 xml:space="preserve">dacă măsurile </w:t>
      </w:r>
      <w:r w:rsidRPr="00446F65">
        <w:rPr>
          <w:rFonts w:ascii="Times New Roman" w:hAnsi="Times New Roman" w:cs="Times New Roman"/>
          <w:i/>
          <w:iCs/>
          <w:sz w:val="26"/>
          <w:szCs w:val="26"/>
          <w:lang w:val="ro-MO"/>
        </w:rPr>
        <w:t>ex-post</w:t>
      </w:r>
      <w:r w:rsidRPr="00446F65">
        <w:rPr>
          <w:rFonts w:ascii="Times New Roman" w:hAnsi="Times New Roman" w:cs="Times New Roman"/>
          <w:sz w:val="26"/>
          <w:szCs w:val="26"/>
          <w:lang w:val="ro-MO"/>
        </w:rPr>
        <w:t xml:space="preserve">, în absenţa unor măsuri </w:t>
      </w:r>
      <w:r w:rsidRPr="00446F65">
        <w:rPr>
          <w:rFonts w:ascii="Times New Roman" w:hAnsi="Times New Roman" w:cs="Times New Roman"/>
          <w:i/>
          <w:iCs/>
          <w:sz w:val="26"/>
          <w:szCs w:val="26"/>
          <w:lang w:val="ro-MO"/>
        </w:rPr>
        <w:t xml:space="preserve">ex-ante </w:t>
      </w:r>
      <w:r w:rsidRPr="00446F65">
        <w:rPr>
          <w:rFonts w:ascii="Times New Roman" w:hAnsi="Times New Roman" w:cs="Times New Roman"/>
          <w:sz w:val="26"/>
          <w:szCs w:val="26"/>
          <w:lang w:val="ro-MO"/>
        </w:rPr>
        <w:t>impuse pe această piaţă, ar fi suficiente pentru a remedia îngrijorările legate de existenţa unei poziţii dominante pe piaţă.</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Toate aceste criterii trebuie să fie îndeplinite împreună. În cazul în care, barierele la intrare nu sunt de durată, sau în cazul în care există dovezi recente de concurenţă sporită şi de o concurenţă care tinde spre creştere continuă pe termen scurt şi mediu, sau în cazul în care există anumite motive să se creadă că intervenţia </w:t>
      </w:r>
      <w:r w:rsidRPr="00446F65">
        <w:rPr>
          <w:rFonts w:ascii="Times New Roman" w:hAnsi="Times New Roman" w:cs="Times New Roman"/>
          <w:i/>
          <w:iCs/>
          <w:sz w:val="26"/>
          <w:szCs w:val="26"/>
          <w:lang w:val="ro-MO"/>
        </w:rPr>
        <w:t xml:space="preserve">ex-post </w:t>
      </w:r>
      <w:r w:rsidRPr="00446F65">
        <w:rPr>
          <w:rFonts w:ascii="Times New Roman" w:hAnsi="Times New Roman" w:cs="Times New Roman"/>
          <w:sz w:val="26"/>
          <w:szCs w:val="26"/>
          <w:lang w:val="ro-MO"/>
        </w:rPr>
        <w:t xml:space="preserve">de către regulator ar putea fi eficientă, atunci este rezonabil ca regulatorul să se abţină de la impunerea măsurilor preventive în sarcina furnizorului cu putere semnificativă.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cazul în care toate criteriile sunt îndeplinite, atunci ar fi justificată o analiză deplină de piaţă pentru a determina ce furnizor are putere semnificativă pe piaţă şi a stabili remediile </w:t>
      </w:r>
      <w:r w:rsidRPr="00446F65">
        <w:rPr>
          <w:rFonts w:ascii="Times New Roman" w:hAnsi="Times New Roman" w:cs="Times New Roman"/>
          <w:i/>
          <w:iCs/>
          <w:sz w:val="26"/>
          <w:szCs w:val="26"/>
          <w:lang w:val="ro-MO"/>
        </w:rPr>
        <w:t xml:space="preserve">preventive </w:t>
      </w:r>
      <w:r w:rsidRPr="00446F65">
        <w:rPr>
          <w:rFonts w:ascii="Times New Roman" w:hAnsi="Times New Roman" w:cs="Times New Roman"/>
          <w:sz w:val="26"/>
          <w:szCs w:val="26"/>
          <w:lang w:val="ro-MO"/>
        </w:rPr>
        <w:t xml:space="preserve">aplicate acestor furnizori.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Compartimentul de mai jos aplică fiecare dintre aceste criterii la piaţa WCA. </w:t>
      </w:r>
    </w:p>
    <w:p w:rsidR="00157EB8" w:rsidRPr="00446F65" w:rsidRDefault="00965AB0" w:rsidP="00317915">
      <w:pPr>
        <w:pStyle w:val="Heading5"/>
        <w:spacing w:line="240" w:lineRule="auto"/>
        <w:ind w:firstLine="567"/>
        <w:rPr>
          <w:rFonts w:ascii="Times New Roman" w:eastAsiaTheme="minorHAnsi" w:hAnsi="Times New Roman" w:cs="Times New Roman"/>
          <w:b/>
          <w:bCs/>
          <w:color w:val="auto"/>
          <w:sz w:val="26"/>
          <w:szCs w:val="26"/>
          <w:lang w:val="ro-MO"/>
        </w:rPr>
      </w:pPr>
      <w:bookmarkStart w:id="49" w:name="_Toc430854391"/>
      <w:bookmarkStart w:id="50" w:name="_Toc492907401"/>
      <w:r w:rsidRPr="00446F65">
        <w:rPr>
          <w:rFonts w:ascii="Times New Roman" w:eastAsiaTheme="minorHAnsi" w:hAnsi="Times New Roman" w:cs="Times New Roman"/>
          <w:b/>
          <w:bCs/>
          <w:color w:val="auto"/>
          <w:sz w:val="26"/>
          <w:szCs w:val="26"/>
          <w:lang w:val="ro-MO"/>
        </w:rPr>
        <w:t>3.4.3.</w:t>
      </w:r>
      <w:r w:rsidR="00157EB8" w:rsidRPr="00446F65">
        <w:rPr>
          <w:rFonts w:ascii="Times New Roman" w:eastAsiaTheme="minorHAnsi" w:hAnsi="Times New Roman" w:cs="Times New Roman"/>
          <w:b/>
          <w:bCs/>
          <w:color w:val="auto"/>
          <w:sz w:val="26"/>
          <w:szCs w:val="26"/>
          <w:lang w:val="ro-MO"/>
        </w:rPr>
        <w:t>1 Barierele de intrare şi ieşire</w:t>
      </w:r>
      <w:bookmarkEnd w:id="49"/>
      <w:bookmarkEnd w:id="50"/>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Barierele pentru intrarea pe sau ieşirea de pe piaţă pot fi de două tipuri: </w:t>
      </w:r>
    </w:p>
    <w:p w:rsidR="00157EB8" w:rsidRPr="00446F65" w:rsidRDefault="00157EB8" w:rsidP="00317915">
      <w:pPr>
        <w:pStyle w:val="ListParagraph"/>
        <w:numPr>
          <w:ilvl w:val="0"/>
          <w:numId w:val="3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b/>
          <w:bCs/>
          <w:sz w:val="26"/>
          <w:szCs w:val="26"/>
          <w:lang w:val="ro-MO"/>
        </w:rPr>
        <w:t>structurale</w:t>
      </w:r>
      <w:r w:rsidRPr="00446F65">
        <w:rPr>
          <w:rFonts w:ascii="Times New Roman" w:hAnsi="Times New Roman" w:cs="Times New Roman"/>
          <w:sz w:val="26"/>
          <w:szCs w:val="26"/>
          <w:lang w:val="ro-MO"/>
        </w:rPr>
        <w:t xml:space="preserve">: bazate pe economii de scară şi gamă, costuri irecuperabile şi constrângeri tehnice; </w:t>
      </w:r>
    </w:p>
    <w:p w:rsidR="00157EB8" w:rsidRPr="00446F65" w:rsidRDefault="00157EB8" w:rsidP="00317915">
      <w:pPr>
        <w:pStyle w:val="ListParagraph"/>
        <w:numPr>
          <w:ilvl w:val="0"/>
          <w:numId w:val="3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b/>
          <w:bCs/>
          <w:sz w:val="26"/>
          <w:szCs w:val="26"/>
          <w:lang w:val="ro-MO"/>
        </w:rPr>
        <w:t>legale</w:t>
      </w:r>
      <w:r w:rsidRPr="00446F65">
        <w:rPr>
          <w:rFonts w:ascii="Times New Roman" w:hAnsi="Times New Roman" w:cs="Times New Roman"/>
          <w:sz w:val="26"/>
          <w:szCs w:val="26"/>
          <w:lang w:val="ro-MO"/>
        </w:rPr>
        <w:t xml:space="preserve">: bazate pe politici cum ar fi acordarea licenţelor, drepturi de trecere şi alocarea spectrului de frecvenţe.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i/>
          <w:iCs/>
          <w:color w:val="000000"/>
          <w:sz w:val="26"/>
          <w:szCs w:val="26"/>
          <w:lang w:val="ro-MO"/>
        </w:rPr>
      </w:pPr>
      <w:r w:rsidRPr="00446F65">
        <w:rPr>
          <w:rFonts w:ascii="Times New Roman" w:hAnsi="Times New Roman" w:cs="Times New Roman"/>
          <w:color w:val="000000"/>
          <w:sz w:val="26"/>
          <w:szCs w:val="26"/>
          <w:lang w:val="ro-MO"/>
        </w:rPr>
        <w:t>Este evidentă prezenţa barierelor înalte la intrarea pe piaţa WCA în condiţiile actuale ale pieţei, după cum este prevăzut în analiza noastră de substituibilitate. ANRCETI consideră că furnizarea buclelor de acces (cupru sau fibră optică) ar reprezenta un obstacol semnificativ pentru un furnizor nou împiedicându-i intrarea competitivă pe această piaţă. De asemenea ANRCETI consideră că barierele de intrare pe piaţă ar putea fi reduse prin impunerea unor obligaţii de acces la infrastructura fizică. Scopul analizei concomitente a acestor pieţe este de a facilita concurenţa bazată pe infrastructură în măsura în care este eficient din punct de vedere economic. La acest subiect Comisia Europeană a ajuns la următoarea concluzie</w:t>
      </w:r>
      <w:r w:rsidRPr="00446F65">
        <w:rPr>
          <w:rStyle w:val="FootnoteReference"/>
          <w:rFonts w:ascii="Times New Roman" w:hAnsi="Times New Roman" w:cs="Times New Roman"/>
          <w:color w:val="000000"/>
          <w:sz w:val="26"/>
          <w:szCs w:val="26"/>
          <w:lang w:val="ro-MO"/>
        </w:rPr>
        <w:footnoteReference w:id="13"/>
      </w:r>
      <w:r w:rsidRPr="00446F65">
        <w:rPr>
          <w:rFonts w:ascii="Times New Roman" w:hAnsi="Times New Roman" w:cs="Times New Roman"/>
          <w:color w:val="000000"/>
          <w:sz w:val="26"/>
          <w:szCs w:val="26"/>
          <w:lang w:val="ro-MO"/>
        </w:rPr>
        <w:t xml:space="preserve">: </w:t>
      </w:r>
      <w:r w:rsidRPr="00446F65">
        <w:rPr>
          <w:rFonts w:ascii="Times New Roman" w:hAnsi="Times New Roman" w:cs="Times New Roman"/>
          <w:i/>
          <w:iCs/>
          <w:color w:val="000000"/>
          <w:sz w:val="26"/>
          <w:szCs w:val="26"/>
          <w:lang w:val="ro-MO"/>
        </w:rPr>
        <w:t xml:space="preserve">Motivul de identificare a celei de a doua pieţe cu ridicata s-a bazat pe părerea că chiar şi un acces reglementat la bucla locală ar fi insuficient în majoritatea statelor membre pentru a constrânge posibilul furnizor cu putere semnificativă pe piaţa cu amănuntul, cu toate acestea ar continua să existe bariere semnificative de intrare pe piaţă. Faptul că cele două pieţe cu ridicata fac parte din aceeaşi piaţă cu amănuntul în bandă largă, presupune că este logic ca autorităţile naţionale să realizeze o singură analiză generală a pieţei în bandă largă care examinează în consecutivitate impactul exercitat de : (a) accesul reglementat bazat pe infrastructură şi (b) accesul bazat pe reţea (non-fizic) asupra oricărui furnizor cu putere semnificativă identificat pe piaţă. Până în prezent, zece state membre au efectuat o asemenea analiză combinată.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i/>
          <w:iCs/>
          <w:color w:val="000000"/>
          <w:sz w:val="26"/>
          <w:szCs w:val="26"/>
          <w:lang w:val="ro-MO"/>
        </w:rPr>
      </w:pPr>
      <w:r w:rsidRPr="00446F65">
        <w:rPr>
          <w:rFonts w:ascii="Times New Roman" w:hAnsi="Times New Roman" w:cs="Times New Roman"/>
          <w:color w:val="000000"/>
          <w:sz w:val="26"/>
          <w:szCs w:val="26"/>
          <w:lang w:val="ro-MO"/>
        </w:rPr>
        <w:t>Şi din acelaşi document</w:t>
      </w:r>
      <w:r w:rsidRPr="00446F65">
        <w:rPr>
          <w:rStyle w:val="FootnoteReference"/>
          <w:rFonts w:ascii="Times New Roman" w:hAnsi="Times New Roman" w:cs="Times New Roman"/>
          <w:color w:val="000000"/>
          <w:sz w:val="26"/>
          <w:szCs w:val="26"/>
          <w:lang w:val="ro-MO"/>
        </w:rPr>
        <w:footnoteReference w:id="14"/>
      </w:r>
      <w:r w:rsidRPr="00446F65">
        <w:rPr>
          <w:rFonts w:ascii="Times New Roman" w:hAnsi="Times New Roman" w:cs="Times New Roman"/>
          <w:color w:val="000000"/>
          <w:sz w:val="26"/>
          <w:szCs w:val="26"/>
          <w:lang w:val="ro-MO"/>
        </w:rPr>
        <w:t xml:space="preserve">: </w:t>
      </w:r>
      <w:r w:rsidRPr="00446F65">
        <w:rPr>
          <w:rFonts w:ascii="Times New Roman" w:hAnsi="Times New Roman" w:cs="Times New Roman"/>
          <w:i/>
          <w:iCs/>
          <w:color w:val="000000"/>
          <w:sz w:val="26"/>
          <w:szCs w:val="26"/>
          <w:lang w:val="ro-MO"/>
        </w:rPr>
        <w:t xml:space="preserve">Cu toate acestea, având în vedere investiţiile necesare pentru accesul la bucla locală şi avantajele absolute de cost ale operatorului istoric ce rezultă din economiile de densitate şi de gamă, bariere înalte de intrare pe piaţa de acces cu ridicata la comunicații în bandă largă rămân, chiar şi în cazul reglementării accesului la bucla locală.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ANRCETI consideră că aceşti factori sunt aplicabili în contextul R. Moldova. Prin urmare se ştie că la această etapă de dezvoltare a pieţei din R. Moldova, barierele la intrare şi ieşire pe/de pe piaţa WCA sunt înalte. Cu toate acestea ar fi oportun să fie revizuită această concluzie, odată ce pe piaţă va fi disponibilă o gama completă de produse de acces la bucla locală.</w:t>
      </w:r>
    </w:p>
    <w:p w:rsidR="00157EB8" w:rsidRPr="00446F65" w:rsidRDefault="00567E76" w:rsidP="00317915">
      <w:pPr>
        <w:pStyle w:val="Heading5"/>
        <w:spacing w:line="240" w:lineRule="auto"/>
        <w:ind w:firstLine="567"/>
        <w:rPr>
          <w:rFonts w:ascii="Times New Roman" w:eastAsiaTheme="minorHAnsi" w:hAnsi="Times New Roman" w:cs="Times New Roman"/>
          <w:b/>
          <w:color w:val="000000"/>
          <w:sz w:val="26"/>
          <w:szCs w:val="26"/>
          <w:lang w:val="ro-MO"/>
        </w:rPr>
      </w:pPr>
      <w:bookmarkStart w:id="51" w:name="_Toc430854392"/>
      <w:bookmarkStart w:id="52" w:name="_Toc492907402"/>
      <w:r w:rsidRPr="00446F65">
        <w:rPr>
          <w:rFonts w:ascii="Times New Roman" w:eastAsiaTheme="minorHAnsi" w:hAnsi="Times New Roman" w:cs="Times New Roman"/>
          <w:b/>
          <w:color w:val="000000"/>
          <w:sz w:val="26"/>
          <w:szCs w:val="26"/>
          <w:lang w:val="ro-MO"/>
        </w:rPr>
        <w:lastRenderedPageBreak/>
        <w:t xml:space="preserve">3.4.3.2 </w:t>
      </w:r>
      <w:r w:rsidR="00157EB8" w:rsidRPr="00446F65">
        <w:rPr>
          <w:rFonts w:ascii="Times New Roman" w:eastAsiaTheme="minorHAnsi" w:hAnsi="Times New Roman" w:cs="Times New Roman"/>
          <w:b/>
          <w:bCs/>
          <w:iCs/>
          <w:color w:val="000000"/>
          <w:sz w:val="26"/>
          <w:szCs w:val="26"/>
          <w:lang w:val="ro-MO"/>
        </w:rPr>
        <w:t>Tendinţe spre concurenţă eficientă</w:t>
      </w:r>
      <w:bookmarkEnd w:id="51"/>
      <w:bookmarkEnd w:id="52"/>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Pe pieţele cu bariere înalte, există posibilitatea creării unei concurenţe în spatele acestor bariere, deşi nu pare să fie cazul pieței WCA. Reţelele de cablu şi buclele locale fără fir, încep să devină disponibile, însă amploarea acestora este foarte limitată şi ele nu oferă servicii de acces cu ridicata.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Deşi o cotă mare de piaţă nu este suficientă pentru identificarea unui furnizor ca având putere semnificativă, totuşi este puţin probabil ca un furnizor să fie dominant, fără a deţine o cotă de piaţă semnificativă.</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Aşa cum se precizează şi în Instrucţiunile CE, o cotă de piaţă mai mare de 50% este prin ea însăşi un indiciu al manifestării unei poziţii dominante pe piaţă.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Gradul de concentrare a pieţei este exemplificat de faptul că la sfârşitul anului 2014 cota veniturilor pe piaţa de acces cu amânuntul în bandă largă a Moldtelecom constituia 64,2%, iar la sfârşitul anului 2016 această pondere reprezintă 64,6% (Diagrama 6). De asemenea la sfârșitul anului 2014 cota abonaților Moldtelecom constituia 66,6%, iar la sfârșitul anului 2016 această pondere reprezintă 65,3% (Diagrama 2). Acestea indică asupra faptului că nu există o tendinţă către o concurenţă eficientă în spatele barierelor de intrare pe piaţă.</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color w:val="000000"/>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Concluzia Comisiei Europene în această privinţă este după cum urmează</w:t>
      </w:r>
      <w:r w:rsidRPr="00446F65">
        <w:rPr>
          <w:rStyle w:val="FootnoteReference"/>
          <w:rFonts w:ascii="Times New Roman" w:hAnsi="Times New Roman" w:cs="Times New Roman"/>
          <w:color w:val="000000"/>
          <w:sz w:val="26"/>
          <w:szCs w:val="26"/>
          <w:lang w:val="ro-MO"/>
        </w:rPr>
        <w:footnoteReference w:id="15"/>
      </w:r>
      <w:r w:rsidRPr="00446F65">
        <w:rPr>
          <w:rFonts w:ascii="Times New Roman" w:hAnsi="Times New Roman" w:cs="Times New Roman"/>
          <w:color w:val="000000"/>
          <w:sz w:val="26"/>
          <w:szCs w:val="26"/>
          <w:lang w:val="ro-MO"/>
        </w:rPr>
        <w:t xml:space="preserve">: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i/>
          <w:iCs/>
          <w:color w:val="000000"/>
          <w:sz w:val="26"/>
          <w:szCs w:val="26"/>
          <w:lang w:val="ro-MO"/>
        </w:rPr>
        <w:t xml:space="preserve">Experienţa în urma analizei pieţei şi procedurilor de notificare conform Articolului 7, denotă că asigurarea accesului la bucla locală într-un anumit stat membru, în îmbinare cu existenţa reţelelor alternative de acces în bandă largă, precum cablul, fibra optică şi accesul fără fir poate presupune că într-un număr limitat de state membre, piaţa accesului cu ridicata la comunicații în bandă largă poate tinde spre o concurenţă eficientă în spatele barierelor la intrare. Acesta ar putea fi cazul când ratele de penetrare în bandă largă şi de acces la bucla locală sunt foarte înalte şi când operatorii alternativi au început să furnizeze acces cu ridicata la comunicații în bandă largă în părţi mari ale ţării în concurenţă cu operatorul istoric, astfel aplicând o constrângere directă asupra puterii de piaţă a operatorului istoric la furnizarea serviciilor de acces cu ridicata.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Este clar că astfel de împrejurări nu sunt prezente pe piaţa din Republica Moldova şi nici nu ar putea să existe în viitorul previzibil. ANRCETI este prin urmare convinsă de faptul că la această etapă nu există o tendinţă spre o concurenţă eficientă pe piaţa analizată.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 xml:space="preserve">Concluzie: </w:t>
      </w:r>
      <w:r w:rsidRPr="00446F65">
        <w:rPr>
          <w:rFonts w:ascii="Times New Roman" w:hAnsi="Times New Roman" w:cs="Times New Roman"/>
          <w:sz w:val="26"/>
          <w:szCs w:val="26"/>
          <w:lang w:val="ro-MO"/>
        </w:rPr>
        <w:t xml:space="preserve">ANRCETI concluzionează că pe piaţa relevantă nu există tendinţe semnificative spre o piaţă concurenţială, ceea ce confirmă necesitatea reglementării </w:t>
      </w:r>
      <w:r w:rsidRPr="00446F65">
        <w:rPr>
          <w:rFonts w:ascii="Times New Roman" w:hAnsi="Times New Roman" w:cs="Times New Roman"/>
          <w:i/>
          <w:sz w:val="26"/>
          <w:szCs w:val="26"/>
          <w:lang w:val="ro-MO"/>
        </w:rPr>
        <w:t>ex-ante</w:t>
      </w:r>
      <w:r w:rsidRPr="00446F65">
        <w:rPr>
          <w:rFonts w:ascii="Times New Roman" w:hAnsi="Times New Roman" w:cs="Times New Roman"/>
          <w:sz w:val="26"/>
          <w:szCs w:val="26"/>
          <w:lang w:val="ro-MO"/>
        </w:rPr>
        <w:t xml:space="preserve"> a pieţei date.</w:t>
      </w:r>
    </w:p>
    <w:p w:rsidR="00157EB8" w:rsidRPr="00446F65" w:rsidRDefault="00567E76" w:rsidP="00317915">
      <w:pPr>
        <w:pStyle w:val="Heading5"/>
        <w:spacing w:line="240" w:lineRule="auto"/>
        <w:ind w:firstLine="720"/>
        <w:rPr>
          <w:rFonts w:ascii="Times New Roman" w:eastAsiaTheme="minorHAnsi" w:hAnsi="Times New Roman" w:cs="Times New Roman"/>
          <w:b/>
          <w:color w:val="000000"/>
          <w:sz w:val="26"/>
          <w:szCs w:val="26"/>
          <w:lang w:val="ro-MO"/>
        </w:rPr>
      </w:pPr>
      <w:bookmarkStart w:id="53" w:name="_Toc430854393"/>
      <w:bookmarkStart w:id="54" w:name="_Toc492907403"/>
      <w:r w:rsidRPr="00446F65">
        <w:rPr>
          <w:rFonts w:ascii="Times New Roman" w:eastAsiaTheme="minorHAnsi" w:hAnsi="Times New Roman" w:cs="Times New Roman"/>
          <w:b/>
          <w:color w:val="000000"/>
          <w:sz w:val="26"/>
          <w:szCs w:val="26"/>
          <w:lang w:val="ro-MO"/>
        </w:rPr>
        <w:t xml:space="preserve">3.4.3.3 </w:t>
      </w:r>
      <w:r w:rsidR="00157EB8" w:rsidRPr="00446F65">
        <w:rPr>
          <w:rStyle w:val="Heading5Char"/>
          <w:rFonts w:ascii="Times New Roman" w:hAnsi="Times New Roman" w:cs="Times New Roman"/>
          <w:b/>
          <w:sz w:val="26"/>
          <w:szCs w:val="26"/>
          <w:lang w:val="ro-MO"/>
        </w:rPr>
        <w:t xml:space="preserve"> </w:t>
      </w:r>
      <w:r w:rsidR="00157EB8" w:rsidRPr="00446F65">
        <w:rPr>
          <w:rFonts w:ascii="Times New Roman" w:eastAsiaTheme="minorHAnsi" w:hAnsi="Times New Roman" w:cs="Times New Roman"/>
          <w:b/>
          <w:color w:val="000000"/>
          <w:sz w:val="26"/>
          <w:szCs w:val="26"/>
          <w:lang w:val="ro-MO"/>
        </w:rPr>
        <w:t>Suficienţa aplicării prevederilor legislaţiei concurenţei</w:t>
      </w:r>
      <w:bookmarkEnd w:id="53"/>
      <w:bookmarkEnd w:id="54"/>
    </w:p>
    <w:p w:rsidR="00157EB8" w:rsidRPr="00446F65" w:rsidRDefault="00157EB8" w:rsidP="00317915">
      <w:pPr>
        <w:spacing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principal, legislația generală a concurenței se bazează pe instrumentul </w:t>
      </w:r>
      <w:r w:rsidRPr="00446F65">
        <w:rPr>
          <w:rFonts w:ascii="Times New Roman" w:hAnsi="Times New Roman" w:cs="Times New Roman"/>
          <w:i/>
          <w:sz w:val="26"/>
          <w:szCs w:val="26"/>
          <w:lang w:val="ro-MO"/>
        </w:rPr>
        <w:t>ex-post</w:t>
      </w:r>
      <w:r w:rsidRPr="00446F65">
        <w:rPr>
          <w:rFonts w:ascii="Times New Roman" w:hAnsi="Times New Roman" w:cs="Times New Roman"/>
          <w:sz w:val="26"/>
          <w:szCs w:val="26"/>
          <w:lang w:val="ro-MO"/>
        </w:rPr>
        <w:t xml:space="preserve"> de intervenție în cadrul piețelor. Aceasta presupune că dacă există o anumită reclamație sau sesizare privind comportamentul unui sau unor jucători care perturbează concurența, autoritatea concurenței analizează cazul și poate emite diferite decizii care să impună stoparea acțiunilor a căror caracter neloial se confirmă, să fie penalizat comportamentul neloial pe piață sau chiar să fie aplicate diferite măsuri corective, până la separarea companiilor în entități distincte.</w:t>
      </w:r>
    </w:p>
    <w:p w:rsidR="00157EB8" w:rsidRPr="00446F65" w:rsidRDefault="00157EB8" w:rsidP="00317915">
      <w:pPr>
        <w:spacing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Astfel, conform prevederilor art. 41 alin. (2) din Legea concurenţei nr. 183 din 11 iunie 2012, dacă Plenul Consiliului Concurenţei, acţionând ca urmare a unei plângeri sau din oficiu, </w:t>
      </w:r>
      <w:r w:rsidRPr="00446F65">
        <w:rPr>
          <w:rFonts w:ascii="Times New Roman" w:hAnsi="Times New Roman" w:cs="Times New Roman"/>
          <w:sz w:val="26"/>
          <w:szCs w:val="26"/>
          <w:lang w:val="ro-MO"/>
        </w:rPr>
        <w:lastRenderedPageBreak/>
        <w:t>constată o încălcare ale art. 5, 7, 9 sau 11, acesta solicită printr-o decizie întreprinderilor şi asociaţiilor de întreprinderi în cauză să înceteze respectiva încălcare. În acest scop, Plenul Consiliului Concurenţei le poate impune orice măsuri corective comportamentale sau structurale care sunt proporţionale cu încălcarea comisă şi sânt necesare pentru încetarea efectivă a încălcării.</w:t>
      </w:r>
    </w:p>
    <w:p w:rsidR="00157EB8" w:rsidRPr="00446F65" w:rsidRDefault="00157EB8" w:rsidP="00317915">
      <w:pPr>
        <w:spacing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Cazurile de acțiune ex-ante a autorităților din domeniul concurenței, inclusiv al Consiliului Concurenței în cazul Republicii Moldova sunt limitate la examinarea cazurilor de fuziune și concentrări a întreprinderilor. În asemenea cazuri, autoritatea concurenței examinează dacă noua entitate nu va produce o influență prea puternică pe piață și nu va denatura concurența și, dacă este cazul, blochează fuzionarea.</w:t>
      </w:r>
    </w:p>
    <w:p w:rsidR="00157EB8" w:rsidRPr="00446F65" w:rsidRDefault="00157EB8" w:rsidP="00317915">
      <w:pPr>
        <w:pStyle w:val="BodyText"/>
        <w:ind w:firstLine="720"/>
        <w:jc w:val="both"/>
        <w:rPr>
          <w:sz w:val="26"/>
          <w:szCs w:val="26"/>
          <w:lang w:val="ro-MO"/>
        </w:rPr>
      </w:pPr>
      <w:r w:rsidRPr="00446F65">
        <w:rPr>
          <w:sz w:val="26"/>
          <w:szCs w:val="26"/>
          <w:lang w:val="ro-MO"/>
        </w:rPr>
        <w:t xml:space="preserve">Motivele pentru care legislația sectorială specifică (Legea </w:t>
      </w:r>
      <w:r w:rsidR="000268FE">
        <w:rPr>
          <w:sz w:val="26"/>
          <w:szCs w:val="26"/>
          <w:lang w:val="ro-MO"/>
        </w:rPr>
        <w:t>241/2007</w:t>
      </w:r>
      <w:r w:rsidRPr="00446F65">
        <w:rPr>
          <w:sz w:val="26"/>
          <w:szCs w:val="26"/>
          <w:lang w:val="ro-MO"/>
        </w:rPr>
        <w:t>) prevede posibilitatea intervenției ex-ante sunt următoarele:</w:t>
      </w:r>
    </w:p>
    <w:p w:rsidR="00157EB8" w:rsidRPr="00446F65" w:rsidRDefault="00157EB8" w:rsidP="00317915">
      <w:pPr>
        <w:pStyle w:val="ListParagraph"/>
        <w:numPr>
          <w:ilvl w:val="0"/>
          <w:numId w:val="33"/>
        </w:numPr>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Sunt necesare intervenţii de reglementare frecvente şi în timp util. </w:t>
      </w:r>
    </w:p>
    <w:p w:rsidR="00157EB8" w:rsidRPr="00446F65" w:rsidRDefault="00157EB8" w:rsidP="00317915">
      <w:pPr>
        <w:spacing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Astfel, intervențiile ex-post au loc ulterior producerii fenomenelor de abuz de poziția dominantă pe piață. Analiza comportamentului pretins, efectuarea studiilor de piață, determinarea măsurilor necesare, aplicarea măsurilor și, ulterior, posibila contestare pe cale judiciară a deciziilor fac ca măsurile să fie aplicate chiar și peste câțiva ani după producerea sau începerea producerii comportamentului abuziv. În asemenea situație, chiar dacă în final măsurile au fost aplicate, acestea pot fi întârziate, deoarece concurența de pe piață deja a fost afectată iremediabil, îndeosebi pe piețele aflate în perioada de creștere la momentul producerii abuzului. Astfel, chiar dacă persoana care a produs abuzul este penalizată, aceasta nu poate ajuta concurenței să se revigoreze, având în vedere că sectorul comunicațiilor electronice se caracterizează printr-un grad sporit de investiții necesare, influența masivă a economiilor de scară și densitate, prezența unor costuri irecuperabile (</w:t>
      </w:r>
      <w:proofErr w:type="spellStart"/>
      <w:r w:rsidRPr="00317915">
        <w:rPr>
          <w:rFonts w:ascii="Times New Roman" w:hAnsi="Times New Roman" w:cs="Times New Roman"/>
          <w:i/>
          <w:sz w:val="26"/>
          <w:szCs w:val="26"/>
          <w:lang w:val="ro-MO"/>
        </w:rPr>
        <w:t>sunk</w:t>
      </w:r>
      <w:proofErr w:type="spellEnd"/>
      <w:r w:rsidRPr="00317915">
        <w:rPr>
          <w:rFonts w:ascii="Times New Roman" w:hAnsi="Times New Roman" w:cs="Times New Roman"/>
          <w:i/>
          <w:sz w:val="26"/>
          <w:szCs w:val="26"/>
          <w:lang w:val="ro-MO"/>
        </w:rPr>
        <w:t xml:space="preserve"> </w:t>
      </w:r>
      <w:proofErr w:type="spellStart"/>
      <w:r w:rsidRPr="00317915">
        <w:rPr>
          <w:rFonts w:ascii="Times New Roman" w:hAnsi="Times New Roman" w:cs="Times New Roman"/>
          <w:i/>
          <w:sz w:val="26"/>
          <w:szCs w:val="26"/>
          <w:lang w:val="ro-MO"/>
        </w:rPr>
        <w:t>costs</w:t>
      </w:r>
      <w:proofErr w:type="spellEnd"/>
      <w:r w:rsidRPr="00446F65">
        <w:rPr>
          <w:rFonts w:ascii="Times New Roman" w:hAnsi="Times New Roman" w:cs="Times New Roman"/>
          <w:sz w:val="26"/>
          <w:szCs w:val="26"/>
          <w:lang w:val="ro-MO"/>
        </w:rPr>
        <w:t xml:space="preserve">) înalte. </w:t>
      </w:r>
    </w:p>
    <w:p w:rsidR="00157EB8" w:rsidRPr="00446F65" w:rsidRDefault="00157EB8" w:rsidP="00317915">
      <w:pPr>
        <w:pStyle w:val="ListParagraph"/>
        <w:numPr>
          <w:ilvl w:val="0"/>
          <w:numId w:val="33"/>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Măsurile aplicate de autoritățile concurenței sunt în general diferite de cele aplicate de autoritățile sectoriale de reglementare care au funcții de intervenție ex-ante. Acestea sunt îndreptate nu atât spre penalizarea comportamentului neloial al întreprinderilor, cât spre împiedicarea aplicării puterii de piață în detrimentul concurenței. Reieșind din aceasta, autoritățile sectoriale utilizează impunerea de obligaţii specifice pe durata existenței puterii semnificative pe piață și controlul respectării lor. Aceste măsuri, spre exemplu, sunt: </w:t>
      </w:r>
    </w:p>
    <w:p w:rsidR="00157EB8" w:rsidRPr="00446F65" w:rsidRDefault="00157EB8" w:rsidP="00317915">
      <w:pPr>
        <w:pStyle w:val="ListParagraph"/>
        <w:numPr>
          <w:ilvl w:val="0"/>
          <w:numId w:val="21"/>
        </w:numPr>
        <w:spacing w:line="240" w:lineRule="auto"/>
        <w:ind w:left="0" w:firstLine="720"/>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oferirea accesului la diferite elemente de rețea și infrastructură și condițiile în care acesta este oferit; </w:t>
      </w:r>
    </w:p>
    <w:p w:rsidR="00157EB8" w:rsidRPr="00446F65" w:rsidRDefault="00157EB8" w:rsidP="00317915">
      <w:pPr>
        <w:pStyle w:val="ListParagraph"/>
        <w:numPr>
          <w:ilvl w:val="0"/>
          <w:numId w:val="21"/>
        </w:numPr>
        <w:spacing w:line="240" w:lineRule="auto"/>
        <w:ind w:left="0" w:firstLine="720"/>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orientarea la costuri a preţurilor și stabilirea mecanismelor metodologice pentru acestea, controlul tarifelor, </w:t>
      </w:r>
    </w:p>
    <w:p w:rsidR="00157EB8" w:rsidRPr="00446F65" w:rsidRDefault="00157EB8" w:rsidP="00317915">
      <w:pPr>
        <w:pStyle w:val="ListParagraph"/>
        <w:numPr>
          <w:ilvl w:val="0"/>
          <w:numId w:val="21"/>
        </w:numPr>
        <w:spacing w:line="240" w:lineRule="auto"/>
        <w:ind w:left="0" w:firstLine="720"/>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normele de evidenţă şi calcul al costurilor și de evidență contabilă pentru asigurarea transparenței furnizărilor; </w:t>
      </w:r>
    </w:p>
    <w:p w:rsidR="00157EB8" w:rsidRPr="00446F65" w:rsidRDefault="00157EB8" w:rsidP="00317915">
      <w:pPr>
        <w:pStyle w:val="ListParagraph"/>
        <w:numPr>
          <w:ilvl w:val="0"/>
          <w:numId w:val="21"/>
        </w:numPr>
        <w:spacing w:line="240" w:lineRule="auto"/>
        <w:ind w:left="0" w:firstLine="720"/>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asigurarea nediscriminării în legătură cu furnizarea accesului. </w:t>
      </w:r>
    </w:p>
    <w:p w:rsidR="00157EB8" w:rsidRPr="00446F65" w:rsidRDefault="00157EB8" w:rsidP="00317915">
      <w:pPr>
        <w:pStyle w:val="ListParagraph"/>
        <w:numPr>
          <w:ilvl w:val="0"/>
          <w:numId w:val="33"/>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Lipsa specializării autorității din domeniul concurenței. Acest factor îngreunează posibilitatea identificării în timp util a măsurilor corective necesare, impunerea și exercitarea controlului respectării măsurilor impuse. </w:t>
      </w:r>
    </w:p>
    <w:p w:rsidR="00157EB8" w:rsidRPr="00446F65" w:rsidRDefault="00157EB8" w:rsidP="00317915">
      <w:pPr>
        <w:pStyle w:val="ListParagraph"/>
        <w:numPr>
          <w:ilvl w:val="0"/>
          <w:numId w:val="33"/>
        </w:numPr>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Necesitatea stringentă de siguranţă juridică.</w:t>
      </w:r>
    </w:p>
    <w:p w:rsidR="00157EB8" w:rsidRPr="00446F65" w:rsidRDefault="00157EB8" w:rsidP="00317915">
      <w:pPr>
        <w:spacing w:after="0" w:line="240" w:lineRule="auto"/>
        <w:ind w:firstLine="720"/>
        <w:jc w:val="both"/>
        <w:rPr>
          <w:rFonts w:ascii="Times New Roman" w:hAnsi="Times New Roman" w:cs="Times New Roman"/>
          <w:sz w:val="26"/>
          <w:szCs w:val="26"/>
          <w:lang w:val="ro-MO"/>
        </w:rPr>
      </w:pPr>
    </w:p>
    <w:p w:rsidR="00157EB8" w:rsidRPr="00446F65" w:rsidRDefault="00157EB8" w:rsidP="00317915">
      <w:pPr>
        <w:tabs>
          <w:tab w:val="left" w:pos="720"/>
        </w:tabs>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sz w:val="26"/>
          <w:szCs w:val="26"/>
          <w:lang w:val="ro-MO"/>
        </w:rPr>
        <w:t xml:space="preserve">Motivele date fac ANRCETI să concluzioneze că aplicarea doar a mijloacelor legislației concurenței pentru rezolvarea problemelor legate de concurență pe piața relevantă a produsului nu este suficientă și este necesară reglementarea </w:t>
      </w:r>
      <w:r w:rsidRPr="00446F65">
        <w:rPr>
          <w:rFonts w:ascii="Times New Roman" w:hAnsi="Times New Roman" w:cs="Times New Roman"/>
          <w:i/>
          <w:sz w:val="26"/>
          <w:szCs w:val="26"/>
          <w:lang w:val="ro-MO"/>
        </w:rPr>
        <w:t>ex-ante</w:t>
      </w:r>
      <w:r w:rsidRPr="00446F65">
        <w:rPr>
          <w:rFonts w:ascii="Times New Roman" w:hAnsi="Times New Roman" w:cs="Times New Roman"/>
          <w:sz w:val="26"/>
          <w:szCs w:val="26"/>
          <w:lang w:val="ro-MO"/>
        </w:rPr>
        <w:t xml:space="preserve">. </w:t>
      </w:r>
      <w:r w:rsidRPr="00446F65">
        <w:rPr>
          <w:rFonts w:ascii="Times New Roman" w:hAnsi="Times New Roman" w:cs="Times New Roman"/>
          <w:color w:val="000000"/>
          <w:sz w:val="26"/>
          <w:szCs w:val="26"/>
          <w:lang w:val="ro-MO"/>
        </w:rPr>
        <w:t xml:space="preserve">ANRCETI notează că situaţia privind </w:t>
      </w:r>
      <w:r w:rsidRPr="00446F65">
        <w:rPr>
          <w:rFonts w:ascii="Times New Roman" w:hAnsi="Times New Roman" w:cs="Times New Roman"/>
          <w:color w:val="000000"/>
          <w:sz w:val="26"/>
          <w:szCs w:val="26"/>
          <w:lang w:val="ro-MO"/>
        </w:rPr>
        <w:lastRenderedPageBreak/>
        <w:t xml:space="preserve">insuficienţa instrumentarului legislaţiei generale a concurenţei este similară cu cea din Uniunea Europeană. Astfel Comisia Europeană deduce: </w:t>
      </w:r>
      <w:r w:rsidRPr="00446F65">
        <w:rPr>
          <w:rFonts w:ascii="Times New Roman" w:hAnsi="Times New Roman" w:cs="Times New Roman"/>
          <w:i/>
          <w:color w:val="000000"/>
          <w:sz w:val="26"/>
          <w:szCs w:val="26"/>
          <w:lang w:val="ro-MO"/>
        </w:rPr>
        <w:t>Legislaţia concurenţei nu ar fi suficientă pentru redresarea eşecului pieţei accesului la bucla locală, deoarece există cerinţe pentru intervenţia pe această piaţă (inclusiv necesitatea evidenţei detaliate, evaluării costurilor şi monitorizării termenilor şi condiţiilor de furnizare, inclusiv parametrilor tehnici)</w:t>
      </w:r>
      <w:r w:rsidRPr="00446F65">
        <w:rPr>
          <w:rFonts w:ascii="Times New Roman" w:hAnsi="Times New Roman" w:cs="Times New Roman"/>
          <w:color w:val="000000"/>
          <w:sz w:val="26"/>
          <w:szCs w:val="26"/>
          <w:lang w:val="ro-MO"/>
        </w:rPr>
        <w:t xml:space="preserve">. </w:t>
      </w:r>
    </w:p>
    <w:p w:rsidR="00157EB8" w:rsidRPr="00446F65" w:rsidRDefault="00157EB8" w:rsidP="00317915">
      <w:pPr>
        <w:tabs>
          <w:tab w:val="left" w:pos="720"/>
        </w:tabs>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b/>
          <w:color w:val="000000"/>
          <w:sz w:val="26"/>
          <w:szCs w:val="26"/>
          <w:lang w:val="ro-MO"/>
        </w:rPr>
        <w:t>Concluzie:</w:t>
      </w:r>
      <w:r w:rsidRPr="00446F65">
        <w:rPr>
          <w:rFonts w:ascii="Times New Roman" w:hAnsi="Times New Roman" w:cs="Times New Roman"/>
          <w:color w:val="000000"/>
          <w:sz w:val="26"/>
          <w:szCs w:val="26"/>
          <w:lang w:val="ro-MO"/>
        </w:rPr>
        <w:t xml:space="preserve"> În cadrul pieţei identificate, ANRCETI este de părere că există bariere înalte la intrarea pe piaţă, nu există nici o tendinţă către o concurenţă vizibilă în spatele acestor bariere, iar aplicarea doar a Legii nr. 183/2012 nu este suficientă pentru a rezolva aceste deficienţe de piaţă. Această piaţă este prin urmare susceptibilă reglementării preventive, iar ANRCETI intenţionează să efectueze o analiză detaliată a pieţei date.</w:t>
      </w:r>
    </w:p>
    <w:p w:rsidR="00157EB8" w:rsidRPr="00446F65" w:rsidRDefault="00157EB8" w:rsidP="00317915">
      <w:pPr>
        <w:tabs>
          <w:tab w:val="left" w:pos="851"/>
        </w:tabs>
        <w:autoSpaceDE w:val="0"/>
        <w:autoSpaceDN w:val="0"/>
        <w:adjustRightInd w:val="0"/>
        <w:spacing w:after="0" w:line="240" w:lineRule="auto"/>
        <w:ind w:firstLine="567"/>
        <w:jc w:val="both"/>
        <w:rPr>
          <w:rFonts w:ascii="Times New Roman" w:hAnsi="Times New Roman" w:cs="Times New Roman"/>
          <w:color w:val="000000"/>
          <w:sz w:val="26"/>
          <w:szCs w:val="26"/>
          <w:lang w:val="ro-MO"/>
        </w:rPr>
      </w:pPr>
    </w:p>
    <w:p w:rsidR="00157EB8" w:rsidRPr="00446F65" w:rsidRDefault="00D24185" w:rsidP="00317915">
      <w:pPr>
        <w:pStyle w:val="Heading4"/>
        <w:spacing w:line="240" w:lineRule="auto"/>
        <w:ind w:firstLine="720"/>
        <w:rPr>
          <w:rFonts w:eastAsiaTheme="minorHAnsi" w:cs="Times New Roman"/>
          <w:bCs w:val="0"/>
          <w:i w:val="0"/>
          <w:iCs w:val="0"/>
          <w:color w:val="000000"/>
          <w:szCs w:val="26"/>
          <w:lang w:val="ro-MO"/>
        </w:rPr>
      </w:pPr>
      <w:bookmarkStart w:id="55" w:name="_Toc430854394"/>
      <w:bookmarkStart w:id="56" w:name="_Toc492907404"/>
      <w:r w:rsidRPr="00446F65">
        <w:rPr>
          <w:rFonts w:eastAsiaTheme="minorHAnsi" w:cs="Times New Roman"/>
          <w:bCs w:val="0"/>
          <w:i w:val="0"/>
          <w:iCs w:val="0"/>
          <w:color w:val="000000"/>
          <w:szCs w:val="26"/>
          <w:lang w:val="ro-MO"/>
        </w:rPr>
        <w:t>3.</w:t>
      </w:r>
      <w:r w:rsidR="00036B8D" w:rsidRPr="00446F65">
        <w:rPr>
          <w:rFonts w:eastAsiaTheme="minorHAnsi" w:cs="Times New Roman"/>
          <w:bCs w:val="0"/>
          <w:i w:val="0"/>
          <w:iCs w:val="0"/>
          <w:color w:val="000000"/>
          <w:szCs w:val="26"/>
          <w:lang w:val="ro-MO"/>
        </w:rPr>
        <w:t>4</w:t>
      </w:r>
      <w:r w:rsidRPr="00446F65">
        <w:rPr>
          <w:rFonts w:eastAsiaTheme="minorHAnsi" w:cs="Times New Roman"/>
          <w:bCs w:val="0"/>
          <w:i w:val="0"/>
          <w:iCs w:val="0"/>
          <w:color w:val="000000"/>
          <w:szCs w:val="26"/>
          <w:lang w:val="ro-MO"/>
        </w:rPr>
        <w:t xml:space="preserve">.4 </w:t>
      </w:r>
      <w:r w:rsidR="00157EB8" w:rsidRPr="00446F65">
        <w:rPr>
          <w:rFonts w:eastAsiaTheme="minorHAnsi" w:cs="Times New Roman"/>
          <w:bCs w:val="0"/>
          <w:i w:val="0"/>
          <w:iCs w:val="0"/>
          <w:color w:val="000000"/>
          <w:szCs w:val="26"/>
          <w:lang w:val="ro-MO"/>
        </w:rPr>
        <w:t>Concluzii privind identificarea pieţei relevante</w:t>
      </w:r>
      <w:bookmarkEnd w:id="55"/>
      <w:bookmarkEnd w:id="56"/>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ANRCETI a aplicat Testul Monopolistului Ipotetic pentru a identifica limitele pieţei </w:t>
      </w:r>
      <w:r w:rsidR="00D24185" w:rsidRPr="00446F65">
        <w:rPr>
          <w:rFonts w:ascii="Times New Roman" w:hAnsi="Times New Roman" w:cs="Times New Roman"/>
          <w:color w:val="000000"/>
          <w:sz w:val="26"/>
          <w:szCs w:val="26"/>
          <w:lang w:val="ro-MO"/>
        </w:rPr>
        <w:t>WCA</w:t>
      </w:r>
      <w:r w:rsidRPr="00446F65">
        <w:rPr>
          <w:rFonts w:ascii="Times New Roman" w:hAnsi="Times New Roman" w:cs="Times New Roman"/>
          <w:color w:val="000000"/>
          <w:sz w:val="26"/>
          <w:szCs w:val="26"/>
          <w:lang w:val="ro-MO"/>
        </w:rPr>
        <w:t xml:space="preserve">. ANRCETI a aplicat, de asemenea, testul celor trei criterii pentru a testa dacă această piaţă este susceptibilă reglementării preventive.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b/>
          <w:i/>
          <w:iCs/>
          <w:color w:val="000000"/>
          <w:sz w:val="26"/>
          <w:szCs w:val="26"/>
          <w:lang w:val="ro-MO"/>
        </w:rPr>
      </w:pPr>
      <w:r w:rsidRPr="00446F65">
        <w:rPr>
          <w:rFonts w:ascii="Times New Roman" w:hAnsi="Times New Roman" w:cs="Times New Roman"/>
          <w:color w:val="000000"/>
          <w:sz w:val="26"/>
          <w:szCs w:val="26"/>
          <w:lang w:val="ro-MO"/>
        </w:rPr>
        <w:t>Prin urmare, ANRCETI consideră că următoarea piaţă este relevantă reglementării preventive:</w:t>
      </w:r>
      <w:r w:rsidRPr="00446F65">
        <w:rPr>
          <w:rFonts w:ascii="Times New Roman" w:hAnsi="Times New Roman" w:cs="Times New Roman"/>
          <w:b/>
          <w:i/>
          <w:iCs/>
          <w:color w:val="000000"/>
          <w:sz w:val="26"/>
          <w:szCs w:val="26"/>
          <w:lang w:val="ro-MO"/>
        </w:rPr>
        <w:t xml:space="preserve">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b/>
          <w:i/>
          <w:iCs/>
          <w:color w:val="000000"/>
          <w:sz w:val="26"/>
          <w:szCs w:val="26"/>
          <w:lang w:val="ro-MO"/>
        </w:rPr>
      </w:pPr>
      <w:r w:rsidRPr="00446F65">
        <w:rPr>
          <w:rFonts w:ascii="Times New Roman" w:hAnsi="Times New Roman" w:cs="Times New Roman"/>
          <w:b/>
          <w:i/>
          <w:iCs/>
          <w:color w:val="000000"/>
          <w:sz w:val="26"/>
          <w:szCs w:val="26"/>
          <w:lang w:val="ro-MO"/>
        </w:rPr>
        <w:t>Piaţa furnizării cu ridicata de servicii de acces central la puncte fixe pentru produse de larg consu</w:t>
      </w:r>
      <w:r w:rsidR="00D24185" w:rsidRPr="00446F65">
        <w:rPr>
          <w:rFonts w:ascii="Times New Roman" w:hAnsi="Times New Roman" w:cs="Times New Roman"/>
          <w:b/>
          <w:i/>
          <w:iCs/>
          <w:color w:val="000000"/>
          <w:sz w:val="26"/>
          <w:szCs w:val="26"/>
          <w:lang w:val="ro-MO"/>
        </w:rPr>
        <w:t>m (WCA)</w:t>
      </w:r>
      <w:r w:rsidRPr="00446F65">
        <w:rPr>
          <w:rFonts w:ascii="Times New Roman" w:hAnsi="Times New Roman" w:cs="Times New Roman"/>
          <w:b/>
          <w:i/>
          <w:iCs/>
          <w:color w:val="000000"/>
          <w:sz w:val="26"/>
          <w:szCs w:val="26"/>
          <w:lang w:val="ro-MO"/>
        </w:rPr>
        <w:t>.</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b/>
          <w:i/>
          <w:iCs/>
          <w:color w:val="000000"/>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Această piaţă include servicii de acces de tip</w:t>
      </w:r>
      <w:r w:rsidR="008513F6" w:rsidRPr="00446F65">
        <w:rPr>
          <w:rFonts w:ascii="Times New Roman" w:hAnsi="Times New Roman" w:cs="Times New Roman"/>
          <w:color w:val="000000"/>
          <w:sz w:val="26"/>
          <w:szCs w:val="26"/>
          <w:lang w:val="ro-MO"/>
        </w:rPr>
        <w:t xml:space="preserve"> </w:t>
      </w:r>
      <w:r w:rsidR="008513F6" w:rsidRPr="000268FE">
        <w:rPr>
          <w:rFonts w:ascii="Times New Roman" w:hAnsi="Times New Roman" w:cs="Times New Roman"/>
          <w:i/>
          <w:color w:val="000000"/>
          <w:sz w:val="26"/>
          <w:szCs w:val="26"/>
          <w:lang w:val="ro-MO"/>
        </w:rPr>
        <w:t>b</w:t>
      </w:r>
      <w:r w:rsidRPr="000268FE">
        <w:rPr>
          <w:rFonts w:ascii="Times New Roman" w:hAnsi="Times New Roman" w:cs="Times New Roman"/>
          <w:i/>
          <w:color w:val="000000"/>
          <w:sz w:val="26"/>
          <w:szCs w:val="26"/>
          <w:lang w:val="ro-MO"/>
        </w:rPr>
        <w:t xml:space="preserve">itstream </w:t>
      </w:r>
      <w:r w:rsidRPr="00446F65">
        <w:rPr>
          <w:rFonts w:ascii="Times New Roman" w:hAnsi="Times New Roman" w:cs="Times New Roman"/>
          <w:color w:val="000000"/>
          <w:sz w:val="26"/>
          <w:szCs w:val="26"/>
          <w:lang w:val="ro-MO"/>
        </w:rPr>
        <w:t xml:space="preserve">bazate pe rețele de cupru  și fibră optică. Limitele geografice ale acestei pieţe sunt teritoriul naţional. </w:t>
      </w:r>
    </w:p>
    <w:p w:rsidR="00157EB8" w:rsidRPr="00446F65" w:rsidRDefault="00157EB8" w:rsidP="00317915">
      <w:pPr>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În conformitate cu cerinţele Legii nr. 241/2007, această definiţie a pieţei poate fi subiect al revizuirii cel puţin o dată la doi ani. </w:t>
      </w:r>
    </w:p>
    <w:p w:rsidR="00157EB8" w:rsidRPr="00446F65" w:rsidRDefault="00157EB8" w:rsidP="00317915">
      <w:pPr>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În urma constatărilor acestei analize, ANRCETI poate lua decizia privind relevanţa reglementării ei </w:t>
      </w:r>
      <w:r w:rsidRPr="00446F65">
        <w:rPr>
          <w:rFonts w:ascii="Times New Roman" w:hAnsi="Times New Roman" w:cs="Times New Roman"/>
          <w:i/>
          <w:color w:val="000000"/>
          <w:sz w:val="26"/>
          <w:szCs w:val="26"/>
          <w:lang w:val="ro-MO"/>
        </w:rPr>
        <w:t>ex-ante</w:t>
      </w:r>
      <w:r w:rsidRPr="00446F65">
        <w:rPr>
          <w:rFonts w:ascii="Times New Roman" w:hAnsi="Times New Roman" w:cs="Times New Roman"/>
          <w:color w:val="000000"/>
          <w:sz w:val="26"/>
          <w:szCs w:val="26"/>
          <w:lang w:val="ro-MO"/>
        </w:rPr>
        <w:t xml:space="preserve">. Drept urmare, va fi necesară o analiză mai detaliată a acestei pieţe pentru a determina dacă există furnizori care deţin o putere semnificativă pe această piaţă şi, dacă va fi cazul, pentru a stabili obligaţii preventive speciale ce urmează a fi impuse unor astfel de furnizori. Analiza dată este prezentată în </w:t>
      </w:r>
      <w:r w:rsidR="008513F6" w:rsidRPr="00446F65">
        <w:rPr>
          <w:rFonts w:ascii="Times New Roman" w:hAnsi="Times New Roman" w:cs="Times New Roman"/>
          <w:color w:val="000000"/>
          <w:sz w:val="26"/>
          <w:szCs w:val="26"/>
          <w:lang w:val="ro-MO"/>
        </w:rPr>
        <w:t>compartimentul</w:t>
      </w:r>
      <w:r w:rsidRPr="00446F65">
        <w:rPr>
          <w:rFonts w:ascii="Times New Roman" w:hAnsi="Times New Roman" w:cs="Times New Roman"/>
          <w:color w:val="000000"/>
          <w:sz w:val="26"/>
          <w:szCs w:val="26"/>
          <w:lang w:val="ro-MO"/>
        </w:rPr>
        <w:t xml:space="preserve"> de mai jos.</w:t>
      </w:r>
    </w:p>
    <w:p w:rsidR="00157EB8" w:rsidRPr="00446F65" w:rsidRDefault="008513F6" w:rsidP="00317915">
      <w:pPr>
        <w:pStyle w:val="Heading2"/>
        <w:spacing w:line="240" w:lineRule="auto"/>
        <w:ind w:firstLine="720"/>
        <w:rPr>
          <w:rFonts w:eastAsiaTheme="minorHAnsi" w:cs="Times New Roman"/>
          <w:bCs w:val="0"/>
          <w:color w:val="000000"/>
          <w:sz w:val="26"/>
          <w:lang w:val="ro-MO"/>
        </w:rPr>
      </w:pPr>
      <w:bookmarkStart w:id="57" w:name="_Toc430854395"/>
      <w:bookmarkStart w:id="58" w:name="_Toc492907405"/>
      <w:r w:rsidRPr="00446F65">
        <w:rPr>
          <w:rFonts w:eastAsiaTheme="minorHAnsi" w:cs="Times New Roman"/>
          <w:bCs w:val="0"/>
          <w:color w:val="000000"/>
          <w:sz w:val="26"/>
          <w:lang w:val="ro-MO"/>
        </w:rPr>
        <w:t xml:space="preserve">3.5 </w:t>
      </w:r>
      <w:r w:rsidR="00157EB8" w:rsidRPr="00446F65">
        <w:rPr>
          <w:rFonts w:eastAsiaTheme="minorHAnsi" w:cs="Times New Roman"/>
          <w:bCs w:val="0"/>
          <w:color w:val="000000"/>
          <w:sz w:val="26"/>
          <w:lang w:val="ro-MO"/>
        </w:rPr>
        <w:t xml:space="preserve">Analiza pieţei </w:t>
      </w:r>
      <w:bookmarkEnd w:id="57"/>
      <w:r w:rsidRPr="00446F65">
        <w:rPr>
          <w:rFonts w:eastAsiaTheme="minorHAnsi" w:cs="Times New Roman"/>
          <w:bCs w:val="0"/>
          <w:color w:val="000000"/>
          <w:sz w:val="26"/>
          <w:lang w:val="ro-MO"/>
        </w:rPr>
        <w:t>furnizării cu ridicata de servicii de acces central la puncte fixe pentru produse de larg consum (WCA)</w:t>
      </w:r>
      <w:bookmarkEnd w:id="58"/>
    </w:p>
    <w:p w:rsidR="00157EB8" w:rsidRPr="00446F65" w:rsidRDefault="00157EB8" w:rsidP="00317915">
      <w:pPr>
        <w:pStyle w:val="Heading4"/>
        <w:spacing w:line="240" w:lineRule="auto"/>
        <w:ind w:firstLine="720"/>
        <w:rPr>
          <w:rFonts w:eastAsiaTheme="minorHAnsi" w:cs="Times New Roman"/>
          <w:bCs w:val="0"/>
          <w:i w:val="0"/>
          <w:iCs w:val="0"/>
          <w:color w:val="000000"/>
          <w:szCs w:val="26"/>
          <w:lang w:val="ro-MO"/>
        </w:rPr>
      </w:pPr>
      <w:bookmarkStart w:id="59" w:name="_Toc430854396"/>
      <w:bookmarkStart w:id="60" w:name="_Toc492907406"/>
      <w:r w:rsidRPr="00446F65">
        <w:rPr>
          <w:rFonts w:eastAsiaTheme="minorHAnsi" w:cs="Times New Roman"/>
          <w:bCs w:val="0"/>
          <w:i w:val="0"/>
          <w:iCs w:val="0"/>
          <w:color w:val="000000"/>
          <w:szCs w:val="26"/>
          <w:lang w:val="ro-MO"/>
        </w:rPr>
        <w:t>3.</w:t>
      </w:r>
      <w:r w:rsidR="00211571" w:rsidRPr="00446F65">
        <w:rPr>
          <w:rFonts w:eastAsiaTheme="minorHAnsi" w:cs="Times New Roman"/>
          <w:bCs w:val="0"/>
          <w:i w:val="0"/>
          <w:iCs w:val="0"/>
          <w:color w:val="000000"/>
          <w:szCs w:val="26"/>
          <w:lang w:val="ro-MO"/>
        </w:rPr>
        <w:t>5.</w:t>
      </w:r>
      <w:r w:rsidRPr="00446F65">
        <w:rPr>
          <w:rFonts w:eastAsiaTheme="minorHAnsi" w:cs="Times New Roman"/>
          <w:bCs w:val="0"/>
          <w:i w:val="0"/>
          <w:iCs w:val="0"/>
          <w:color w:val="000000"/>
          <w:szCs w:val="26"/>
          <w:lang w:val="ro-MO"/>
        </w:rPr>
        <w:t>1 Evaluarea cotei de piaţă</w:t>
      </w:r>
      <w:bookmarkEnd w:id="59"/>
      <w:bookmarkEnd w:id="60"/>
    </w:p>
    <w:p w:rsidR="00157EB8" w:rsidRPr="00446F65" w:rsidRDefault="005A0663"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C</w:t>
      </w:r>
      <w:r w:rsidR="00157EB8" w:rsidRPr="00446F65">
        <w:rPr>
          <w:rFonts w:ascii="Times New Roman" w:hAnsi="Times New Roman" w:cs="Times New Roman"/>
          <w:color w:val="000000"/>
          <w:sz w:val="26"/>
          <w:szCs w:val="26"/>
          <w:lang w:val="ro-MO"/>
        </w:rPr>
        <w:t>ota de piaţă este indicatorul principal al existenţei PSP. Astfel</w:t>
      </w:r>
      <w:r w:rsidRPr="00446F65">
        <w:rPr>
          <w:rFonts w:ascii="Times New Roman" w:hAnsi="Times New Roman" w:cs="Times New Roman"/>
          <w:color w:val="000000"/>
          <w:sz w:val="26"/>
          <w:szCs w:val="26"/>
          <w:lang w:val="ro-MO"/>
        </w:rPr>
        <w:t xml:space="preserve"> o</w:t>
      </w:r>
      <w:r w:rsidR="00157EB8" w:rsidRPr="00446F65">
        <w:rPr>
          <w:rFonts w:ascii="Times New Roman" w:hAnsi="Times New Roman" w:cs="Times New Roman"/>
          <w:color w:val="000000"/>
          <w:sz w:val="26"/>
          <w:szCs w:val="26"/>
          <w:lang w:val="ro-MO"/>
        </w:rPr>
        <w:t xml:space="preserve"> cota de piaţă </w:t>
      </w:r>
      <w:r w:rsidRPr="00446F65">
        <w:rPr>
          <w:rFonts w:ascii="Times New Roman" w:hAnsi="Times New Roman" w:cs="Times New Roman"/>
          <w:color w:val="000000"/>
          <w:sz w:val="26"/>
          <w:szCs w:val="26"/>
          <w:lang w:val="ro-MO"/>
        </w:rPr>
        <w:t>ridicată</w:t>
      </w:r>
      <w:r w:rsidR="00157EB8" w:rsidRPr="00446F65">
        <w:rPr>
          <w:rFonts w:ascii="Times New Roman" w:hAnsi="Times New Roman" w:cs="Times New Roman"/>
          <w:color w:val="000000"/>
          <w:sz w:val="26"/>
          <w:szCs w:val="26"/>
          <w:lang w:val="ro-MO"/>
        </w:rPr>
        <w:t xml:space="preserve"> este o condiţie necesară, nu însă şi suficientă pentru desemnarea unui furnizor individual cu putere semnificativă pe o anumită piaţă relevantă. Pentru a confirma prezenţa PSP, ANRCETI trebuie să efectueze analiza ulterioară a pieţei pentru a stabili dacă un furnizor poate acţiona în mare măsură independent de alţi furnizori.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color w:val="000000"/>
          <w:sz w:val="26"/>
          <w:szCs w:val="26"/>
          <w:lang w:val="ro-MO"/>
        </w:rPr>
        <w:t xml:space="preserve">Regulamentul prevede posibilitatea calculării cotei de piaţă în mai multe moduri, inclusiv conform venitului, numărului de abonaţi, capacităţii instalate, traficului. </w:t>
      </w:r>
      <w:r w:rsidRPr="00446F65">
        <w:rPr>
          <w:rFonts w:ascii="Times New Roman" w:hAnsi="Times New Roman" w:cs="Times New Roman"/>
          <w:sz w:val="26"/>
          <w:szCs w:val="26"/>
          <w:lang w:val="ro-MO"/>
        </w:rPr>
        <w:t>Deşi existenţa unei cote de piaţă ridicate nu este suficientă pentru a desemna un furnizor ca având putere semnificativă, este puţin probabil ca un furnizor să deţină putere semnificativă fără să aibă, în acelaşi timp, o cotă de piaţă ridicată.</w:t>
      </w:r>
    </w:p>
    <w:p w:rsidR="00157EB8" w:rsidRPr="00446F65" w:rsidRDefault="00157EB8" w:rsidP="00317915">
      <w:pPr>
        <w:tabs>
          <w:tab w:val="left" w:pos="720"/>
        </w:tabs>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cazul pieţei date ANRCETI a calculat cota de piaţă în funcţie de numărul de bucle locale de cupru și fibre optice și evoluția acestora. </w:t>
      </w:r>
    </w:p>
    <w:p w:rsidR="00157EB8" w:rsidRPr="00446F65" w:rsidRDefault="00A60E70" w:rsidP="00317915">
      <w:pPr>
        <w:tabs>
          <w:tab w:val="left" w:pos="426"/>
        </w:tabs>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sz w:val="26"/>
          <w:szCs w:val="26"/>
          <w:lang w:val="ro-MO"/>
        </w:rPr>
        <w:lastRenderedPageBreak/>
        <w:tab/>
      </w:r>
      <w:r w:rsidR="00157EB8" w:rsidRPr="00446F65">
        <w:rPr>
          <w:rFonts w:ascii="Times New Roman" w:hAnsi="Times New Roman" w:cs="Times New Roman"/>
          <w:sz w:val="26"/>
          <w:szCs w:val="26"/>
          <w:lang w:val="ro-MO"/>
        </w:rPr>
        <w:t xml:space="preserve">Conform datelor statistice prezentate de către furnizorii de reţele şi/sau servicii de comunicaţii electronice în anul 2016, cota de piaţă în funcţie de numărul de bucle locale (bazate pe cupru și pe fibră optică) ale furnizorului istoric reprezintă 89% (Diagrama </w:t>
      </w:r>
      <w:r w:rsidRPr="00446F65">
        <w:rPr>
          <w:rFonts w:ascii="Times New Roman" w:hAnsi="Times New Roman" w:cs="Times New Roman"/>
          <w:sz w:val="26"/>
          <w:szCs w:val="26"/>
          <w:lang w:val="ro-MO"/>
        </w:rPr>
        <w:t>8</w:t>
      </w:r>
      <w:r w:rsidR="00157EB8" w:rsidRPr="00446F65">
        <w:rPr>
          <w:rFonts w:ascii="Times New Roman" w:hAnsi="Times New Roman" w:cs="Times New Roman"/>
          <w:sz w:val="26"/>
          <w:szCs w:val="26"/>
          <w:lang w:val="ro-MO"/>
        </w:rPr>
        <w:t>).</w:t>
      </w:r>
    </w:p>
    <w:p w:rsidR="00157EB8" w:rsidRPr="00446F65" w:rsidRDefault="00157EB8" w:rsidP="00317915">
      <w:pPr>
        <w:tabs>
          <w:tab w:val="left" w:pos="720"/>
        </w:tabs>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Aceasta a făcut ANRCETI să considere că cota S.A. „Moldtelecom” în numărul de bucle locale de cupru şi fibră optică este foarte înaltă şi stabilă, </w:t>
      </w:r>
      <w:r w:rsidRPr="00446F65">
        <w:rPr>
          <w:rFonts w:ascii="Times New Roman" w:hAnsi="Times New Roman" w:cs="Times New Roman"/>
          <w:color w:val="000000"/>
          <w:sz w:val="26"/>
          <w:szCs w:val="26"/>
          <w:lang w:val="ro-MO"/>
        </w:rPr>
        <w:t xml:space="preserve">constatare suficientă pentru a presupune o putere semnificativă </w:t>
      </w:r>
      <w:r w:rsidRPr="00446F65">
        <w:rPr>
          <w:rFonts w:ascii="Times New Roman" w:hAnsi="Times New Roman" w:cs="Times New Roman"/>
          <w:sz w:val="26"/>
          <w:szCs w:val="26"/>
          <w:lang w:val="ro-MO"/>
        </w:rPr>
        <w:t xml:space="preserve">de piaţă a furnizorului dat. </w:t>
      </w:r>
    </w:p>
    <w:p w:rsidR="00157EB8" w:rsidRPr="00446F65" w:rsidRDefault="00157EB8" w:rsidP="00317915">
      <w:pPr>
        <w:tabs>
          <w:tab w:val="left" w:pos="720"/>
        </w:tabs>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De asemenea menționăm că și la nivelul pieței cu amănuntul </w:t>
      </w:r>
      <w:r w:rsidR="00A60E70" w:rsidRPr="00446F65">
        <w:rPr>
          <w:rFonts w:ascii="Times New Roman" w:hAnsi="Times New Roman" w:cs="Times New Roman"/>
          <w:sz w:val="26"/>
          <w:szCs w:val="26"/>
          <w:lang w:val="ro-MO"/>
        </w:rPr>
        <w:t>în</w:t>
      </w:r>
      <w:r w:rsidRPr="00446F65">
        <w:rPr>
          <w:rFonts w:ascii="Times New Roman" w:hAnsi="Times New Roman" w:cs="Times New Roman"/>
          <w:sz w:val="26"/>
          <w:szCs w:val="26"/>
          <w:lang w:val="ro-MO"/>
        </w:rPr>
        <w:t xml:space="preserve"> bandă largă Moldtelecom deține o cotă de piață semnificativă (în funcție de abonați – 65,3%, iar în funcție de venituri – 64,6%), față de StarNet care este clasat pe locul al doilea (cota de piață în funcție de abonați – 20%%, iar în funcție de venituri – 20,4%).</w:t>
      </w:r>
    </w:p>
    <w:p w:rsidR="00157EB8" w:rsidRPr="00446F65" w:rsidRDefault="00157EB8" w:rsidP="00317915">
      <w:pPr>
        <w:tabs>
          <w:tab w:val="left" w:pos="426"/>
        </w:tabs>
        <w:spacing w:after="0" w:line="240" w:lineRule="auto"/>
        <w:ind w:firstLine="567"/>
        <w:jc w:val="both"/>
        <w:rPr>
          <w:rFonts w:ascii="Times New Roman" w:hAnsi="Times New Roman" w:cs="Times New Roman"/>
          <w:color w:val="000000"/>
          <w:sz w:val="26"/>
          <w:szCs w:val="26"/>
          <w:lang w:val="ro-MO"/>
        </w:rPr>
      </w:pPr>
    </w:p>
    <w:p w:rsidR="00157EB8" w:rsidRPr="00446F65" w:rsidRDefault="00A60E70" w:rsidP="00317915">
      <w:pPr>
        <w:tabs>
          <w:tab w:val="left" w:pos="426"/>
        </w:tabs>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b/>
          <w:sz w:val="26"/>
          <w:szCs w:val="26"/>
          <w:lang w:val="ro-MO"/>
        </w:rPr>
        <w:tab/>
      </w:r>
      <w:r w:rsidR="00157EB8" w:rsidRPr="00446F65">
        <w:rPr>
          <w:rFonts w:ascii="Times New Roman" w:hAnsi="Times New Roman" w:cs="Times New Roman"/>
          <w:b/>
          <w:sz w:val="26"/>
          <w:szCs w:val="26"/>
          <w:lang w:val="ro-MO"/>
        </w:rPr>
        <w:t>Concluzia ANRCETI</w:t>
      </w:r>
      <w:r w:rsidR="00157EB8" w:rsidRPr="00446F65">
        <w:rPr>
          <w:rFonts w:ascii="Times New Roman" w:hAnsi="Times New Roman" w:cs="Times New Roman"/>
          <w:sz w:val="26"/>
          <w:szCs w:val="26"/>
          <w:lang w:val="ro-MO"/>
        </w:rPr>
        <w:t xml:space="preserve">: cota de piaţă a S.A.„Moldtelecom” pe piaţa de acces cu ridicata la comunicații în bandă largă </w:t>
      </w:r>
      <w:r w:rsidR="005A0663" w:rsidRPr="00446F65">
        <w:rPr>
          <w:rFonts w:ascii="Times New Roman" w:hAnsi="Times New Roman" w:cs="Times New Roman"/>
          <w:sz w:val="26"/>
          <w:szCs w:val="26"/>
          <w:lang w:val="ro-MO"/>
        </w:rPr>
        <w:t>este ridicată</w:t>
      </w:r>
      <w:r w:rsidR="00157EB8" w:rsidRPr="00446F65">
        <w:rPr>
          <w:rFonts w:ascii="Times New Roman" w:hAnsi="Times New Roman" w:cs="Times New Roman"/>
          <w:sz w:val="26"/>
          <w:szCs w:val="26"/>
          <w:lang w:val="ro-MO"/>
        </w:rPr>
        <w:t>, prin urmare există motive să fie presupusă existenţa puterii semnificative a furnizorului dat pe această piaţă.</w:t>
      </w:r>
    </w:p>
    <w:p w:rsidR="00157EB8" w:rsidRPr="00446F65" w:rsidRDefault="00157EB8" w:rsidP="00317915">
      <w:pPr>
        <w:tabs>
          <w:tab w:val="left" w:pos="426"/>
        </w:tabs>
        <w:spacing w:after="0" w:line="240" w:lineRule="auto"/>
        <w:ind w:firstLine="567"/>
        <w:jc w:val="both"/>
        <w:rPr>
          <w:rFonts w:ascii="Times New Roman" w:hAnsi="Times New Roman" w:cs="Times New Roman"/>
          <w:color w:val="000000"/>
          <w:sz w:val="26"/>
          <w:szCs w:val="26"/>
          <w:lang w:val="ro-MO"/>
        </w:rPr>
      </w:pPr>
    </w:p>
    <w:p w:rsidR="00157EB8" w:rsidRPr="00446F65" w:rsidRDefault="00A60E70" w:rsidP="00317915">
      <w:pPr>
        <w:pStyle w:val="Heading4"/>
        <w:spacing w:line="240" w:lineRule="auto"/>
        <w:ind w:firstLine="567"/>
        <w:rPr>
          <w:rFonts w:eastAsiaTheme="minorHAnsi" w:cs="Times New Roman"/>
          <w:i w:val="0"/>
          <w:color w:val="000000"/>
          <w:szCs w:val="26"/>
          <w:lang w:val="ro-MO"/>
        </w:rPr>
      </w:pPr>
      <w:bookmarkStart w:id="61" w:name="_Toc430854397"/>
      <w:bookmarkStart w:id="62" w:name="_Toc492907407"/>
      <w:r w:rsidRPr="00446F65">
        <w:rPr>
          <w:rFonts w:eastAsiaTheme="minorHAnsi" w:cs="Times New Roman"/>
          <w:i w:val="0"/>
          <w:color w:val="000000"/>
          <w:szCs w:val="26"/>
          <w:lang w:val="ro-MO"/>
        </w:rPr>
        <w:t xml:space="preserve">3.5.2 </w:t>
      </w:r>
      <w:r w:rsidR="00157EB8" w:rsidRPr="00446F65">
        <w:rPr>
          <w:rFonts w:eastAsiaTheme="minorHAnsi" w:cs="Times New Roman"/>
          <w:i w:val="0"/>
          <w:color w:val="000000"/>
          <w:szCs w:val="26"/>
          <w:lang w:val="ro-MO"/>
        </w:rPr>
        <w:t>Analiza ulterioară a pieţei</w:t>
      </w:r>
      <w:bookmarkEnd w:id="61"/>
      <w:bookmarkEnd w:id="62"/>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În cazul în care unul sau mai mulţi furnizori pe o piaţă sunt identificaţi cu o cotă </w:t>
      </w:r>
      <w:r w:rsidR="005A0663" w:rsidRPr="00446F65">
        <w:rPr>
          <w:rFonts w:ascii="Times New Roman" w:hAnsi="Times New Roman" w:cs="Times New Roman"/>
          <w:color w:val="000000"/>
          <w:sz w:val="26"/>
          <w:szCs w:val="26"/>
          <w:lang w:val="ro-MO"/>
        </w:rPr>
        <w:t>de piață ridicată</w:t>
      </w:r>
      <w:r w:rsidRPr="00446F65">
        <w:rPr>
          <w:rFonts w:ascii="Times New Roman" w:hAnsi="Times New Roman" w:cs="Times New Roman"/>
          <w:color w:val="000000"/>
          <w:sz w:val="26"/>
          <w:szCs w:val="26"/>
          <w:lang w:val="ro-MO"/>
        </w:rPr>
        <w:t xml:space="preserve">, atunci conform ipotezei acest furnizor are putere semnificativă pe piaţă. O listă de criterii ce pot fi folosite pentru a testa această ipoteză este prezentată în Anexa1 a Regulamentului. Aceste criterii sunt după cum urmează: </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Cota de piaţă şi stabilitatea acesteia; </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Dimensiunile furnizorului; </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Controlul infrastructurii greu de duplicate</w:t>
      </w:r>
      <w:r w:rsidRPr="00446F65">
        <w:rPr>
          <w:rFonts w:ascii="Times New Roman" w:hAnsi="Times New Roman" w:cs="Times New Roman"/>
          <w:bCs/>
          <w:color w:val="000000"/>
          <w:sz w:val="26"/>
          <w:szCs w:val="26"/>
          <w:lang w:val="ro-MO"/>
        </w:rPr>
        <w:t>;</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Avantajul sau superioritatea tehnologică; </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Puterea de contracarare a utilizatorilor</w:t>
      </w:r>
      <w:r w:rsidRPr="00446F65">
        <w:rPr>
          <w:rFonts w:ascii="Times New Roman" w:hAnsi="Times New Roman" w:cs="Times New Roman"/>
          <w:bCs/>
          <w:color w:val="000000"/>
          <w:sz w:val="26"/>
          <w:szCs w:val="26"/>
          <w:lang w:val="ro-MO"/>
        </w:rPr>
        <w:t>;</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Accesul la capital; </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Economiile de scară; </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Economiile de gamă de produse</w:t>
      </w:r>
      <w:r w:rsidRPr="00446F65">
        <w:rPr>
          <w:rFonts w:ascii="Times New Roman" w:hAnsi="Times New Roman" w:cs="Times New Roman"/>
          <w:bCs/>
          <w:color w:val="000000"/>
          <w:sz w:val="26"/>
          <w:szCs w:val="26"/>
          <w:lang w:val="ro-MO"/>
        </w:rPr>
        <w:t>;</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color w:val="000000"/>
          <w:sz w:val="26"/>
          <w:szCs w:val="26"/>
          <w:lang w:val="ro-MO"/>
        </w:rPr>
      </w:pPr>
      <w:r w:rsidRPr="00446F65">
        <w:rPr>
          <w:rFonts w:ascii="Times New Roman" w:hAnsi="Times New Roman" w:cs="Times New Roman"/>
          <w:sz w:val="26"/>
          <w:szCs w:val="26"/>
          <w:lang w:val="ro-MO"/>
        </w:rPr>
        <w:t>Economiile de densitate</w:t>
      </w:r>
      <w:r w:rsidRPr="00446F65">
        <w:rPr>
          <w:rFonts w:ascii="Times New Roman" w:hAnsi="Times New Roman" w:cs="Times New Roman"/>
          <w:bCs/>
          <w:sz w:val="26"/>
          <w:szCs w:val="26"/>
          <w:lang w:val="ro-MO"/>
        </w:rPr>
        <w:t>;</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Diversificarea produselor şi serviciilor; </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Integrarea pe verticală; </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Reţele bine dezvoltate de distribuţie şi de vânzări; </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Bariere în calea extinderii serviciilor; </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Absenţa potenţialei concurenţe; </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Numărul furnizorilor de pe piaţă; </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Circumstanţele care determină stabilirea preţurilor pe piaţă;</w:t>
      </w:r>
    </w:p>
    <w:p w:rsidR="00157EB8" w:rsidRPr="00446F65" w:rsidRDefault="00157EB8" w:rsidP="00317915">
      <w:pPr>
        <w:numPr>
          <w:ilvl w:val="0"/>
          <w:numId w:val="5"/>
        </w:numPr>
        <w:tabs>
          <w:tab w:val="left" w:pos="1560"/>
        </w:tabs>
        <w:autoSpaceDE w:val="0"/>
        <w:autoSpaceDN w:val="0"/>
        <w:adjustRightInd w:val="0"/>
        <w:spacing w:after="0" w:line="240" w:lineRule="auto"/>
        <w:ind w:firstLine="567"/>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Nivelul profitului.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Regulamentul prevede că lista criteriilor ce pot fi utilizate de către ANRCETI pentru analiza de piaţă nu este exhaustivă, iar alegerea lor depinde de caracteristicile pieţei relevante. Acele criterii pe care ANRCETI le consideră corespunzătoare trebuie analizate cumulativ pentru a evalua impactului lor colectiv asupra faptului dacă un furnizor are putere semnificativă pe piaţă. </w:t>
      </w:r>
    </w:p>
    <w:p w:rsidR="00157EB8" w:rsidRPr="00446F65" w:rsidRDefault="00157EB8" w:rsidP="00317915">
      <w:pPr>
        <w:pStyle w:val="Heading5"/>
        <w:spacing w:line="240" w:lineRule="auto"/>
        <w:ind w:firstLine="720"/>
        <w:rPr>
          <w:rFonts w:ascii="Times New Roman" w:eastAsiaTheme="minorHAnsi" w:hAnsi="Times New Roman" w:cs="Times New Roman"/>
          <w:b/>
          <w:color w:val="auto"/>
          <w:sz w:val="26"/>
          <w:szCs w:val="26"/>
          <w:lang w:val="ro-MO"/>
        </w:rPr>
      </w:pPr>
      <w:bookmarkStart w:id="63" w:name="_Toc430854398"/>
      <w:bookmarkStart w:id="64" w:name="_Toc492907408"/>
      <w:r w:rsidRPr="00446F65">
        <w:rPr>
          <w:rFonts w:ascii="Times New Roman" w:eastAsiaTheme="minorHAnsi" w:hAnsi="Times New Roman" w:cs="Times New Roman"/>
          <w:b/>
          <w:color w:val="auto"/>
          <w:sz w:val="26"/>
          <w:szCs w:val="26"/>
          <w:lang w:val="ro-MO"/>
        </w:rPr>
        <w:t>3.</w:t>
      </w:r>
      <w:r w:rsidR="005F39DD" w:rsidRPr="00446F65">
        <w:rPr>
          <w:rFonts w:ascii="Times New Roman" w:eastAsiaTheme="minorHAnsi" w:hAnsi="Times New Roman" w:cs="Times New Roman"/>
          <w:b/>
          <w:color w:val="auto"/>
          <w:sz w:val="26"/>
          <w:szCs w:val="26"/>
          <w:lang w:val="ro-MO"/>
        </w:rPr>
        <w:t>5.</w:t>
      </w:r>
      <w:r w:rsidRPr="00446F65">
        <w:rPr>
          <w:rFonts w:ascii="Times New Roman" w:eastAsiaTheme="minorHAnsi" w:hAnsi="Times New Roman" w:cs="Times New Roman"/>
          <w:b/>
          <w:color w:val="auto"/>
          <w:sz w:val="26"/>
          <w:szCs w:val="26"/>
          <w:lang w:val="ro-MO"/>
        </w:rPr>
        <w:t>2.1</w:t>
      </w:r>
      <w:r w:rsidR="005F39DD" w:rsidRPr="00446F65">
        <w:rPr>
          <w:rFonts w:ascii="Times New Roman" w:eastAsiaTheme="minorHAnsi" w:hAnsi="Times New Roman" w:cs="Times New Roman"/>
          <w:b/>
          <w:color w:val="auto"/>
          <w:sz w:val="26"/>
          <w:szCs w:val="26"/>
          <w:lang w:val="ro-MO"/>
        </w:rPr>
        <w:t xml:space="preserve"> </w:t>
      </w:r>
      <w:r w:rsidRPr="00446F65">
        <w:rPr>
          <w:rFonts w:ascii="Times New Roman" w:eastAsiaTheme="minorHAnsi" w:hAnsi="Times New Roman" w:cs="Times New Roman"/>
          <w:b/>
          <w:color w:val="auto"/>
          <w:sz w:val="26"/>
          <w:szCs w:val="26"/>
          <w:lang w:val="ro-MO"/>
        </w:rPr>
        <w:t>Cota de piaţă şi stabilitatea acesteia</w:t>
      </w:r>
      <w:bookmarkEnd w:id="63"/>
      <w:bookmarkEnd w:id="64"/>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Deşi o cotă mare de piaţă nu este suficientă pentru identificarea unui furnizor ca având putere semnificativă, totuşi este puţin probabil ca un furnizor să fie dominant, fără a deţine o cotă de piaţă semnificativă.</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lastRenderedPageBreak/>
        <w:t>Aşa cum se precizează şi în Instrucţiunile CE, o cotă de piaţă mai mare de 50% este prin ea însăşi un indiciu al manifestării unei poziţii dominante pe piaţă. De asemenea, în jurisprudenţa Curţii Europene de Justiţie s-a precizat că, în lipsa unor circumstanţe excepţionale, o cotă de piaţă mai mare de 50% instituie o prezumţie de dominanţă, sarcina probei că respectivul agent economic nu are poziţie dominantă pe o anumită piaţă aparţinând acestuia (</w:t>
      </w:r>
      <w:r w:rsidRPr="00274875">
        <w:rPr>
          <w:rFonts w:ascii="Times New Roman" w:hAnsi="Times New Roman" w:cs="Times New Roman"/>
          <w:i/>
          <w:sz w:val="26"/>
          <w:szCs w:val="26"/>
          <w:lang w:val="ro-MO"/>
        </w:rPr>
        <w:t xml:space="preserve">AKZO </w:t>
      </w:r>
      <w:proofErr w:type="spellStart"/>
      <w:r w:rsidRPr="00274875">
        <w:rPr>
          <w:rFonts w:ascii="Times New Roman" w:hAnsi="Times New Roman" w:cs="Times New Roman"/>
          <w:i/>
          <w:sz w:val="26"/>
          <w:szCs w:val="26"/>
          <w:lang w:val="ro-MO"/>
        </w:rPr>
        <w:t>ChemieBv</w:t>
      </w:r>
      <w:proofErr w:type="spellEnd"/>
      <w:r w:rsidRPr="00274875">
        <w:rPr>
          <w:rFonts w:ascii="Times New Roman" w:hAnsi="Times New Roman" w:cs="Times New Roman"/>
          <w:i/>
          <w:sz w:val="26"/>
          <w:szCs w:val="26"/>
          <w:lang w:val="ro-MO"/>
        </w:rPr>
        <w:t xml:space="preserve"> v. </w:t>
      </w:r>
      <w:proofErr w:type="spellStart"/>
      <w:r w:rsidRPr="00274875">
        <w:rPr>
          <w:rFonts w:ascii="Times New Roman" w:hAnsi="Times New Roman" w:cs="Times New Roman"/>
          <w:i/>
          <w:sz w:val="26"/>
          <w:szCs w:val="26"/>
          <w:lang w:val="ro-MO"/>
        </w:rPr>
        <w:t>Commission</w:t>
      </w:r>
      <w:proofErr w:type="spellEnd"/>
      <w:r w:rsidRPr="00274875">
        <w:rPr>
          <w:rFonts w:ascii="Times New Roman" w:hAnsi="Times New Roman" w:cs="Times New Roman"/>
          <w:i/>
          <w:sz w:val="26"/>
          <w:szCs w:val="26"/>
          <w:lang w:val="ro-MO"/>
        </w:rPr>
        <w:t xml:space="preserve">, Hoffmann-La Roche AG v. </w:t>
      </w:r>
      <w:proofErr w:type="spellStart"/>
      <w:r w:rsidRPr="00274875">
        <w:rPr>
          <w:rFonts w:ascii="Times New Roman" w:hAnsi="Times New Roman" w:cs="Times New Roman"/>
          <w:i/>
          <w:sz w:val="26"/>
          <w:szCs w:val="26"/>
          <w:lang w:val="ro-MO"/>
        </w:rPr>
        <w:t>Commission</w:t>
      </w:r>
      <w:proofErr w:type="spellEnd"/>
      <w:r w:rsidRPr="00446F65">
        <w:rPr>
          <w:rFonts w:ascii="Times New Roman" w:hAnsi="Times New Roman" w:cs="Times New Roman"/>
          <w:sz w:val="26"/>
          <w:szCs w:val="26"/>
          <w:lang w:val="ro-MO"/>
        </w:rPr>
        <w:t>). Chiar şi în cazul unei cote de piaţă mai mici de 50%, dar mai mare de 40%, sau chiar în cazul unor cote de piaţă mai mici de 40%, un furnizor poate fi considerat ca având poziţie dominantă, în acest caz analizându-se şi alţi factori (</w:t>
      </w:r>
      <w:r w:rsidRPr="00274875">
        <w:rPr>
          <w:rFonts w:ascii="Times New Roman" w:hAnsi="Times New Roman" w:cs="Times New Roman"/>
          <w:i/>
          <w:sz w:val="26"/>
          <w:szCs w:val="26"/>
          <w:lang w:val="ro-MO"/>
        </w:rPr>
        <w:t xml:space="preserve">United </w:t>
      </w:r>
      <w:proofErr w:type="spellStart"/>
      <w:r w:rsidRPr="00274875">
        <w:rPr>
          <w:rFonts w:ascii="Times New Roman" w:hAnsi="Times New Roman" w:cs="Times New Roman"/>
          <w:i/>
          <w:sz w:val="26"/>
          <w:szCs w:val="26"/>
          <w:lang w:val="ro-MO"/>
        </w:rPr>
        <w:t>Brands</w:t>
      </w:r>
      <w:proofErr w:type="spellEnd"/>
      <w:r w:rsidRPr="00274875">
        <w:rPr>
          <w:rFonts w:ascii="Times New Roman" w:hAnsi="Times New Roman" w:cs="Times New Roman"/>
          <w:i/>
          <w:sz w:val="26"/>
          <w:szCs w:val="26"/>
          <w:lang w:val="ro-MO"/>
        </w:rPr>
        <w:t xml:space="preserve"> v. </w:t>
      </w:r>
      <w:proofErr w:type="spellStart"/>
      <w:r w:rsidRPr="00274875">
        <w:rPr>
          <w:rFonts w:ascii="Times New Roman" w:hAnsi="Times New Roman" w:cs="Times New Roman"/>
          <w:i/>
          <w:sz w:val="26"/>
          <w:szCs w:val="26"/>
          <w:lang w:val="ro-MO"/>
        </w:rPr>
        <w:t>Commission</w:t>
      </w:r>
      <w:proofErr w:type="spellEnd"/>
      <w:r w:rsidRPr="00446F65">
        <w:rPr>
          <w:rFonts w:ascii="Times New Roman" w:hAnsi="Times New Roman" w:cs="Times New Roman"/>
          <w:sz w:val="26"/>
          <w:szCs w:val="26"/>
          <w:lang w:val="ro-MO"/>
        </w:rPr>
        <w:t>). Aceste circumstanţe excepţionale trebuie argumentate în mod clar şi neechivoc, pe baza unor dovezi care să nu poată fi contestate.</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Aşa cum precizează şi Instrucţiunile CE, faptul că furnizorul identificat ca având putere semnificativă pe piaţă înregistrează scăderi progresive ale cotei de piaţă, poate fi un indiciu al creşterii gradului de concurenţă pe respectiva piaţă, dar această evoluţie nu este suficientă pentru a considera că identificarea unui furnizor cu putere semnificativă pe piaţa analizată nu este justificată.</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Conform Legii concurenței nr. 183 din 11.07.2012(</w:t>
      </w:r>
      <w:r w:rsidRPr="00446F65">
        <w:rPr>
          <w:rFonts w:ascii="Times New Roman" w:hAnsi="Times New Roman" w:cs="Times New Roman"/>
          <w:i/>
          <w:iCs/>
          <w:sz w:val="26"/>
          <w:szCs w:val="26"/>
          <w:lang w:val="ro-MO"/>
        </w:rPr>
        <w:t xml:space="preserve">Monitorul Oficial al Republicii Moldova,2012, nr.193-197, art.667), </w:t>
      </w:r>
      <w:r w:rsidRPr="00446F65">
        <w:rPr>
          <w:rFonts w:ascii="Times New Roman" w:hAnsi="Times New Roman" w:cs="Times New Roman"/>
          <w:iCs/>
          <w:sz w:val="26"/>
          <w:szCs w:val="26"/>
          <w:lang w:val="ro-MO"/>
        </w:rPr>
        <w:t>în continuare denumită</w:t>
      </w:r>
      <w:r w:rsidRPr="00446F65">
        <w:rPr>
          <w:rFonts w:ascii="Times New Roman" w:hAnsi="Times New Roman" w:cs="Times New Roman"/>
          <w:i/>
          <w:iCs/>
          <w:sz w:val="26"/>
          <w:szCs w:val="26"/>
          <w:lang w:val="ro-MO"/>
        </w:rPr>
        <w:t xml:space="preserve"> </w:t>
      </w:r>
      <w:r w:rsidRPr="00446F65">
        <w:rPr>
          <w:rFonts w:ascii="Times New Roman" w:hAnsi="Times New Roman" w:cs="Times New Roman"/>
          <w:sz w:val="26"/>
          <w:szCs w:val="26"/>
          <w:lang w:val="ro-MO"/>
        </w:rPr>
        <w:t>Legea nr. 183/2012, în cazul unei cote de piață de peste 50%, se prezumă existența poziției dominante a întreprinderii, până la proba contrară.</w:t>
      </w:r>
    </w:p>
    <w:p w:rsidR="00157EB8" w:rsidRPr="00446F65" w:rsidRDefault="00157EB8" w:rsidP="00317915">
      <w:pPr>
        <w:autoSpaceDE w:val="0"/>
        <w:autoSpaceDN w:val="0"/>
        <w:adjustRightInd w:val="0"/>
        <w:spacing w:after="0" w:line="240" w:lineRule="auto"/>
        <w:ind w:firstLine="720"/>
        <w:jc w:val="both"/>
        <w:rPr>
          <w:rStyle w:val="hps"/>
          <w:rFonts w:ascii="Times New Roman" w:hAnsi="Times New Roman" w:cs="Times New Roman"/>
          <w:sz w:val="26"/>
          <w:szCs w:val="26"/>
          <w:lang w:val="ro-MO"/>
        </w:rPr>
      </w:pPr>
      <w:r w:rsidRPr="00446F65">
        <w:rPr>
          <w:rStyle w:val="hps"/>
          <w:rFonts w:ascii="Times New Roman" w:hAnsi="Times New Roman" w:cs="Times New Roman"/>
          <w:sz w:val="26"/>
          <w:szCs w:val="26"/>
          <w:lang w:val="ro-MO"/>
        </w:rPr>
        <w:t xml:space="preserve">Această piaţă este situată în aval faţă de accesul fizic acoperit de piaţa WLA. Astfel, serviciile de acces analizate ale furnizorilor depind de infrastructura proprie gestionată. Este de menționat că operatorul istoric Moldtelecom </w:t>
      </w:r>
      <w:r w:rsidRPr="00446F65">
        <w:rPr>
          <w:rFonts w:ascii="Times New Roman" w:hAnsi="Times New Roman" w:cs="Times New Roman"/>
          <w:sz w:val="26"/>
          <w:szCs w:val="26"/>
          <w:lang w:val="ro-MO"/>
        </w:rPr>
        <w:t>deţine o cotă de piaţă de 89% (fiind stabilă în ultimii ani) pe piaţa furnizării cu ridicata de servicii de acces local la puncte fixe</w:t>
      </w:r>
      <w:r w:rsidRPr="00446F65" w:rsidDel="003A155F">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(bucla locală de cupru şi optice), depăşind cu mult al doilea furnizor ca mărime, StarNet, care are o cotă de piaţă de cca 8%. Ceilalţi furnizori împreună deţin o cotă de aproape 3%</w:t>
      </w:r>
      <w:r w:rsidR="005F39DD" w:rsidRPr="00446F65">
        <w:rPr>
          <w:rFonts w:ascii="Times New Roman" w:hAnsi="Times New Roman" w:cs="Times New Roman"/>
          <w:sz w:val="26"/>
          <w:szCs w:val="26"/>
          <w:lang w:val="ro-MO"/>
        </w:rPr>
        <w:t xml:space="preserve"> (Diagrama 8)</w:t>
      </w:r>
      <w:r w:rsidRPr="00446F65">
        <w:rPr>
          <w:rStyle w:val="hps"/>
          <w:rFonts w:ascii="Times New Roman" w:hAnsi="Times New Roman" w:cs="Times New Roman"/>
          <w:sz w:val="26"/>
          <w:szCs w:val="26"/>
          <w:lang w:val="ro-MO"/>
        </w:rPr>
        <w:t xml:space="preserve">. Astfel, acesta are capacitate sporită de a oferi servicii cu ridicata de tip </w:t>
      </w:r>
      <w:proofErr w:type="spellStart"/>
      <w:r w:rsidRPr="00446F65">
        <w:rPr>
          <w:rStyle w:val="hps"/>
          <w:rFonts w:ascii="Times New Roman" w:hAnsi="Times New Roman" w:cs="Times New Roman"/>
          <w:sz w:val="26"/>
          <w:szCs w:val="26"/>
          <w:lang w:val="ro-MO"/>
        </w:rPr>
        <w:t>bitsream</w:t>
      </w:r>
      <w:proofErr w:type="spellEnd"/>
      <w:r w:rsidRPr="00446F65">
        <w:rPr>
          <w:rStyle w:val="hps"/>
          <w:rFonts w:ascii="Times New Roman" w:hAnsi="Times New Roman" w:cs="Times New Roman"/>
          <w:sz w:val="26"/>
          <w:szCs w:val="26"/>
          <w:lang w:val="ro-MO"/>
        </w:rPr>
        <w:t xml:space="preserve"> bazate pe tehnologiile xDSL sau FTTx.</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Astfel, deşi este de aşteptat ca, în orizontul de timp al analizei de piaţă, cotele de piaţă înregistrate de către furnizorii de reţele alternative să continue să crească, din punct de vedere prospectiv, ANRCETI consideră că cota de piaţă a Moldtelecom s-ar putea stabiliza la circa 85%.</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color w:val="000000"/>
          <w:sz w:val="26"/>
          <w:szCs w:val="26"/>
          <w:lang w:val="ro-MO"/>
        </w:rPr>
        <w:t xml:space="preserve">În ceea ce priveşte cota de piaţă a Moldtelecom pe piaţa serviciilor cu amănuntul de acces în bandă largă putem menţiona că este de asemenea foarte înaltă, aceasta fiind în ultimii 3 ani (2014-2016) de 65-66% în funcție de abonați și 63-64% în funcție de venituri.  </w:t>
      </w:r>
    </w:p>
    <w:p w:rsidR="00157EB8" w:rsidRPr="00446F65" w:rsidRDefault="00157EB8" w:rsidP="00317915">
      <w:pPr>
        <w:tabs>
          <w:tab w:val="left" w:pos="426"/>
        </w:tabs>
        <w:spacing w:after="0" w:line="240" w:lineRule="auto"/>
        <w:ind w:firstLine="567"/>
        <w:jc w:val="both"/>
        <w:rPr>
          <w:rFonts w:ascii="Times New Roman" w:hAnsi="Times New Roman" w:cs="Times New Roman"/>
          <w:b/>
          <w:sz w:val="26"/>
          <w:szCs w:val="26"/>
          <w:lang w:val="ro-MO"/>
        </w:rPr>
      </w:pPr>
    </w:p>
    <w:p w:rsidR="00157EB8" w:rsidRPr="00446F65" w:rsidRDefault="00157EB8" w:rsidP="00317915">
      <w:pPr>
        <w:tabs>
          <w:tab w:val="left" w:pos="720"/>
        </w:tabs>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Concluzie:</w:t>
      </w:r>
      <w:r w:rsidRPr="00446F65">
        <w:rPr>
          <w:rFonts w:ascii="Times New Roman" w:hAnsi="Times New Roman" w:cs="Times New Roman"/>
          <w:sz w:val="26"/>
          <w:szCs w:val="26"/>
          <w:lang w:val="ro-MO"/>
        </w:rPr>
        <w:t xml:space="preserve"> Cotele înalte de piață atât pe piața cu ridicata analizată cât și pe piața cu amănuntul de bandă largă, cât și stabilitatea acestora în timp sunt indicii extrem de importante asupra puterii semnificative a Moldtelecom pe piaţa dată.</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noProof/>
          <w:sz w:val="26"/>
          <w:szCs w:val="26"/>
          <w:lang w:val="ro-MO"/>
        </w:rPr>
        <w:t xml:space="preserve"> </w:t>
      </w:r>
      <w:r w:rsidRPr="00446F65">
        <w:rPr>
          <w:rFonts w:ascii="Times New Roman" w:hAnsi="Times New Roman" w:cs="Times New Roman"/>
          <w:sz w:val="26"/>
          <w:szCs w:val="26"/>
          <w:lang w:val="ro-MO"/>
        </w:rPr>
        <w:t>Totodată, este important de analizat în ce măsură existenţa unor alţi factori poate limita posibilitatea unui furnizor de a se comporta în mod independent faţă de clienţii, concurenţii şi, respectiv, faţă de utilizatorii săi finali. Prin urmare, ANRCETI a luat în considerare şi alte criterii în vederea determinării puterii semnificative pe piaţă, analizate în cele ce urmează.</w:t>
      </w:r>
    </w:p>
    <w:p w:rsidR="00157EB8" w:rsidRPr="00446F65" w:rsidRDefault="005F39DD" w:rsidP="00317915">
      <w:pPr>
        <w:pStyle w:val="Heading5"/>
        <w:spacing w:line="240" w:lineRule="auto"/>
        <w:ind w:firstLine="720"/>
        <w:rPr>
          <w:rFonts w:ascii="Times New Roman" w:eastAsiaTheme="minorHAnsi" w:hAnsi="Times New Roman" w:cs="Times New Roman"/>
          <w:b/>
          <w:color w:val="auto"/>
          <w:sz w:val="26"/>
          <w:szCs w:val="26"/>
          <w:lang w:val="ro-MO"/>
        </w:rPr>
      </w:pPr>
      <w:bookmarkStart w:id="65" w:name="_Toc430854399"/>
      <w:bookmarkStart w:id="66" w:name="_Toc492907409"/>
      <w:r w:rsidRPr="00446F65">
        <w:rPr>
          <w:rFonts w:ascii="Times New Roman" w:eastAsiaTheme="minorHAnsi" w:hAnsi="Times New Roman" w:cs="Times New Roman"/>
          <w:b/>
          <w:color w:val="auto"/>
          <w:sz w:val="26"/>
          <w:szCs w:val="26"/>
          <w:lang w:val="ro-MO"/>
        </w:rPr>
        <w:t xml:space="preserve">3.5.2.2 </w:t>
      </w:r>
      <w:r w:rsidR="00157EB8" w:rsidRPr="00446F65">
        <w:rPr>
          <w:rFonts w:ascii="Times New Roman" w:eastAsiaTheme="minorHAnsi" w:hAnsi="Times New Roman" w:cs="Times New Roman"/>
          <w:b/>
          <w:color w:val="auto"/>
          <w:sz w:val="26"/>
          <w:szCs w:val="26"/>
          <w:lang w:val="ro-MO"/>
        </w:rPr>
        <w:t>Dimensiunea Furnizorului şi Controlul infrastructurii greu de duplicat</w:t>
      </w:r>
      <w:bookmarkEnd w:id="65"/>
      <w:bookmarkEnd w:id="66"/>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Furnizorii alternativi, concurenţi ai Moldtelecom pe piaţa dată utilizează ca tehnologii de acces fibra optică şi un procent neesenţial cablu coaxial. De asemenea, furnizorii prezenţi pe piaţă, </w:t>
      </w:r>
      <w:r w:rsidRPr="00446F65">
        <w:rPr>
          <w:rFonts w:ascii="Times New Roman" w:hAnsi="Times New Roman" w:cs="Times New Roman"/>
          <w:sz w:val="26"/>
          <w:szCs w:val="26"/>
          <w:lang w:val="ro-MO"/>
        </w:rPr>
        <w:lastRenderedPageBreak/>
        <w:t>cu excepţia unui număr mic de furnizori care folosesc doar accesul necondiţionat la bucla locală, au investit în reţele de acces şi sunt complet integraţi pe verticală.</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Moldtelecom foloseşte reţeaua de cupru, iar pentru clienţii în principal noi şi persoanele juridice mari, reţeaua de fibră optică.</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Moldtelecom utilizează predominant tehnologia DSL, şi, în ultima perioadă, tehnologia VDSL prin extinderea reţelei de fibră optică (FTTH/FTTC/FTTN/FTTB). StarNet este următorul furnizor după reţeaua de fibră optică, iar cel de-al treilea furnizor este Sun Communications care utilizează cablul coaxial şi UTP, precum şi fibra optică.</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Cu toate că obligaţia de a furniza acces necondiţionat la bucla locală a fost impusă </w:t>
      </w:r>
      <w:r w:rsidR="005F39DD" w:rsidRPr="00446F65">
        <w:rPr>
          <w:rFonts w:ascii="Times New Roman" w:hAnsi="Times New Roman" w:cs="Times New Roman"/>
          <w:sz w:val="26"/>
          <w:szCs w:val="26"/>
          <w:lang w:val="ro-MO"/>
        </w:rPr>
        <w:t xml:space="preserve">în sarcina </w:t>
      </w:r>
      <w:r w:rsidRPr="00446F65">
        <w:rPr>
          <w:rFonts w:ascii="Times New Roman" w:hAnsi="Times New Roman" w:cs="Times New Roman"/>
          <w:sz w:val="26"/>
          <w:szCs w:val="26"/>
          <w:lang w:val="ro-MO"/>
        </w:rPr>
        <w:t xml:space="preserve">Moldtelecom încă la începutul anului 2011, numărul de servicii de acces la bucla locală furnizate (numărul abonaților deserviți prin tehnologia xDSL – bazată pe cupru) s-a redus de la 48% în 2012 la 36% în anul 2016, iar numărul redus de astfel de servicii achiziţionate reflectă o oportunitate de afaceri mai puţin atractivă.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Totodată, din analiza comportamentului de piaţă al principalilor concurenţi ai Moldtelecom - Star</w:t>
      </w:r>
      <w:r w:rsidR="005F39DD" w:rsidRPr="00446F65">
        <w:rPr>
          <w:rFonts w:ascii="Times New Roman" w:hAnsi="Times New Roman" w:cs="Times New Roman"/>
          <w:sz w:val="26"/>
          <w:szCs w:val="26"/>
          <w:lang w:val="ro-MO"/>
        </w:rPr>
        <w:t>N</w:t>
      </w:r>
      <w:r w:rsidRPr="00446F65">
        <w:rPr>
          <w:rFonts w:ascii="Times New Roman" w:hAnsi="Times New Roman" w:cs="Times New Roman"/>
          <w:sz w:val="26"/>
          <w:szCs w:val="26"/>
          <w:lang w:val="ro-MO"/>
        </w:rPr>
        <w:t>et, Sun Communications</w:t>
      </w:r>
      <w:r w:rsidR="005F39DD"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 xml:space="preserve">– a rezultat că aceştia urmăresc mai degrabă să-şi extindă reţeaua de acces prin intermediul tehnologiilor FTTx sau prin cablu coaxial, decât să-şi dezvolte reţeaua pe baza accesului necondiţionat la bucla locală.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ceea ce priveşte acoperirea reţelelor, totuşi, Moldtelecom deţine reţeaua cu cea mai mare acoperire la nivel naţional, fiind prezent aproape în toate localităţile în timp ce reţeaua concurenţilor acestuia este concentrată în principal în zonele urbane, unde există o cerere mare a utilizatorilor finali pentru servicii de acces la Internet în bandă largă.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În zonele rurale, unde există o cerere mai redusă a utilizatorilor finali pentru servicii de acces la Internet în bandă largă, reţeaua de acces nu a fost modernizată în totalitate, şi, în consecinţă, există o cerere scăzută pentru accesul necondiţionat la bucla locală şi respectiv un interes mai redus din partea operatorilor alternativi de a face investiţii în aceste zone.</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Prin urmare, considerăm că acoperirea reţelei Moldtelecom în zonele rurale constituie un avantaj semnificativ pentru aceasta în ceea ce priveşte furnizarea serviciilor în bandă largă. În plus, c</w:t>
      </w:r>
      <w:r w:rsidRPr="00446F65">
        <w:rPr>
          <w:rFonts w:ascii="Times New Roman" w:hAnsi="Times New Roman" w:cs="Times New Roman"/>
          <w:color w:val="000000"/>
          <w:sz w:val="26"/>
          <w:szCs w:val="26"/>
          <w:lang w:val="ro-MO"/>
        </w:rPr>
        <w:t xml:space="preserve">u cât este mai mare furnizorul, cu atât mai greu este pentru concurenţii acestuia să-i schimbe poziţia de PSP. Respectiv aceşti doi indicatori fortifică ipoteza de PSP creată de cota de piaţă </w:t>
      </w:r>
      <w:r w:rsidR="005A0663" w:rsidRPr="00446F65">
        <w:rPr>
          <w:rFonts w:ascii="Times New Roman" w:hAnsi="Times New Roman" w:cs="Times New Roman"/>
          <w:color w:val="000000"/>
          <w:sz w:val="26"/>
          <w:szCs w:val="26"/>
          <w:lang w:val="ro-MO"/>
        </w:rPr>
        <w:t>ridicată</w:t>
      </w:r>
      <w:r w:rsidRPr="00446F65">
        <w:rPr>
          <w:rFonts w:ascii="Times New Roman" w:hAnsi="Times New Roman" w:cs="Times New Roman"/>
          <w:color w:val="000000"/>
          <w:sz w:val="26"/>
          <w:szCs w:val="26"/>
          <w:lang w:val="ro-MO"/>
        </w:rPr>
        <w:t xml:space="preserve"> a Moldtelecom.</w:t>
      </w:r>
    </w:p>
    <w:p w:rsidR="00157EB8" w:rsidRPr="00446F65" w:rsidRDefault="00D91F53" w:rsidP="00317915">
      <w:pPr>
        <w:pStyle w:val="Heading5"/>
        <w:spacing w:line="240" w:lineRule="auto"/>
        <w:ind w:firstLine="567"/>
        <w:rPr>
          <w:rFonts w:ascii="Times New Roman" w:eastAsiaTheme="minorHAnsi" w:hAnsi="Times New Roman" w:cs="Times New Roman"/>
          <w:b/>
          <w:color w:val="auto"/>
          <w:sz w:val="26"/>
          <w:szCs w:val="26"/>
          <w:lang w:val="ro-MO"/>
        </w:rPr>
      </w:pPr>
      <w:bookmarkStart w:id="67" w:name="_Toc430854400"/>
      <w:bookmarkStart w:id="68" w:name="_Toc492907410"/>
      <w:r w:rsidRPr="00446F65">
        <w:rPr>
          <w:rFonts w:ascii="Times New Roman" w:eastAsiaTheme="minorHAnsi" w:hAnsi="Times New Roman" w:cs="Times New Roman"/>
          <w:b/>
          <w:color w:val="auto"/>
          <w:sz w:val="26"/>
          <w:szCs w:val="26"/>
          <w:lang w:val="ro-MO"/>
        </w:rPr>
        <w:t xml:space="preserve">3.5.2.3 </w:t>
      </w:r>
      <w:r w:rsidR="00157EB8" w:rsidRPr="00446F65">
        <w:rPr>
          <w:rFonts w:ascii="Times New Roman" w:eastAsiaTheme="minorHAnsi" w:hAnsi="Times New Roman" w:cs="Times New Roman"/>
          <w:b/>
          <w:color w:val="auto"/>
          <w:sz w:val="26"/>
          <w:szCs w:val="26"/>
          <w:lang w:val="ro-MO"/>
        </w:rPr>
        <w:t>Economiile de scară</w:t>
      </w:r>
      <w:bookmarkEnd w:id="67"/>
      <w:bookmarkEnd w:id="68"/>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Furnizorii mai mari au avantajul de a fi în stare să repartizeze costurile lor fixe unui număr mai mare de servicii, prin urmare reducând costurile pe unitate, comparativ cu concurenţii mai mici. Ei ar putea de asemenea procura elemente esenţiale cum ar fi echipamente de reţea şi software în condiţii preferenţiale, deoarece pot beneficia de reduceri la volum.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În Republica Moldova, Moldtelecom are, fără îndoială, economii de scară în comparaţie cu concurenţii din reţeaua fixă, deoarece are o cotă de piaţă de circa 89%. Cu toate acestea, cota de piaţă a Moldtelecom pe piaţa generală de comunicaţii electronice în funcţie de venituri este de circa 27,9% - un nivel comparabil mai mic decât principalul său concurent, Orange Moldova (36%).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Impor</w:t>
      </w:r>
      <w:r w:rsidR="00D91F53" w:rsidRPr="00446F65">
        <w:rPr>
          <w:rFonts w:ascii="Times New Roman" w:hAnsi="Times New Roman" w:cs="Times New Roman"/>
          <w:color w:val="000000"/>
          <w:sz w:val="26"/>
          <w:szCs w:val="26"/>
          <w:lang w:val="ro-MO"/>
        </w:rPr>
        <w:t>tanţa economiilor de scară ale Moldtelecom</w:t>
      </w:r>
      <w:r w:rsidRPr="00446F65">
        <w:rPr>
          <w:rFonts w:ascii="Times New Roman" w:hAnsi="Times New Roman" w:cs="Times New Roman"/>
          <w:color w:val="000000"/>
          <w:sz w:val="26"/>
          <w:szCs w:val="26"/>
          <w:lang w:val="ro-MO"/>
        </w:rPr>
        <w:t xml:space="preserve"> este una mixtă. În ce priveşte costurile asociate doar cu reţeaua de telefonie fixă, Moldtelecom într-adevăr se bucură de economii de scară în comparaţie cu concurenţii săi. </w:t>
      </w:r>
    </w:p>
    <w:p w:rsidR="00157EB8" w:rsidRPr="00446F65" w:rsidRDefault="00157EB8" w:rsidP="00317915">
      <w:pPr>
        <w:tabs>
          <w:tab w:val="left" w:pos="7265"/>
        </w:tabs>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În ce priveşte costurile asociate comunicaţiilor electronice per ansamblu, Moldtelecom are economii de scară comparative cu unii din concurenţii săi, însă nu cu Orange Moldova. ANRCETI ţine cont şi de faptul că Moldtelecom are economii de scară în raport cu principalii săi </w:t>
      </w:r>
      <w:r w:rsidRPr="00446F65">
        <w:rPr>
          <w:rFonts w:ascii="Times New Roman" w:hAnsi="Times New Roman" w:cs="Times New Roman"/>
          <w:color w:val="000000"/>
          <w:sz w:val="26"/>
          <w:szCs w:val="26"/>
          <w:lang w:val="ro-MO"/>
        </w:rPr>
        <w:lastRenderedPageBreak/>
        <w:t xml:space="preserve">concurenţi atât pe piaţa cu amănuntul de telefonie fixă, cât şi de acces în bandă largă. Prezenţa unor economii de scară în raport cu concurenţii îi permite Moldtelecom să-şi distribuie costurile pe mai multe activităţi sau să subvenţioneze dezvoltarea unor servicii (cum de ex. IPTV) din contul altor activităţi şi să obţină avantaje competitive.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În cazul în care există economii de scară, acestea au efectul de a consolida ipoteza de PSP creată de către Moldtelecom ca având o cotă de piaţă </w:t>
      </w:r>
      <w:r w:rsidR="005A0663" w:rsidRPr="00446F65">
        <w:rPr>
          <w:rFonts w:ascii="Times New Roman" w:hAnsi="Times New Roman" w:cs="Times New Roman"/>
          <w:color w:val="000000"/>
          <w:sz w:val="26"/>
          <w:szCs w:val="26"/>
          <w:lang w:val="ro-MO"/>
        </w:rPr>
        <w:t>ridicată</w:t>
      </w:r>
      <w:r w:rsidRPr="00446F65">
        <w:rPr>
          <w:rFonts w:ascii="Times New Roman" w:hAnsi="Times New Roman" w:cs="Times New Roman"/>
          <w:color w:val="000000"/>
          <w:sz w:val="26"/>
          <w:szCs w:val="26"/>
          <w:lang w:val="ro-MO"/>
        </w:rPr>
        <w:t xml:space="preserve">. Pentru marea parte a bazei de cost se pare că </w:t>
      </w:r>
      <w:r w:rsidR="00446898" w:rsidRPr="00446F65">
        <w:rPr>
          <w:rFonts w:ascii="Times New Roman" w:hAnsi="Times New Roman" w:cs="Times New Roman"/>
          <w:color w:val="000000"/>
          <w:sz w:val="26"/>
          <w:szCs w:val="26"/>
          <w:lang w:val="ro-MO"/>
        </w:rPr>
        <w:t>Moldtelecom</w:t>
      </w:r>
      <w:r w:rsidRPr="00446F65">
        <w:rPr>
          <w:rFonts w:ascii="Times New Roman" w:hAnsi="Times New Roman" w:cs="Times New Roman"/>
          <w:color w:val="000000"/>
          <w:sz w:val="26"/>
          <w:szCs w:val="26"/>
          <w:lang w:val="ro-MO"/>
        </w:rPr>
        <w:t xml:space="preserve"> are economii de scară mai mari decât majoritatea concurenţilor săi.</w:t>
      </w:r>
    </w:p>
    <w:p w:rsidR="00157EB8" w:rsidRPr="00446F65" w:rsidRDefault="004C0C82" w:rsidP="00317915">
      <w:pPr>
        <w:pStyle w:val="Heading5"/>
        <w:spacing w:line="240" w:lineRule="auto"/>
        <w:ind w:firstLine="567"/>
        <w:rPr>
          <w:rFonts w:ascii="Times New Roman" w:eastAsiaTheme="minorHAnsi" w:hAnsi="Times New Roman" w:cs="Times New Roman"/>
          <w:b/>
          <w:color w:val="auto"/>
          <w:sz w:val="26"/>
          <w:szCs w:val="26"/>
          <w:lang w:val="ro-MO"/>
        </w:rPr>
      </w:pPr>
      <w:bookmarkStart w:id="69" w:name="_Toc430854401"/>
      <w:bookmarkStart w:id="70" w:name="_Toc492907411"/>
      <w:r w:rsidRPr="00446F65">
        <w:rPr>
          <w:rFonts w:ascii="Times New Roman" w:eastAsiaTheme="minorHAnsi" w:hAnsi="Times New Roman" w:cs="Times New Roman"/>
          <w:b/>
          <w:color w:val="auto"/>
          <w:sz w:val="26"/>
          <w:szCs w:val="26"/>
          <w:lang w:val="ro-MO"/>
        </w:rPr>
        <w:t xml:space="preserve">3.5.2.4 </w:t>
      </w:r>
      <w:r w:rsidR="00157EB8" w:rsidRPr="00446F65">
        <w:rPr>
          <w:rFonts w:ascii="Times New Roman" w:eastAsiaTheme="minorHAnsi" w:hAnsi="Times New Roman" w:cs="Times New Roman"/>
          <w:b/>
          <w:color w:val="auto"/>
          <w:sz w:val="26"/>
          <w:szCs w:val="26"/>
          <w:lang w:val="ro-MO"/>
        </w:rPr>
        <w:t>Economiile de gamă de produse</w:t>
      </w:r>
      <w:bookmarkEnd w:id="69"/>
      <w:bookmarkEnd w:id="70"/>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Economiile de gamă apar în cazul în care un furnizor poate repartiza costurile între mai multe servicii diferite. În cazul accesului cu ridicata de tip bitstream, există oportunitatea pentru Moldtelecom să utilizeze buclele sale locale pentru furnizarea serviciilor de acces multiple, cele mai evidente fiind serviciile voce şi acces la </w:t>
      </w:r>
      <w:r w:rsidR="004C0C82" w:rsidRPr="00446F65">
        <w:rPr>
          <w:rFonts w:ascii="Times New Roman" w:hAnsi="Times New Roman" w:cs="Times New Roman"/>
          <w:color w:val="000000"/>
          <w:sz w:val="26"/>
          <w:szCs w:val="26"/>
          <w:lang w:val="ro-MO"/>
        </w:rPr>
        <w:t>I</w:t>
      </w:r>
      <w:r w:rsidRPr="00446F65">
        <w:rPr>
          <w:rFonts w:ascii="Times New Roman" w:hAnsi="Times New Roman" w:cs="Times New Roman"/>
          <w:color w:val="000000"/>
          <w:sz w:val="26"/>
          <w:szCs w:val="26"/>
          <w:lang w:val="ro-MO"/>
        </w:rPr>
        <w:t>nternet în bandă largă. Acest lucru oferă unele economii de gamă însă acestea sunt la fel disponibile şi pentru concurenţii Moldtelecom pe piaţa de acces cu ridicata. Spre exemplu, acei furnizori care operează reţele de cablu pot obţine economii de gamă prin furnizarea serviciilor de televiziune. De asemenea, trebuie remarcat faptul că Moldtelec</w:t>
      </w:r>
      <w:r w:rsidR="004C0C82" w:rsidRPr="00446F65">
        <w:rPr>
          <w:rFonts w:ascii="Times New Roman" w:hAnsi="Times New Roman" w:cs="Times New Roman"/>
          <w:color w:val="000000"/>
          <w:sz w:val="26"/>
          <w:szCs w:val="26"/>
          <w:lang w:val="ro-MO"/>
        </w:rPr>
        <w:t>om</w:t>
      </w:r>
      <w:r w:rsidRPr="00446F65">
        <w:rPr>
          <w:rFonts w:ascii="Times New Roman" w:hAnsi="Times New Roman" w:cs="Times New Roman"/>
          <w:color w:val="000000"/>
          <w:sz w:val="26"/>
          <w:szCs w:val="26"/>
          <w:lang w:val="ro-MO"/>
        </w:rPr>
        <w:t xml:space="preserve"> la fel poate să furnizeze servicii IPTV, care sunt comparabile.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b/>
          <w:color w:val="000000"/>
          <w:sz w:val="26"/>
          <w:szCs w:val="26"/>
          <w:lang w:val="ro-MO"/>
        </w:rPr>
        <w:t xml:space="preserve">Concluzie: </w:t>
      </w:r>
      <w:r w:rsidRPr="00446F65">
        <w:rPr>
          <w:rFonts w:ascii="Times New Roman" w:hAnsi="Times New Roman" w:cs="Times New Roman"/>
          <w:color w:val="000000"/>
          <w:sz w:val="26"/>
          <w:szCs w:val="26"/>
          <w:lang w:val="ro-MO"/>
        </w:rPr>
        <w:t xml:space="preserve">În cazul în care există economii de gamă, acestea au efectul de a consolida ipoteza de PSP a Moldtelecom ca având o cotă de piaţă </w:t>
      </w:r>
      <w:r w:rsidR="005A0663" w:rsidRPr="00446F65">
        <w:rPr>
          <w:rFonts w:ascii="Times New Roman" w:hAnsi="Times New Roman" w:cs="Times New Roman"/>
          <w:color w:val="000000"/>
          <w:sz w:val="26"/>
          <w:szCs w:val="26"/>
          <w:lang w:val="ro-MO"/>
        </w:rPr>
        <w:t>ridicată</w:t>
      </w:r>
      <w:r w:rsidRPr="00446F65">
        <w:rPr>
          <w:rFonts w:ascii="Times New Roman" w:hAnsi="Times New Roman" w:cs="Times New Roman"/>
          <w:color w:val="000000"/>
          <w:sz w:val="26"/>
          <w:szCs w:val="26"/>
          <w:lang w:val="ro-MO"/>
        </w:rPr>
        <w:t>. Cu toate acestea, economiile de gamă ale Moldtelecom pe piaţa de acces cu ridicata (în suprapunere cu comunicaţiile voce și serviciile de televiziune) decât cele ale concurenţilor săi.</w:t>
      </w:r>
    </w:p>
    <w:p w:rsidR="00157EB8" w:rsidRPr="00446F65" w:rsidRDefault="004C0C82" w:rsidP="00317915">
      <w:pPr>
        <w:pStyle w:val="Heading5"/>
        <w:spacing w:line="240" w:lineRule="auto"/>
        <w:ind w:firstLine="567"/>
        <w:rPr>
          <w:rFonts w:ascii="Times New Roman" w:eastAsiaTheme="minorHAnsi" w:hAnsi="Times New Roman" w:cs="Times New Roman"/>
          <w:b/>
          <w:color w:val="auto"/>
          <w:sz w:val="26"/>
          <w:szCs w:val="26"/>
          <w:lang w:val="ro-MO"/>
        </w:rPr>
      </w:pPr>
      <w:bookmarkStart w:id="71" w:name="_Toc430854402"/>
      <w:bookmarkStart w:id="72" w:name="_Toc492907412"/>
      <w:r w:rsidRPr="00446F65">
        <w:rPr>
          <w:rFonts w:ascii="Times New Roman" w:eastAsiaTheme="minorHAnsi" w:hAnsi="Times New Roman" w:cs="Times New Roman"/>
          <w:b/>
          <w:color w:val="auto"/>
          <w:sz w:val="26"/>
          <w:szCs w:val="26"/>
          <w:lang w:val="ro-MO"/>
        </w:rPr>
        <w:t xml:space="preserve">3.5.2.5 </w:t>
      </w:r>
      <w:r w:rsidR="00157EB8" w:rsidRPr="00446F65">
        <w:rPr>
          <w:rFonts w:ascii="Times New Roman" w:eastAsiaTheme="minorHAnsi" w:hAnsi="Times New Roman" w:cs="Times New Roman"/>
          <w:b/>
          <w:color w:val="auto"/>
          <w:sz w:val="26"/>
          <w:szCs w:val="26"/>
          <w:lang w:val="ro-MO"/>
        </w:rPr>
        <w:t>Economiile de densitate</w:t>
      </w:r>
      <w:bookmarkEnd w:id="71"/>
      <w:bookmarkEnd w:id="72"/>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Economiile de densitate apar atunci când furnizorul poate partaja costurile sale fixe la un număr mai mare de utilizatori. Prin urmare costurile medii pe unitate de serviciu sunt mai mici la furnizorul care poate beneficia de asemenea economii de scară. Analiza detaliată a pieţei de acces cu ridicata de tip bitstream de cele mai dese ori economiile de densitate sunt rezultat al avantajului primului intrat pe piaţă, în special acolo unde intrarea pe piaţă necesită investiţii esenţiale şi de lungă durată în infrastructură pasivă şi de reţea. De regulă de astfel de economii se bucură furnizorii istorici, care s-au bucurat în trecut de drepturi de monopol, exclusive pentru careva servicii sau regiuni, au obţinut subvenţionare sau privilegiere de altă natură, sau s-au bucurat de limitarea de către autorităţi a numărului de concurenţi.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Pe piaţa serviciilor de acces cu ridicata, serviciile </w:t>
      </w:r>
      <w:r w:rsidR="009F0DA2" w:rsidRPr="00446F65">
        <w:rPr>
          <w:rFonts w:ascii="Times New Roman" w:hAnsi="Times New Roman" w:cs="Times New Roman"/>
          <w:color w:val="000000"/>
          <w:sz w:val="26"/>
          <w:szCs w:val="26"/>
          <w:lang w:val="ro-MO"/>
        </w:rPr>
        <w:t>Moldtelecom</w:t>
      </w:r>
      <w:r w:rsidRPr="00446F65">
        <w:rPr>
          <w:rFonts w:ascii="Times New Roman" w:hAnsi="Times New Roman" w:cs="Times New Roman"/>
          <w:color w:val="000000"/>
          <w:sz w:val="26"/>
          <w:szCs w:val="26"/>
          <w:lang w:val="ro-MO"/>
        </w:rPr>
        <w:t xml:space="preserve"> sunt furnizate în zone geografice mai mari decât cele ale concurenţilor săi. Costurile sale, prin urmare, vor fi corespunzător mai mari deşi acest lucru poate fi compensat prin economiile de scară ale Moldtelecom. Numai dacă, sau până când Moldtelecom nu va avea obligaţia de a oferi acces universal în bandă largă, acesta va putea selecta zonele sale de furnizare a serviciilor, astfel încât costul mediu pe utilizator să fie acelaşi ca şi al concurenţilor săi.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Pe piaţa serviciilor de acces cu ridicata, serviciile Moldtelecom sunt furnizate în toate zonele geografice şi se caracterizează printr-un grad înalt de penetrare în gospodării şi oficii a infrastructurii sale de reţea ce-i serveşte drept resursă. Acest grad de penetrare a fost obţinut în mare parte istoric. Prin urmare noii intraţi nu ar putea să obţină densitate comparabilă cu cea a Moldtelecom, ceea ce duce la concluzia că costurile fixe vor fi în mediu mai înalte la noii intraţi. Posibilitatea de a se bucura de economii de densitate îi oferă Moldtelecom avantaje competitive în dezvoltarea de noi reţele, spre exemplu cele de acces în bandă foarte largă, care implică aducerea fibrei otice cât mai aproape de abonaţi. Astfel, efecte similare de economii de densitate noii intraţi </w:t>
      </w:r>
      <w:r w:rsidRPr="00446F65">
        <w:rPr>
          <w:rFonts w:ascii="Times New Roman" w:hAnsi="Times New Roman" w:cs="Times New Roman"/>
          <w:color w:val="000000"/>
          <w:sz w:val="26"/>
          <w:szCs w:val="26"/>
          <w:lang w:val="ro-MO"/>
        </w:rPr>
        <w:lastRenderedPageBreak/>
        <w:t xml:space="preserve">le pot, cel mai probabil, obţine doar în zone geografice destul de restrânse ceea ce n-ar asigura la scară mai largă dezvoltarea eficientă a concurenţei pe piaţa în aval.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ANRCETI consideră economiile de densitate ca fiind unul dintre cele mai importante criterii pentru această piaţă, ce atestă PSP a Moldtelecom, de rând cu criteriul infrastructurii greu de duplicat şi integrării pe verticală.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b/>
          <w:bCs/>
          <w:color w:val="000000"/>
          <w:sz w:val="26"/>
          <w:szCs w:val="26"/>
          <w:lang w:val="ro-MO"/>
        </w:rPr>
        <w:t xml:space="preserve">Concluzie: </w:t>
      </w:r>
      <w:r w:rsidRPr="00446F65">
        <w:rPr>
          <w:rFonts w:ascii="Times New Roman" w:hAnsi="Times New Roman" w:cs="Times New Roman"/>
          <w:color w:val="000000"/>
          <w:sz w:val="26"/>
          <w:szCs w:val="26"/>
          <w:lang w:val="ro-MO"/>
        </w:rPr>
        <w:t xml:space="preserve">Faptul că Moldtelecom beneficiază de economii de densitate în raport cu potenţialii săi concurenţi (ce ar furniza, cel mai probabil în scopuri de auto-furnizare, servicii de acces cu ridicata) îi oferă avantaje competitive şi, astfel, vine în susţinerea ipotezei că există PSP. </w:t>
      </w:r>
    </w:p>
    <w:p w:rsidR="00157EB8" w:rsidRPr="00446F65" w:rsidRDefault="009F0DA2" w:rsidP="00317915">
      <w:pPr>
        <w:pStyle w:val="Heading5"/>
        <w:spacing w:line="240" w:lineRule="auto"/>
        <w:ind w:firstLine="720"/>
        <w:rPr>
          <w:rFonts w:ascii="Times New Roman" w:eastAsiaTheme="minorHAnsi" w:hAnsi="Times New Roman" w:cs="Times New Roman"/>
          <w:b/>
          <w:color w:val="auto"/>
          <w:sz w:val="26"/>
          <w:szCs w:val="26"/>
          <w:lang w:val="ro-MO"/>
        </w:rPr>
      </w:pPr>
      <w:bookmarkStart w:id="73" w:name="_Toc430854403"/>
      <w:bookmarkStart w:id="74" w:name="_Toc492907413"/>
      <w:r w:rsidRPr="00446F65">
        <w:rPr>
          <w:rFonts w:ascii="Times New Roman" w:eastAsiaTheme="minorHAnsi" w:hAnsi="Times New Roman" w:cs="Times New Roman"/>
          <w:b/>
          <w:color w:val="auto"/>
          <w:sz w:val="26"/>
          <w:szCs w:val="26"/>
          <w:lang w:val="ro-MO"/>
        </w:rPr>
        <w:t xml:space="preserve">3.5.2.6 </w:t>
      </w:r>
      <w:r w:rsidR="00157EB8" w:rsidRPr="00446F65">
        <w:rPr>
          <w:rFonts w:ascii="Times New Roman" w:eastAsiaTheme="minorHAnsi" w:hAnsi="Times New Roman" w:cs="Times New Roman"/>
          <w:b/>
          <w:color w:val="auto"/>
          <w:sz w:val="26"/>
          <w:szCs w:val="26"/>
          <w:lang w:val="ro-MO"/>
        </w:rPr>
        <w:t>Puterea de contracarare a utilizatorilor</w:t>
      </w:r>
      <w:bookmarkEnd w:id="73"/>
      <w:bookmarkEnd w:id="74"/>
    </w:p>
    <w:p w:rsidR="00157EB8" w:rsidRPr="00446F65" w:rsidRDefault="00157EB8" w:rsidP="00317915">
      <w:pPr>
        <w:autoSpaceDE w:val="0"/>
        <w:autoSpaceDN w:val="0"/>
        <w:adjustRightInd w:val="0"/>
        <w:spacing w:after="120" w:line="240" w:lineRule="auto"/>
        <w:ind w:firstLine="720"/>
        <w:jc w:val="both"/>
        <w:rPr>
          <w:rFonts w:ascii="Times New Roman" w:eastAsia="Times New Roman" w:hAnsi="Times New Roman" w:cs="Times New Roman"/>
          <w:sz w:val="26"/>
          <w:szCs w:val="26"/>
          <w:lang w:val="ro-MO"/>
        </w:rPr>
      </w:pPr>
      <w:r w:rsidRPr="00446F65">
        <w:rPr>
          <w:rFonts w:ascii="Times New Roman" w:hAnsi="Times New Roman" w:cs="Times New Roman"/>
          <w:color w:val="000000"/>
          <w:sz w:val="26"/>
          <w:szCs w:val="26"/>
          <w:lang w:val="ro-MO"/>
        </w:rPr>
        <w:t>Comportamentul unui operator cu putere semnificativă pe piaţă poate fi limitat din cauza poziţiei concurenţilor săi pe alte pieţe. De exemplu, este posibil că Moldtelecom nu ar putea acţiona independent de concurenţii săi pe piaţa accesului cu ridicata analizată din cauza necesităţii de a procura alte servicii pe alte pieţe de la aceeaşi concurenţi.</w:t>
      </w:r>
      <w:r w:rsidRPr="00446F65">
        <w:rPr>
          <w:rFonts w:ascii="Times New Roman" w:eastAsia="Times New Roman" w:hAnsi="Times New Roman" w:cs="Times New Roman"/>
          <w:sz w:val="26"/>
          <w:szCs w:val="26"/>
          <w:lang w:val="ro-MO"/>
        </w:rPr>
        <w:t xml:space="preserve"> </w:t>
      </w:r>
    </w:p>
    <w:p w:rsidR="00157EB8" w:rsidRPr="00446F65" w:rsidRDefault="00157EB8" w:rsidP="00317915">
      <w:pPr>
        <w:autoSpaceDE w:val="0"/>
        <w:autoSpaceDN w:val="0"/>
        <w:adjustRightInd w:val="0"/>
        <w:spacing w:after="120" w:line="240" w:lineRule="auto"/>
        <w:ind w:firstLine="720"/>
        <w:jc w:val="both"/>
        <w:rPr>
          <w:rFonts w:ascii="Times New Roman" w:hAnsi="Times New Roman" w:cs="Times New Roman"/>
          <w:b/>
          <w:sz w:val="26"/>
          <w:szCs w:val="26"/>
          <w:lang w:val="ro-MO"/>
        </w:rPr>
      </w:pPr>
      <w:r w:rsidRPr="00446F65">
        <w:rPr>
          <w:rFonts w:ascii="Times New Roman" w:eastAsia="Times New Roman" w:hAnsi="Times New Roman" w:cs="Times New Roman"/>
          <w:sz w:val="26"/>
          <w:szCs w:val="26"/>
          <w:lang w:val="ro-MO"/>
        </w:rPr>
        <w:t xml:space="preserve">După cum s-a menţionat deja în analiză, Moldtelecom este singurul care furnizează servicii de acces cu ridicata de tip bitstream. </w:t>
      </w:r>
      <w:r w:rsidRPr="00446F65">
        <w:rPr>
          <w:rFonts w:ascii="Times New Roman" w:hAnsi="Times New Roman" w:cs="Times New Roman"/>
          <w:sz w:val="26"/>
          <w:szCs w:val="26"/>
          <w:lang w:val="ro-MO"/>
        </w:rPr>
        <w:t>Prin urmare</w:t>
      </w:r>
      <w:r w:rsidRPr="00446F65">
        <w:rPr>
          <w:rFonts w:ascii="Times New Roman" w:hAnsi="Times New Roman" w:cs="Times New Roman"/>
          <w:color w:val="000000"/>
          <w:sz w:val="26"/>
          <w:szCs w:val="26"/>
          <w:lang w:val="ro-MO"/>
        </w:rPr>
        <w:t xml:space="preserve">, dat fiind că Moldtelecom mai are şi un portofoliu larg de servicii precum şi o poziţie puternică pe aproape fiecare piaţă de comunicaţii electronice din Republica Moldova, posibilitatea puterii de contracarare a utilizatorilor este limitată </w:t>
      </w:r>
      <w:r w:rsidRPr="00446F65">
        <w:rPr>
          <w:rFonts w:ascii="Times New Roman" w:hAnsi="Times New Roman" w:cs="Times New Roman"/>
          <w:sz w:val="26"/>
          <w:szCs w:val="26"/>
          <w:lang w:val="ro-MO"/>
        </w:rPr>
        <w:t>şi puţin probabil ca furnizorii alternativi să fie în măsură să determine constrângeri asupra comportamentului de piaţă al Moldtelecom în orizontul de timp al analizei.</w:t>
      </w:r>
      <w:r w:rsidRPr="00446F65">
        <w:rPr>
          <w:rFonts w:ascii="Times New Roman" w:hAnsi="Times New Roman" w:cs="Times New Roman"/>
          <w:b/>
          <w:sz w:val="26"/>
          <w:szCs w:val="26"/>
          <w:lang w:val="ro-MO"/>
        </w:rPr>
        <w:t xml:space="preserve"> </w:t>
      </w:r>
    </w:p>
    <w:p w:rsidR="00157EB8" w:rsidRPr="00446F65" w:rsidRDefault="00E52C1E" w:rsidP="00317915">
      <w:pPr>
        <w:pStyle w:val="Heading5"/>
        <w:spacing w:line="240" w:lineRule="auto"/>
        <w:ind w:firstLine="720"/>
        <w:rPr>
          <w:rFonts w:ascii="Times New Roman" w:eastAsiaTheme="minorHAnsi" w:hAnsi="Times New Roman" w:cs="Times New Roman"/>
          <w:b/>
          <w:color w:val="auto"/>
          <w:sz w:val="26"/>
          <w:szCs w:val="26"/>
          <w:lang w:val="ro-MO"/>
        </w:rPr>
      </w:pPr>
      <w:bookmarkStart w:id="75" w:name="_Toc430854404"/>
      <w:bookmarkStart w:id="76" w:name="_Toc492907414"/>
      <w:r w:rsidRPr="00446F65">
        <w:rPr>
          <w:rFonts w:ascii="Times New Roman" w:eastAsiaTheme="minorHAnsi" w:hAnsi="Times New Roman" w:cs="Times New Roman"/>
          <w:b/>
          <w:color w:val="auto"/>
          <w:sz w:val="26"/>
          <w:szCs w:val="26"/>
          <w:lang w:val="ro-MO"/>
        </w:rPr>
        <w:t xml:space="preserve">3.5.2.7 </w:t>
      </w:r>
      <w:r w:rsidR="00157EB8" w:rsidRPr="00446F65">
        <w:rPr>
          <w:rFonts w:ascii="Times New Roman" w:eastAsiaTheme="minorHAnsi" w:hAnsi="Times New Roman" w:cs="Times New Roman"/>
          <w:b/>
          <w:color w:val="auto"/>
          <w:sz w:val="26"/>
          <w:szCs w:val="26"/>
          <w:lang w:val="ro-MO"/>
        </w:rPr>
        <w:t>Nivelul de integrare pe verticală</w:t>
      </w:r>
      <w:bookmarkEnd w:id="75"/>
      <w:bookmarkEnd w:id="76"/>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Integrarea pe verticală înseamnă atunci când un operator este prezent pe mai multe pieţe diferite, cu ridicata şi cu amănuntul conectate pe vertical.</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În conformitate cu Recomandările Comisiei Europene, integrarea pe verticală este tratată ca obţinerea puterii de piaţă. O astfel de putere de piaţă permite de a distorsiona concurenţa de pe o piaţă competitivă sau de a crea probleme concurenţilor la intrarea pe piaţă. </w:t>
      </w:r>
    </w:p>
    <w:p w:rsidR="00157EB8" w:rsidRPr="00446F65" w:rsidRDefault="009C75EA" w:rsidP="00317915">
      <w:pPr>
        <w:spacing w:after="0" w:line="240" w:lineRule="auto"/>
        <w:ind w:firstLine="720"/>
        <w:jc w:val="both"/>
        <w:rPr>
          <w:rFonts w:ascii="Times New Roman" w:eastAsia="Times New Roman" w:hAnsi="Times New Roman" w:cs="Times New Roman"/>
          <w:sz w:val="26"/>
          <w:szCs w:val="26"/>
          <w:lang w:val="ro-MO"/>
        </w:rPr>
      </w:pPr>
      <w:r w:rsidRPr="00446F65">
        <w:rPr>
          <w:rFonts w:ascii="Times New Roman" w:eastAsia="Times New Roman" w:hAnsi="Times New Roman" w:cs="Times New Roman"/>
          <w:sz w:val="26"/>
          <w:szCs w:val="26"/>
          <w:lang w:val="ro-MO"/>
        </w:rPr>
        <w:t>Moldtelecom</w:t>
      </w:r>
      <w:r w:rsidR="00157EB8" w:rsidRPr="00446F65">
        <w:rPr>
          <w:rFonts w:ascii="Times New Roman" w:eastAsia="Times New Roman" w:hAnsi="Times New Roman" w:cs="Times New Roman"/>
          <w:sz w:val="26"/>
          <w:szCs w:val="26"/>
          <w:lang w:val="ro-MO"/>
        </w:rPr>
        <w:t xml:space="preserve"> este integrat pe verticală, şi activează atât pe piaţa WCA (furnizând servicii cu ridicata de tip bitstream prin perechi de fire de cupru torsadate și prin fibre optice), cât şi pe piaţa accesului cu amănuntul în bandă largă oferind servicii de acces la Internet în bandă largă utilizatorilor finali.</w:t>
      </w:r>
    </w:p>
    <w:p w:rsidR="00157EB8" w:rsidRPr="00446F65" w:rsidRDefault="00157EB8" w:rsidP="00317915">
      <w:pPr>
        <w:spacing w:after="0" w:line="240" w:lineRule="auto"/>
        <w:ind w:firstLine="567"/>
        <w:jc w:val="both"/>
        <w:rPr>
          <w:rFonts w:ascii="Times New Roman" w:eastAsia="Times New Roman" w:hAnsi="Times New Roman" w:cs="Times New Roman"/>
          <w:sz w:val="26"/>
          <w:szCs w:val="26"/>
          <w:lang w:val="ro-MO"/>
        </w:rPr>
      </w:pPr>
      <w:r w:rsidRPr="00446F65">
        <w:rPr>
          <w:rFonts w:ascii="Times New Roman" w:eastAsia="Times New Roman" w:hAnsi="Times New Roman" w:cs="Times New Roman"/>
          <w:sz w:val="26"/>
          <w:szCs w:val="26"/>
          <w:lang w:val="ro-MO"/>
        </w:rPr>
        <w:t xml:space="preserve"> </w:t>
      </w:r>
      <w:r w:rsidR="009C75EA" w:rsidRPr="00446F65">
        <w:rPr>
          <w:rFonts w:ascii="Times New Roman" w:eastAsia="Times New Roman" w:hAnsi="Times New Roman" w:cs="Times New Roman"/>
          <w:sz w:val="26"/>
          <w:szCs w:val="26"/>
          <w:lang w:val="ro-MO"/>
        </w:rPr>
        <w:tab/>
      </w:r>
      <w:r w:rsidRPr="00446F65">
        <w:rPr>
          <w:rFonts w:ascii="Times New Roman" w:eastAsia="Times New Roman" w:hAnsi="Times New Roman" w:cs="Times New Roman"/>
          <w:sz w:val="26"/>
          <w:szCs w:val="26"/>
          <w:lang w:val="ro-MO"/>
        </w:rPr>
        <w:t xml:space="preserve">Luând în considerare faptul că Moldtelecom deţine infrastructura de reţea, pe întreg teritoriul Republicii Moldova, în plus </w:t>
      </w:r>
      <w:r w:rsidRPr="00446F65">
        <w:rPr>
          <w:rFonts w:ascii="Times New Roman" w:hAnsi="Times New Roman" w:cs="Times New Roman"/>
          <w:color w:val="000000"/>
          <w:sz w:val="26"/>
          <w:szCs w:val="26"/>
          <w:lang w:val="ro-MO"/>
        </w:rPr>
        <w:t xml:space="preserve">este prezent pe piaţa cu amănuntul şi pe cea cu ridicata, există motivaţie pentru acesta de a limita cantitativ şi calitativ furnizările sale de servicii cu ridicata pentru concurenţii direcţi pe piaţa cu amănuntul, astfel încât să beneficieze de avantaje pe piaţa cu amănuntul datorită integrării sale pe verticală. De asemenea, există motivaţie pentru Moldtelecom, dacă oferă servicii cu ridicata, nu doar să maximizeze venitul din acestea, dar şi să acopere prin acestea o parte din costurile activităţii cu amănuntul, astfel încât să obţină avantaje competitive de cost pe piaţa cu amănuntul. </w:t>
      </w:r>
      <w:r w:rsidRPr="00446F65">
        <w:rPr>
          <w:rFonts w:ascii="Times New Roman" w:eastAsia="Times New Roman" w:hAnsi="Times New Roman" w:cs="Times New Roman"/>
          <w:sz w:val="26"/>
          <w:szCs w:val="26"/>
          <w:lang w:val="ro-MO"/>
        </w:rPr>
        <w:t xml:space="preserve">Ceea ce presupune că, integrarea pe verticală şi controlul infrastructurii ar permite Moldtelecom să aplice discriminarea prin preţ şi micşorarea acestora. </w:t>
      </w:r>
    </w:p>
    <w:p w:rsidR="00157EB8" w:rsidRPr="00446F65" w:rsidRDefault="00157EB8" w:rsidP="00317915">
      <w:pPr>
        <w:spacing w:after="0" w:line="240" w:lineRule="auto"/>
        <w:ind w:firstLine="720"/>
        <w:jc w:val="both"/>
        <w:rPr>
          <w:rFonts w:ascii="Times New Roman" w:hAnsi="Times New Roman" w:cs="Times New Roman"/>
          <w:color w:val="000000"/>
          <w:sz w:val="26"/>
          <w:szCs w:val="26"/>
          <w:lang w:val="ro-MO"/>
        </w:rPr>
      </w:pPr>
      <w:r w:rsidRPr="00446F65">
        <w:rPr>
          <w:rFonts w:ascii="Times New Roman" w:eastAsia="Times New Roman" w:hAnsi="Times New Roman" w:cs="Times New Roman"/>
          <w:b/>
          <w:sz w:val="26"/>
          <w:szCs w:val="26"/>
          <w:lang w:val="ro-MO"/>
        </w:rPr>
        <w:t>Concluzie:</w:t>
      </w:r>
      <w:r w:rsidRPr="00446F65">
        <w:rPr>
          <w:rFonts w:ascii="Times New Roman" w:eastAsia="Times New Roman" w:hAnsi="Times New Roman" w:cs="Times New Roman"/>
          <w:sz w:val="26"/>
          <w:szCs w:val="26"/>
          <w:lang w:val="ro-MO"/>
        </w:rPr>
        <w:t xml:space="preserve">Având în vedere cele menţionate mai sus, ANRCETI concluzionează că furnizorii noi intraţi pe piaţă, pentru a putea furniza serviciile lor, depind de Moldtelecom să le ofere accesul la utilizatorii finali. Prin urmare, un nivel ridicat de integrare pe verticală, întăreşte ipoteza că Moldtelecom deţine o putere semnificativă pe piaţa </w:t>
      </w:r>
      <w:r w:rsidRPr="00446F65">
        <w:rPr>
          <w:rFonts w:ascii="Times New Roman" w:hAnsi="Times New Roman" w:cs="Times New Roman"/>
          <w:color w:val="000000"/>
          <w:sz w:val="26"/>
          <w:szCs w:val="26"/>
          <w:lang w:val="ro-MO"/>
        </w:rPr>
        <w:t xml:space="preserve">WCA. Cu toate acestea, în absenţa reglementării </w:t>
      </w:r>
      <w:r w:rsidRPr="00446F65">
        <w:rPr>
          <w:rFonts w:ascii="Times New Roman" w:hAnsi="Times New Roman" w:cs="Times New Roman"/>
          <w:i/>
          <w:color w:val="000000"/>
          <w:sz w:val="26"/>
          <w:szCs w:val="26"/>
          <w:lang w:val="ro-MO"/>
        </w:rPr>
        <w:t>ex-ante</w:t>
      </w:r>
      <w:r w:rsidRPr="00446F65">
        <w:rPr>
          <w:rFonts w:ascii="Times New Roman" w:hAnsi="Times New Roman" w:cs="Times New Roman"/>
          <w:color w:val="000000"/>
          <w:sz w:val="26"/>
          <w:szCs w:val="26"/>
          <w:lang w:val="ro-MO"/>
        </w:rPr>
        <w:t>, integrarea pe verticală măreşte în mod semnificativ efectul ipotezei PSP, dacă aceasta este corectă.</w:t>
      </w:r>
    </w:p>
    <w:p w:rsidR="00157EB8" w:rsidRPr="00446F65" w:rsidRDefault="00157EB8" w:rsidP="00317915">
      <w:pPr>
        <w:pStyle w:val="Heading5"/>
        <w:spacing w:line="240" w:lineRule="auto"/>
        <w:ind w:firstLine="567"/>
        <w:rPr>
          <w:rFonts w:ascii="Times New Roman" w:eastAsiaTheme="minorHAnsi" w:hAnsi="Times New Roman" w:cs="Times New Roman"/>
          <w:b/>
          <w:color w:val="auto"/>
          <w:sz w:val="26"/>
          <w:szCs w:val="26"/>
          <w:lang w:val="ro-MO"/>
        </w:rPr>
      </w:pPr>
      <w:bookmarkStart w:id="77" w:name="_Toc430854405"/>
      <w:bookmarkStart w:id="78" w:name="_Toc492907415"/>
      <w:r w:rsidRPr="00446F65">
        <w:rPr>
          <w:rFonts w:ascii="Times New Roman" w:eastAsiaTheme="minorHAnsi" w:hAnsi="Times New Roman" w:cs="Times New Roman"/>
          <w:b/>
          <w:color w:val="auto"/>
          <w:sz w:val="26"/>
          <w:szCs w:val="26"/>
          <w:lang w:val="ro-MO"/>
        </w:rPr>
        <w:lastRenderedPageBreak/>
        <w:t>3.</w:t>
      </w:r>
      <w:r w:rsidR="009C75EA" w:rsidRPr="00446F65">
        <w:rPr>
          <w:rFonts w:ascii="Times New Roman" w:eastAsiaTheme="minorHAnsi" w:hAnsi="Times New Roman" w:cs="Times New Roman"/>
          <w:b/>
          <w:color w:val="auto"/>
          <w:sz w:val="26"/>
          <w:szCs w:val="26"/>
          <w:lang w:val="ro-MO"/>
        </w:rPr>
        <w:t>5.</w:t>
      </w:r>
      <w:r w:rsidRPr="00446F65">
        <w:rPr>
          <w:rFonts w:ascii="Times New Roman" w:eastAsiaTheme="minorHAnsi" w:hAnsi="Times New Roman" w:cs="Times New Roman"/>
          <w:b/>
          <w:color w:val="auto"/>
          <w:sz w:val="26"/>
          <w:szCs w:val="26"/>
          <w:lang w:val="ro-MO"/>
        </w:rPr>
        <w:t>2.8 Numărul furnizorilor de pe piaţă</w:t>
      </w:r>
      <w:bookmarkEnd w:id="77"/>
      <w:bookmarkEnd w:id="78"/>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Capacitatea unui furnizor cu o cotă de piaţă </w:t>
      </w:r>
      <w:r w:rsidR="005A0663" w:rsidRPr="00446F65">
        <w:rPr>
          <w:rFonts w:ascii="Times New Roman" w:hAnsi="Times New Roman" w:cs="Times New Roman"/>
          <w:color w:val="000000"/>
          <w:sz w:val="26"/>
          <w:szCs w:val="26"/>
          <w:lang w:val="ro-MO"/>
        </w:rPr>
        <w:t>ridicată</w:t>
      </w:r>
      <w:r w:rsidRPr="00446F65">
        <w:rPr>
          <w:rFonts w:ascii="Times New Roman" w:hAnsi="Times New Roman" w:cs="Times New Roman"/>
          <w:color w:val="000000"/>
          <w:sz w:val="26"/>
          <w:szCs w:val="26"/>
          <w:lang w:val="ro-MO"/>
        </w:rPr>
        <w:t xml:space="preserve"> de a acţiona independent de concurenţi depinde parţial de puterea relativă a acestora. În cazul în care restul pieţei este divizată într-un număr mare de jucători mici, furnizorul mare va fi capabil să acţioneze într-o măsură semnificativă în mod independent. Cu toate acestea, în cazul în care există doar câţiva jucători ai căror cote de piaţă nu sunt foarte mici, acesta nu va fi capabil să acţioneze independent.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Cea mai bună măsură a concentrării pieţei este Indicele </w:t>
      </w:r>
      <w:proofErr w:type="spellStart"/>
      <w:r w:rsidRPr="00446F65">
        <w:rPr>
          <w:rFonts w:ascii="Times New Roman" w:hAnsi="Times New Roman" w:cs="Times New Roman"/>
          <w:color w:val="000000"/>
          <w:sz w:val="26"/>
          <w:szCs w:val="26"/>
          <w:lang w:val="ro-MO"/>
        </w:rPr>
        <w:t>Herfindahl</w:t>
      </w:r>
      <w:proofErr w:type="spellEnd"/>
      <w:r w:rsidRPr="00446F65">
        <w:rPr>
          <w:rFonts w:ascii="Times New Roman" w:hAnsi="Times New Roman" w:cs="Times New Roman"/>
          <w:color w:val="000000"/>
          <w:sz w:val="26"/>
          <w:szCs w:val="26"/>
          <w:lang w:val="ro-MO"/>
        </w:rPr>
        <w:t xml:space="preserve"> </w:t>
      </w:r>
      <w:proofErr w:type="spellStart"/>
      <w:r w:rsidRPr="00446F65">
        <w:rPr>
          <w:rFonts w:ascii="Times New Roman" w:hAnsi="Times New Roman" w:cs="Times New Roman"/>
          <w:color w:val="000000"/>
          <w:sz w:val="26"/>
          <w:szCs w:val="26"/>
          <w:lang w:val="ro-MO"/>
        </w:rPr>
        <w:t>Hirschman</w:t>
      </w:r>
      <w:proofErr w:type="spellEnd"/>
      <w:r w:rsidRPr="00446F65">
        <w:rPr>
          <w:rFonts w:ascii="Times New Roman" w:hAnsi="Times New Roman" w:cs="Times New Roman"/>
          <w:color w:val="000000"/>
          <w:sz w:val="26"/>
          <w:szCs w:val="26"/>
          <w:lang w:val="ro-MO"/>
        </w:rPr>
        <w:t xml:space="preserve"> (IHH). IHH măsoară gradul de concentrare a pieţei prin intermediul unui indicator derivat suma pătratelor cotelor de piaţă ale furnizorilor. Un IHH aproape de 1 indică un nivel ridicat de concentrare a pieţei, un IHH ce tinde spre 0 indică un nivel scăzut de concentrare a pieţei, fapt care ar indica o concurenţă perfectă. </w:t>
      </w:r>
      <w:r w:rsidR="005A0663" w:rsidRPr="00446F65">
        <w:rPr>
          <w:rFonts w:ascii="Times New Roman" w:hAnsi="Times New Roman" w:cs="Times New Roman"/>
          <w:color w:val="000000"/>
          <w:sz w:val="26"/>
          <w:szCs w:val="26"/>
          <w:lang w:val="ro-MO"/>
        </w:rPr>
        <w:t>U</w:t>
      </w:r>
      <w:r w:rsidRPr="00446F65">
        <w:rPr>
          <w:rFonts w:ascii="Times New Roman" w:hAnsi="Times New Roman" w:cs="Times New Roman"/>
          <w:color w:val="000000"/>
          <w:sz w:val="26"/>
          <w:szCs w:val="26"/>
          <w:lang w:val="ro-MO"/>
        </w:rPr>
        <w:t xml:space="preserve">n IHH mare poate fi considerat ca probă </w:t>
      </w:r>
      <w:r w:rsidRPr="00446F65">
        <w:rPr>
          <w:rFonts w:ascii="Times New Roman" w:hAnsi="Times New Roman" w:cs="Times New Roman"/>
          <w:i/>
          <w:iCs/>
          <w:color w:val="000000"/>
          <w:sz w:val="26"/>
          <w:szCs w:val="26"/>
          <w:lang w:val="ro-MO"/>
        </w:rPr>
        <w:t xml:space="preserve">suplimentară </w:t>
      </w:r>
      <w:r w:rsidRPr="00446F65">
        <w:rPr>
          <w:rFonts w:ascii="Times New Roman" w:hAnsi="Times New Roman" w:cs="Times New Roman"/>
          <w:color w:val="000000"/>
          <w:sz w:val="26"/>
          <w:szCs w:val="26"/>
          <w:lang w:val="ro-MO"/>
        </w:rPr>
        <w:t xml:space="preserve">în sprijinul PSP. </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color w:val="000000"/>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b/>
          <w:sz w:val="26"/>
          <w:szCs w:val="26"/>
          <w:lang w:val="ro-MO"/>
        </w:rPr>
      </w:pPr>
      <w:r w:rsidRPr="00446F65">
        <w:rPr>
          <w:rFonts w:ascii="Times New Roman" w:hAnsi="Times New Roman" w:cs="Times New Roman"/>
          <w:b/>
          <w:sz w:val="26"/>
          <w:szCs w:val="26"/>
          <w:lang w:val="ro-MO"/>
        </w:rPr>
        <w:t xml:space="preserve">Tabel </w:t>
      </w:r>
      <w:r w:rsidR="00E92F58" w:rsidRPr="00446F65">
        <w:rPr>
          <w:rFonts w:ascii="Times New Roman" w:hAnsi="Times New Roman" w:cs="Times New Roman"/>
          <w:b/>
          <w:sz w:val="26"/>
          <w:szCs w:val="26"/>
          <w:lang w:val="ro-MO"/>
        </w:rPr>
        <w:t>3</w:t>
      </w:r>
      <w:r w:rsidRPr="00446F65">
        <w:rPr>
          <w:rFonts w:ascii="Times New Roman" w:hAnsi="Times New Roman" w:cs="Times New Roman"/>
          <w:b/>
          <w:sz w:val="26"/>
          <w:szCs w:val="26"/>
          <w:lang w:val="ro-MO"/>
        </w:rPr>
        <w:t xml:space="preserve">: Calcularea Indicelui IHH pentru piaţa de acces la Internet cu amănuntul la un punct fix </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b/>
          <w:sz w:val="26"/>
          <w:szCs w:val="26"/>
          <w:lang w:val="ro-MO"/>
        </w:rPr>
      </w:pPr>
    </w:p>
    <w:tbl>
      <w:tblPr>
        <w:tblW w:w="0" w:type="auto"/>
        <w:tblInd w:w="124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366"/>
        <w:gridCol w:w="2163"/>
        <w:gridCol w:w="1984"/>
      </w:tblGrid>
      <w:tr w:rsidR="00157EB8" w:rsidRPr="00446F65" w:rsidTr="009D4489">
        <w:trPr>
          <w:trHeight w:val="176"/>
        </w:trPr>
        <w:tc>
          <w:tcPr>
            <w:tcW w:w="3366" w:type="dxa"/>
            <w:tcBorders>
              <w:top w:val="single" w:sz="6" w:space="0" w:color="000000"/>
              <w:bottom w:val="single" w:sz="8" w:space="0" w:color="000000"/>
              <w:right w:val="single" w:sz="6" w:space="0" w:color="000000"/>
            </w:tcBorders>
            <w:shd w:val="clear" w:color="auto" w:fill="FFFFFF"/>
          </w:tcPr>
          <w:p w:rsidR="00157EB8" w:rsidRPr="00446F65" w:rsidRDefault="00157EB8" w:rsidP="009D4489">
            <w:pPr>
              <w:autoSpaceDE w:val="0"/>
              <w:autoSpaceDN w:val="0"/>
              <w:adjustRightInd w:val="0"/>
              <w:spacing w:after="0" w:line="240" w:lineRule="auto"/>
              <w:jc w:val="center"/>
              <w:rPr>
                <w:rFonts w:ascii="Times New Roman" w:hAnsi="Times New Roman" w:cs="Times New Roman"/>
                <w:sz w:val="26"/>
                <w:szCs w:val="26"/>
                <w:lang w:val="ro-MO"/>
              </w:rPr>
            </w:pPr>
            <w:r w:rsidRPr="00446F65">
              <w:rPr>
                <w:rFonts w:ascii="Times New Roman" w:hAnsi="Times New Roman" w:cs="Times New Roman"/>
                <w:b/>
                <w:bCs/>
                <w:sz w:val="26"/>
                <w:szCs w:val="26"/>
                <w:lang w:val="ro-MO"/>
              </w:rPr>
              <w:t>Furnizori</w:t>
            </w:r>
          </w:p>
        </w:tc>
        <w:tc>
          <w:tcPr>
            <w:tcW w:w="2163" w:type="dxa"/>
            <w:tcBorders>
              <w:top w:val="single" w:sz="8" w:space="0" w:color="000000"/>
              <w:left w:val="single" w:sz="8" w:space="0" w:color="000000"/>
              <w:bottom w:val="single" w:sz="8" w:space="0" w:color="000000"/>
              <w:right w:val="single" w:sz="6" w:space="0" w:color="000000"/>
            </w:tcBorders>
            <w:shd w:val="clear" w:color="auto" w:fill="FFFFFF"/>
          </w:tcPr>
          <w:p w:rsidR="00157EB8" w:rsidRPr="00446F65" w:rsidRDefault="00157EB8" w:rsidP="009D4489">
            <w:pPr>
              <w:autoSpaceDE w:val="0"/>
              <w:autoSpaceDN w:val="0"/>
              <w:adjustRightInd w:val="0"/>
              <w:spacing w:after="0" w:line="240" w:lineRule="auto"/>
              <w:jc w:val="center"/>
              <w:rPr>
                <w:rFonts w:ascii="Times New Roman" w:hAnsi="Times New Roman" w:cs="Times New Roman"/>
                <w:sz w:val="26"/>
                <w:szCs w:val="26"/>
                <w:lang w:val="ro-MO"/>
              </w:rPr>
            </w:pPr>
            <w:r w:rsidRPr="00446F65">
              <w:rPr>
                <w:rFonts w:ascii="Times New Roman" w:hAnsi="Times New Roman" w:cs="Times New Roman"/>
                <w:b/>
                <w:bCs/>
                <w:sz w:val="26"/>
                <w:szCs w:val="26"/>
                <w:lang w:val="ro-MO"/>
              </w:rPr>
              <w:t>Cota 2016 (Si)</w:t>
            </w:r>
          </w:p>
        </w:tc>
        <w:tc>
          <w:tcPr>
            <w:tcW w:w="1984" w:type="dxa"/>
            <w:tcBorders>
              <w:top w:val="single" w:sz="8" w:space="0" w:color="000000"/>
              <w:left w:val="single" w:sz="6" w:space="0" w:color="000000"/>
              <w:bottom w:val="single" w:sz="8" w:space="0" w:color="000000"/>
              <w:right w:val="single" w:sz="8" w:space="0" w:color="000000"/>
            </w:tcBorders>
            <w:shd w:val="clear" w:color="auto" w:fill="FFFFFF"/>
          </w:tcPr>
          <w:p w:rsidR="00157EB8" w:rsidRPr="00446F65" w:rsidRDefault="00157EB8" w:rsidP="009D4489">
            <w:pPr>
              <w:autoSpaceDE w:val="0"/>
              <w:autoSpaceDN w:val="0"/>
              <w:adjustRightInd w:val="0"/>
              <w:spacing w:after="0" w:line="240" w:lineRule="auto"/>
              <w:jc w:val="center"/>
              <w:rPr>
                <w:rFonts w:ascii="Times New Roman" w:hAnsi="Times New Roman" w:cs="Times New Roman"/>
                <w:sz w:val="26"/>
                <w:szCs w:val="26"/>
                <w:lang w:val="ro-MO"/>
              </w:rPr>
            </w:pPr>
            <w:r w:rsidRPr="00446F65">
              <w:rPr>
                <w:rFonts w:ascii="Times New Roman" w:hAnsi="Times New Roman" w:cs="Times New Roman"/>
                <w:b/>
                <w:bCs/>
                <w:sz w:val="26"/>
                <w:szCs w:val="26"/>
                <w:lang w:val="ro-MO"/>
              </w:rPr>
              <w:t>Si</w:t>
            </w:r>
            <w:r w:rsidRPr="00446F65">
              <w:rPr>
                <w:rFonts w:ascii="Times New Roman" w:hAnsi="Times New Roman" w:cs="Times New Roman"/>
                <w:b/>
                <w:bCs/>
                <w:sz w:val="26"/>
                <w:szCs w:val="26"/>
                <w:vertAlign w:val="superscript"/>
                <w:lang w:val="ro-MO"/>
              </w:rPr>
              <w:t>2</w:t>
            </w:r>
          </w:p>
        </w:tc>
      </w:tr>
      <w:tr w:rsidR="00157EB8" w:rsidRPr="00446F65" w:rsidTr="009D4489">
        <w:trPr>
          <w:trHeight w:val="131"/>
        </w:trPr>
        <w:tc>
          <w:tcPr>
            <w:tcW w:w="3366" w:type="dxa"/>
            <w:tcBorders>
              <w:top w:val="single" w:sz="8" w:space="0" w:color="000000"/>
              <w:left w:val="single" w:sz="8" w:space="0" w:color="000000"/>
              <w:bottom w:val="single" w:sz="6" w:space="0" w:color="000000"/>
              <w:right w:val="single" w:sz="6" w:space="0" w:color="000000"/>
            </w:tcBorders>
            <w:shd w:val="clear" w:color="auto" w:fill="FFFFFF"/>
          </w:tcPr>
          <w:p w:rsidR="00157EB8" w:rsidRPr="00446F65" w:rsidRDefault="00157EB8"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Moldtelecom </w:t>
            </w:r>
          </w:p>
        </w:tc>
        <w:tc>
          <w:tcPr>
            <w:tcW w:w="2163" w:type="dxa"/>
            <w:tcBorders>
              <w:top w:val="single" w:sz="8" w:space="0" w:color="000000"/>
              <w:left w:val="single" w:sz="8" w:space="0" w:color="000000"/>
              <w:bottom w:val="single" w:sz="6" w:space="0" w:color="000000"/>
              <w:right w:val="single" w:sz="6" w:space="0" w:color="000000"/>
            </w:tcBorders>
            <w:shd w:val="clear" w:color="auto" w:fill="FFFFFF"/>
          </w:tcPr>
          <w:p w:rsidR="00157EB8" w:rsidRPr="00446F65" w:rsidRDefault="00157EB8" w:rsidP="009D4489">
            <w:pPr>
              <w:autoSpaceDE w:val="0"/>
              <w:autoSpaceDN w:val="0"/>
              <w:adjustRightInd w:val="0"/>
              <w:spacing w:after="0" w:line="240" w:lineRule="auto"/>
              <w:ind w:right="459"/>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65,3% </w:t>
            </w:r>
          </w:p>
        </w:tc>
        <w:tc>
          <w:tcPr>
            <w:tcW w:w="1984" w:type="dxa"/>
            <w:tcBorders>
              <w:top w:val="single" w:sz="8" w:space="0" w:color="000000"/>
              <w:left w:val="single" w:sz="6" w:space="0" w:color="000000"/>
              <w:bottom w:val="single" w:sz="6" w:space="0" w:color="000000"/>
              <w:right w:val="single" w:sz="8" w:space="0" w:color="000000"/>
            </w:tcBorders>
            <w:shd w:val="clear" w:color="auto" w:fill="FFFFFF"/>
          </w:tcPr>
          <w:p w:rsidR="00157EB8" w:rsidRPr="00446F65" w:rsidRDefault="00157EB8" w:rsidP="009D4489">
            <w:pPr>
              <w:autoSpaceDE w:val="0"/>
              <w:autoSpaceDN w:val="0"/>
              <w:adjustRightInd w:val="0"/>
              <w:spacing w:after="0" w:line="240" w:lineRule="auto"/>
              <w:ind w:right="459"/>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0,4264</w:t>
            </w:r>
          </w:p>
        </w:tc>
      </w:tr>
      <w:tr w:rsidR="00157EB8" w:rsidRPr="00446F65" w:rsidTr="009D4489">
        <w:trPr>
          <w:trHeight w:val="131"/>
        </w:trPr>
        <w:tc>
          <w:tcPr>
            <w:tcW w:w="3366" w:type="dxa"/>
            <w:tcBorders>
              <w:top w:val="single" w:sz="6" w:space="0" w:color="000000"/>
              <w:left w:val="single" w:sz="8" w:space="0" w:color="000000"/>
              <w:bottom w:val="single" w:sz="6" w:space="0" w:color="000000"/>
              <w:right w:val="single" w:sz="6" w:space="0" w:color="000000"/>
            </w:tcBorders>
            <w:shd w:val="clear" w:color="auto" w:fill="FFFFFF"/>
          </w:tcPr>
          <w:p w:rsidR="00157EB8" w:rsidRPr="00446F65" w:rsidRDefault="00157EB8"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StarNet </w:t>
            </w:r>
          </w:p>
        </w:tc>
        <w:tc>
          <w:tcPr>
            <w:tcW w:w="2163" w:type="dxa"/>
            <w:tcBorders>
              <w:top w:val="single" w:sz="6" w:space="0" w:color="000000"/>
              <w:left w:val="single" w:sz="8" w:space="0" w:color="000000"/>
              <w:bottom w:val="single" w:sz="6" w:space="0" w:color="000000"/>
              <w:right w:val="single" w:sz="6" w:space="0" w:color="000000"/>
            </w:tcBorders>
            <w:shd w:val="clear" w:color="auto" w:fill="FFFFFF"/>
          </w:tcPr>
          <w:p w:rsidR="00157EB8" w:rsidRPr="00446F65" w:rsidRDefault="00157EB8" w:rsidP="009D4489">
            <w:pPr>
              <w:autoSpaceDE w:val="0"/>
              <w:autoSpaceDN w:val="0"/>
              <w:adjustRightInd w:val="0"/>
              <w:spacing w:after="0" w:line="240" w:lineRule="auto"/>
              <w:ind w:right="459"/>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20%</w:t>
            </w:r>
          </w:p>
        </w:tc>
        <w:tc>
          <w:tcPr>
            <w:tcW w:w="1984" w:type="dxa"/>
            <w:tcBorders>
              <w:top w:val="single" w:sz="6" w:space="0" w:color="000000"/>
              <w:left w:val="single" w:sz="6" w:space="0" w:color="000000"/>
              <w:bottom w:val="single" w:sz="6" w:space="0" w:color="000000"/>
              <w:right w:val="single" w:sz="8" w:space="0" w:color="000000"/>
            </w:tcBorders>
            <w:shd w:val="clear" w:color="auto" w:fill="FFFFFF"/>
          </w:tcPr>
          <w:p w:rsidR="00157EB8" w:rsidRPr="00446F65" w:rsidRDefault="009D4489" w:rsidP="009D4489">
            <w:pPr>
              <w:autoSpaceDE w:val="0"/>
              <w:autoSpaceDN w:val="0"/>
              <w:adjustRightInd w:val="0"/>
              <w:spacing w:after="0" w:line="240" w:lineRule="auto"/>
              <w:ind w:right="459"/>
              <w:jc w:val="right"/>
              <w:rPr>
                <w:rFonts w:ascii="Times New Roman" w:hAnsi="Times New Roman" w:cs="Times New Roman"/>
                <w:sz w:val="26"/>
                <w:szCs w:val="26"/>
                <w:lang w:val="ro-MO"/>
              </w:rPr>
            </w:pPr>
            <w:r>
              <w:rPr>
                <w:rFonts w:ascii="Times New Roman" w:hAnsi="Times New Roman" w:cs="Times New Roman"/>
                <w:sz w:val="26"/>
                <w:szCs w:val="26"/>
                <w:lang w:val="ro-MO"/>
              </w:rPr>
              <w:t>0,04</w:t>
            </w:r>
          </w:p>
        </w:tc>
      </w:tr>
      <w:tr w:rsidR="00157EB8" w:rsidRPr="00446F65" w:rsidTr="009D4489">
        <w:trPr>
          <w:trHeight w:val="131"/>
        </w:trPr>
        <w:tc>
          <w:tcPr>
            <w:tcW w:w="3366" w:type="dxa"/>
            <w:tcBorders>
              <w:top w:val="single" w:sz="6" w:space="0" w:color="000000"/>
              <w:left w:val="single" w:sz="8" w:space="0" w:color="000000"/>
              <w:bottom w:val="single" w:sz="6" w:space="0" w:color="000000"/>
              <w:right w:val="single" w:sz="6" w:space="0" w:color="000000"/>
            </w:tcBorders>
            <w:shd w:val="clear" w:color="auto" w:fill="FFFFFF"/>
          </w:tcPr>
          <w:p w:rsidR="00157EB8" w:rsidRPr="00446F65" w:rsidRDefault="00157EB8"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Alţi furnizori</w:t>
            </w:r>
          </w:p>
        </w:tc>
        <w:tc>
          <w:tcPr>
            <w:tcW w:w="2163" w:type="dxa"/>
            <w:tcBorders>
              <w:top w:val="single" w:sz="6" w:space="0" w:color="000000"/>
              <w:left w:val="single" w:sz="8" w:space="0" w:color="000000"/>
              <w:bottom w:val="single" w:sz="6" w:space="0" w:color="000000"/>
              <w:right w:val="single" w:sz="6" w:space="0" w:color="000000"/>
            </w:tcBorders>
            <w:shd w:val="clear" w:color="auto" w:fill="FFFFFF"/>
          </w:tcPr>
          <w:p w:rsidR="00157EB8" w:rsidRPr="00446F65" w:rsidRDefault="00157EB8" w:rsidP="009D4489">
            <w:pPr>
              <w:autoSpaceDE w:val="0"/>
              <w:autoSpaceDN w:val="0"/>
              <w:adjustRightInd w:val="0"/>
              <w:spacing w:after="0" w:line="240" w:lineRule="auto"/>
              <w:ind w:right="459"/>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14,7%</w:t>
            </w:r>
          </w:p>
        </w:tc>
        <w:tc>
          <w:tcPr>
            <w:tcW w:w="1984" w:type="dxa"/>
            <w:tcBorders>
              <w:top w:val="single" w:sz="6" w:space="0" w:color="000000"/>
              <w:left w:val="single" w:sz="6" w:space="0" w:color="000000"/>
              <w:bottom w:val="single" w:sz="6" w:space="0" w:color="000000"/>
              <w:right w:val="single" w:sz="8" w:space="0" w:color="000000"/>
            </w:tcBorders>
            <w:shd w:val="clear" w:color="auto" w:fill="FFFFFF"/>
          </w:tcPr>
          <w:p w:rsidR="00157EB8" w:rsidRPr="00446F65" w:rsidRDefault="00157EB8" w:rsidP="009D4489">
            <w:pPr>
              <w:autoSpaceDE w:val="0"/>
              <w:autoSpaceDN w:val="0"/>
              <w:adjustRightInd w:val="0"/>
              <w:spacing w:after="0" w:line="240" w:lineRule="auto"/>
              <w:ind w:right="459"/>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0,0216</w:t>
            </w:r>
          </w:p>
        </w:tc>
      </w:tr>
      <w:tr w:rsidR="00157EB8" w:rsidRPr="009D4489" w:rsidTr="009D4489">
        <w:trPr>
          <w:trHeight w:val="133"/>
        </w:trPr>
        <w:tc>
          <w:tcPr>
            <w:tcW w:w="3366" w:type="dxa"/>
            <w:tcBorders>
              <w:top w:val="single" w:sz="6" w:space="0" w:color="000000"/>
              <w:left w:val="single" w:sz="8" w:space="0" w:color="000000"/>
              <w:bottom w:val="single" w:sz="8" w:space="0" w:color="000000"/>
              <w:right w:val="single" w:sz="6" w:space="0" w:color="000000"/>
            </w:tcBorders>
            <w:shd w:val="clear" w:color="auto" w:fill="FFFFFF"/>
          </w:tcPr>
          <w:p w:rsidR="00157EB8" w:rsidRPr="009D4489" w:rsidRDefault="00157EB8" w:rsidP="00317915">
            <w:pPr>
              <w:autoSpaceDE w:val="0"/>
              <w:autoSpaceDN w:val="0"/>
              <w:adjustRightInd w:val="0"/>
              <w:spacing w:after="0" w:line="240" w:lineRule="auto"/>
              <w:jc w:val="both"/>
              <w:rPr>
                <w:rFonts w:ascii="Times New Roman" w:hAnsi="Times New Roman" w:cs="Times New Roman"/>
                <w:b/>
                <w:sz w:val="26"/>
                <w:szCs w:val="26"/>
                <w:lang w:val="ro-MO"/>
              </w:rPr>
            </w:pPr>
            <w:r w:rsidRPr="009D4489">
              <w:rPr>
                <w:rFonts w:ascii="Times New Roman" w:hAnsi="Times New Roman" w:cs="Times New Roman"/>
                <w:b/>
                <w:sz w:val="26"/>
                <w:szCs w:val="26"/>
                <w:lang w:val="ro-MO"/>
              </w:rPr>
              <w:t>Sumar</w:t>
            </w:r>
            <w:r w:rsidR="009D4489">
              <w:rPr>
                <w:rFonts w:ascii="Times New Roman" w:hAnsi="Times New Roman" w:cs="Times New Roman"/>
                <w:b/>
                <w:sz w:val="26"/>
                <w:szCs w:val="26"/>
                <w:lang w:val="ro-MO"/>
              </w:rPr>
              <w:t>:</w:t>
            </w:r>
            <w:r w:rsidRPr="009D4489">
              <w:rPr>
                <w:rFonts w:ascii="Times New Roman" w:hAnsi="Times New Roman" w:cs="Times New Roman"/>
                <w:b/>
                <w:sz w:val="26"/>
                <w:szCs w:val="26"/>
                <w:lang w:val="ro-MO"/>
              </w:rPr>
              <w:t xml:space="preserve"> </w:t>
            </w:r>
          </w:p>
        </w:tc>
        <w:tc>
          <w:tcPr>
            <w:tcW w:w="2163" w:type="dxa"/>
            <w:tcBorders>
              <w:top w:val="single" w:sz="6" w:space="0" w:color="000000"/>
              <w:left w:val="single" w:sz="8" w:space="0" w:color="000000"/>
              <w:bottom w:val="single" w:sz="8" w:space="0" w:color="000000"/>
              <w:right w:val="single" w:sz="6" w:space="0" w:color="000000"/>
            </w:tcBorders>
            <w:shd w:val="clear" w:color="auto" w:fill="FFFFFF"/>
          </w:tcPr>
          <w:p w:rsidR="00157EB8" w:rsidRPr="009D4489" w:rsidRDefault="00157EB8" w:rsidP="009D4489">
            <w:pPr>
              <w:autoSpaceDE w:val="0"/>
              <w:autoSpaceDN w:val="0"/>
              <w:adjustRightInd w:val="0"/>
              <w:spacing w:after="0" w:line="240" w:lineRule="auto"/>
              <w:ind w:right="459"/>
              <w:jc w:val="right"/>
              <w:rPr>
                <w:rFonts w:ascii="Times New Roman" w:hAnsi="Times New Roman" w:cs="Times New Roman"/>
                <w:b/>
                <w:sz w:val="26"/>
                <w:szCs w:val="26"/>
                <w:lang w:val="ro-MO"/>
              </w:rPr>
            </w:pPr>
            <w:r w:rsidRPr="009D4489">
              <w:rPr>
                <w:rFonts w:ascii="Times New Roman" w:hAnsi="Times New Roman" w:cs="Times New Roman"/>
                <w:b/>
                <w:sz w:val="26"/>
                <w:szCs w:val="26"/>
                <w:lang w:val="ro-MO"/>
              </w:rPr>
              <w:t>100%</w:t>
            </w:r>
          </w:p>
        </w:tc>
        <w:tc>
          <w:tcPr>
            <w:tcW w:w="1984" w:type="dxa"/>
            <w:tcBorders>
              <w:top w:val="single" w:sz="6" w:space="0" w:color="000000"/>
              <w:left w:val="single" w:sz="6" w:space="0" w:color="000000"/>
              <w:bottom w:val="single" w:sz="8" w:space="0" w:color="000000"/>
              <w:right w:val="single" w:sz="8" w:space="0" w:color="000000"/>
            </w:tcBorders>
            <w:shd w:val="clear" w:color="auto" w:fill="FFFFFF"/>
          </w:tcPr>
          <w:p w:rsidR="00157EB8" w:rsidRPr="009D4489" w:rsidRDefault="00157EB8" w:rsidP="009D4489">
            <w:pPr>
              <w:autoSpaceDE w:val="0"/>
              <w:autoSpaceDN w:val="0"/>
              <w:adjustRightInd w:val="0"/>
              <w:spacing w:after="0" w:line="240" w:lineRule="auto"/>
              <w:ind w:right="459"/>
              <w:jc w:val="right"/>
              <w:rPr>
                <w:rFonts w:ascii="Times New Roman" w:hAnsi="Times New Roman" w:cs="Times New Roman"/>
                <w:b/>
                <w:sz w:val="26"/>
                <w:szCs w:val="26"/>
                <w:lang w:val="ro-MO"/>
              </w:rPr>
            </w:pPr>
            <w:r w:rsidRPr="009D4489">
              <w:rPr>
                <w:rFonts w:ascii="Times New Roman" w:hAnsi="Times New Roman" w:cs="Times New Roman"/>
                <w:b/>
                <w:bCs/>
                <w:sz w:val="26"/>
                <w:szCs w:val="26"/>
                <w:lang w:val="ro-MO"/>
              </w:rPr>
              <w:t>0,488</w:t>
            </w:r>
          </w:p>
        </w:tc>
      </w:tr>
    </w:tbl>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b/>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b/>
          <w:sz w:val="26"/>
          <w:szCs w:val="26"/>
          <w:lang w:val="ro-MO"/>
        </w:rPr>
      </w:pPr>
      <w:r w:rsidRPr="00446F65">
        <w:rPr>
          <w:rFonts w:ascii="Times New Roman" w:hAnsi="Times New Roman" w:cs="Times New Roman"/>
          <w:b/>
          <w:sz w:val="26"/>
          <w:szCs w:val="26"/>
          <w:lang w:val="ro-MO"/>
        </w:rPr>
        <w:t xml:space="preserve">Tabel </w:t>
      </w:r>
      <w:r w:rsidR="00E92F58" w:rsidRPr="00446F65">
        <w:rPr>
          <w:rFonts w:ascii="Times New Roman" w:hAnsi="Times New Roman" w:cs="Times New Roman"/>
          <w:b/>
          <w:sz w:val="26"/>
          <w:szCs w:val="26"/>
          <w:lang w:val="ro-MO"/>
        </w:rPr>
        <w:t>4</w:t>
      </w:r>
      <w:r w:rsidRPr="00446F65">
        <w:rPr>
          <w:rFonts w:ascii="Times New Roman" w:hAnsi="Times New Roman" w:cs="Times New Roman"/>
          <w:b/>
          <w:sz w:val="26"/>
          <w:szCs w:val="26"/>
          <w:lang w:val="ro-MO"/>
        </w:rPr>
        <w:t xml:space="preserve">: </w:t>
      </w:r>
      <w:r w:rsidRPr="00446F65">
        <w:rPr>
          <w:rFonts w:ascii="Times New Roman" w:hAnsi="Times New Roman" w:cs="Times New Roman"/>
          <w:b/>
          <w:bCs/>
          <w:color w:val="000000"/>
          <w:sz w:val="26"/>
          <w:szCs w:val="26"/>
          <w:lang w:val="ro-MO"/>
        </w:rPr>
        <w:t>Calcularea Indicelui IHH pentru piaţa WCA, determinat de volumul de auto-furnizări</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b/>
          <w:sz w:val="26"/>
          <w:szCs w:val="26"/>
          <w:lang w:val="ro-MO"/>
        </w:rPr>
      </w:pPr>
    </w:p>
    <w:tbl>
      <w:tblPr>
        <w:tblW w:w="0" w:type="auto"/>
        <w:tblInd w:w="124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366"/>
        <w:gridCol w:w="2021"/>
        <w:gridCol w:w="2126"/>
      </w:tblGrid>
      <w:tr w:rsidR="00157EB8" w:rsidRPr="00446F65" w:rsidTr="009D4489">
        <w:trPr>
          <w:trHeight w:val="176"/>
        </w:trPr>
        <w:tc>
          <w:tcPr>
            <w:tcW w:w="3366" w:type="dxa"/>
            <w:tcBorders>
              <w:top w:val="single" w:sz="6" w:space="0" w:color="000000"/>
              <w:bottom w:val="single" w:sz="8" w:space="0" w:color="000000"/>
              <w:right w:val="single" w:sz="6" w:space="0" w:color="000000"/>
            </w:tcBorders>
            <w:shd w:val="clear" w:color="auto" w:fill="FFFFFF"/>
          </w:tcPr>
          <w:p w:rsidR="00157EB8" w:rsidRPr="00446F65" w:rsidRDefault="00157EB8" w:rsidP="009D4489">
            <w:pPr>
              <w:autoSpaceDE w:val="0"/>
              <w:autoSpaceDN w:val="0"/>
              <w:adjustRightInd w:val="0"/>
              <w:spacing w:after="0" w:line="240" w:lineRule="auto"/>
              <w:jc w:val="center"/>
              <w:rPr>
                <w:rFonts w:ascii="Times New Roman" w:hAnsi="Times New Roman" w:cs="Times New Roman"/>
                <w:sz w:val="26"/>
                <w:szCs w:val="26"/>
                <w:lang w:val="ro-MO"/>
              </w:rPr>
            </w:pPr>
            <w:r w:rsidRPr="00446F65">
              <w:rPr>
                <w:rFonts w:ascii="Times New Roman" w:hAnsi="Times New Roman" w:cs="Times New Roman"/>
                <w:b/>
                <w:bCs/>
                <w:sz w:val="26"/>
                <w:szCs w:val="26"/>
                <w:lang w:val="ro-MO"/>
              </w:rPr>
              <w:t>Furnizori</w:t>
            </w:r>
          </w:p>
        </w:tc>
        <w:tc>
          <w:tcPr>
            <w:tcW w:w="2021" w:type="dxa"/>
            <w:tcBorders>
              <w:top w:val="single" w:sz="8" w:space="0" w:color="000000"/>
              <w:left w:val="single" w:sz="8" w:space="0" w:color="000000"/>
              <w:bottom w:val="single" w:sz="8" w:space="0" w:color="000000"/>
              <w:right w:val="single" w:sz="6" w:space="0" w:color="000000"/>
            </w:tcBorders>
            <w:shd w:val="clear" w:color="auto" w:fill="FFFFFF"/>
          </w:tcPr>
          <w:p w:rsidR="00157EB8" w:rsidRPr="00446F65" w:rsidRDefault="00157EB8" w:rsidP="009D4489">
            <w:pPr>
              <w:autoSpaceDE w:val="0"/>
              <w:autoSpaceDN w:val="0"/>
              <w:adjustRightInd w:val="0"/>
              <w:spacing w:after="0" w:line="240" w:lineRule="auto"/>
              <w:jc w:val="center"/>
              <w:rPr>
                <w:rFonts w:ascii="Times New Roman" w:hAnsi="Times New Roman" w:cs="Times New Roman"/>
                <w:sz w:val="26"/>
                <w:szCs w:val="26"/>
                <w:lang w:val="ro-MO"/>
              </w:rPr>
            </w:pPr>
            <w:r w:rsidRPr="00446F65">
              <w:rPr>
                <w:rFonts w:ascii="Times New Roman" w:hAnsi="Times New Roman" w:cs="Times New Roman"/>
                <w:b/>
                <w:bCs/>
                <w:sz w:val="26"/>
                <w:szCs w:val="26"/>
                <w:lang w:val="ro-MO"/>
              </w:rPr>
              <w:t>Cota 2016 (Si)</w:t>
            </w:r>
          </w:p>
        </w:tc>
        <w:tc>
          <w:tcPr>
            <w:tcW w:w="2126" w:type="dxa"/>
            <w:tcBorders>
              <w:top w:val="single" w:sz="8" w:space="0" w:color="000000"/>
              <w:left w:val="single" w:sz="6" w:space="0" w:color="000000"/>
              <w:bottom w:val="single" w:sz="8" w:space="0" w:color="000000"/>
              <w:right w:val="single" w:sz="8" w:space="0" w:color="000000"/>
            </w:tcBorders>
            <w:shd w:val="clear" w:color="auto" w:fill="FFFFFF"/>
          </w:tcPr>
          <w:p w:rsidR="00157EB8" w:rsidRPr="00446F65" w:rsidRDefault="00157EB8" w:rsidP="009D4489">
            <w:pPr>
              <w:autoSpaceDE w:val="0"/>
              <w:autoSpaceDN w:val="0"/>
              <w:adjustRightInd w:val="0"/>
              <w:spacing w:after="0" w:line="240" w:lineRule="auto"/>
              <w:jc w:val="center"/>
              <w:rPr>
                <w:rFonts w:ascii="Times New Roman" w:hAnsi="Times New Roman" w:cs="Times New Roman"/>
                <w:sz w:val="26"/>
                <w:szCs w:val="26"/>
                <w:lang w:val="ro-MO"/>
              </w:rPr>
            </w:pPr>
            <w:r w:rsidRPr="00446F65">
              <w:rPr>
                <w:rFonts w:ascii="Times New Roman" w:hAnsi="Times New Roman" w:cs="Times New Roman"/>
                <w:b/>
                <w:bCs/>
                <w:sz w:val="26"/>
                <w:szCs w:val="26"/>
                <w:lang w:val="ro-MO"/>
              </w:rPr>
              <w:t>Si</w:t>
            </w:r>
            <w:r w:rsidRPr="00446F65">
              <w:rPr>
                <w:rFonts w:ascii="Times New Roman" w:hAnsi="Times New Roman" w:cs="Times New Roman"/>
                <w:b/>
                <w:bCs/>
                <w:sz w:val="26"/>
                <w:szCs w:val="26"/>
                <w:vertAlign w:val="superscript"/>
                <w:lang w:val="ro-MO"/>
              </w:rPr>
              <w:t>2</w:t>
            </w:r>
          </w:p>
        </w:tc>
      </w:tr>
      <w:tr w:rsidR="00157EB8" w:rsidRPr="00446F65" w:rsidTr="009D4489">
        <w:trPr>
          <w:trHeight w:val="131"/>
        </w:trPr>
        <w:tc>
          <w:tcPr>
            <w:tcW w:w="3366" w:type="dxa"/>
            <w:tcBorders>
              <w:top w:val="single" w:sz="8" w:space="0" w:color="000000"/>
              <w:left w:val="single" w:sz="8" w:space="0" w:color="000000"/>
              <w:bottom w:val="single" w:sz="6" w:space="0" w:color="000000"/>
              <w:right w:val="single" w:sz="6" w:space="0" w:color="000000"/>
            </w:tcBorders>
            <w:shd w:val="clear" w:color="auto" w:fill="FFFFFF"/>
          </w:tcPr>
          <w:p w:rsidR="00157EB8" w:rsidRPr="00446F65" w:rsidRDefault="00157EB8"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Moldtelecom </w:t>
            </w:r>
          </w:p>
        </w:tc>
        <w:tc>
          <w:tcPr>
            <w:tcW w:w="2021" w:type="dxa"/>
            <w:tcBorders>
              <w:top w:val="single" w:sz="8" w:space="0" w:color="000000"/>
              <w:left w:val="single" w:sz="8" w:space="0" w:color="000000"/>
              <w:bottom w:val="single" w:sz="6" w:space="0" w:color="000000"/>
              <w:right w:val="single" w:sz="6" w:space="0" w:color="000000"/>
            </w:tcBorders>
            <w:shd w:val="clear" w:color="auto" w:fill="FFFFFF"/>
          </w:tcPr>
          <w:p w:rsidR="00157EB8" w:rsidRPr="00446F65" w:rsidRDefault="00157EB8" w:rsidP="009D4489">
            <w:pPr>
              <w:autoSpaceDE w:val="0"/>
              <w:autoSpaceDN w:val="0"/>
              <w:adjustRightInd w:val="0"/>
              <w:spacing w:after="0" w:line="240" w:lineRule="auto"/>
              <w:ind w:right="317"/>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88,95% </w:t>
            </w:r>
          </w:p>
        </w:tc>
        <w:tc>
          <w:tcPr>
            <w:tcW w:w="2126" w:type="dxa"/>
            <w:tcBorders>
              <w:top w:val="single" w:sz="8" w:space="0" w:color="000000"/>
              <w:left w:val="single" w:sz="6" w:space="0" w:color="000000"/>
              <w:bottom w:val="single" w:sz="6" w:space="0" w:color="000000"/>
              <w:right w:val="single" w:sz="8" w:space="0" w:color="000000"/>
            </w:tcBorders>
            <w:shd w:val="clear" w:color="auto" w:fill="FFFFFF"/>
          </w:tcPr>
          <w:p w:rsidR="00157EB8" w:rsidRPr="00446F65" w:rsidRDefault="00157EB8" w:rsidP="009D4489">
            <w:pPr>
              <w:autoSpaceDE w:val="0"/>
              <w:autoSpaceDN w:val="0"/>
              <w:adjustRightInd w:val="0"/>
              <w:spacing w:after="0" w:line="240" w:lineRule="auto"/>
              <w:ind w:right="317"/>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0,7912</w:t>
            </w:r>
          </w:p>
        </w:tc>
      </w:tr>
      <w:tr w:rsidR="00157EB8" w:rsidRPr="00446F65" w:rsidTr="009D4489">
        <w:trPr>
          <w:trHeight w:val="131"/>
        </w:trPr>
        <w:tc>
          <w:tcPr>
            <w:tcW w:w="3366" w:type="dxa"/>
            <w:tcBorders>
              <w:top w:val="single" w:sz="6" w:space="0" w:color="000000"/>
              <w:left w:val="single" w:sz="8" w:space="0" w:color="000000"/>
              <w:bottom w:val="single" w:sz="6" w:space="0" w:color="000000"/>
              <w:right w:val="single" w:sz="6" w:space="0" w:color="000000"/>
            </w:tcBorders>
            <w:shd w:val="clear" w:color="auto" w:fill="FFFFFF"/>
          </w:tcPr>
          <w:p w:rsidR="00157EB8" w:rsidRPr="00446F65" w:rsidRDefault="00157EB8"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StarNet </w:t>
            </w:r>
          </w:p>
        </w:tc>
        <w:tc>
          <w:tcPr>
            <w:tcW w:w="2021" w:type="dxa"/>
            <w:tcBorders>
              <w:top w:val="single" w:sz="6" w:space="0" w:color="000000"/>
              <w:left w:val="single" w:sz="8" w:space="0" w:color="000000"/>
              <w:bottom w:val="single" w:sz="6" w:space="0" w:color="000000"/>
              <w:right w:val="single" w:sz="6" w:space="0" w:color="000000"/>
            </w:tcBorders>
            <w:shd w:val="clear" w:color="auto" w:fill="FFFFFF"/>
          </w:tcPr>
          <w:p w:rsidR="00157EB8" w:rsidRPr="00446F65" w:rsidRDefault="00157EB8" w:rsidP="009D4489">
            <w:pPr>
              <w:autoSpaceDE w:val="0"/>
              <w:autoSpaceDN w:val="0"/>
              <w:adjustRightInd w:val="0"/>
              <w:spacing w:after="0" w:line="240" w:lineRule="auto"/>
              <w:ind w:right="317"/>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8,1%</w:t>
            </w:r>
          </w:p>
        </w:tc>
        <w:tc>
          <w:tcPr>
            <w:tcW w:w="2126" w:type="dxa"/>
            <w:tcBorders>
              <w:top w:val="single" w:sz="6" w:space="0" w:color="000000"/>
              <w:left w:val="single" w:sz="6" w:space="0" w:color="000000"/>
              <w:bottom w:val="single" w:sz="6" w:space="0" w:color="000000"/>
              <w:right w:val="single" w:sz="8" w:space="0" w:color="000000"/>
            </w:tcBorders>
            <w:shd w:val="clear" w:color="auto" w:fill="FFFFFF"/>
          </w:tcPr>
          <w:p w:rsidR="00157EB8" w:rsidRPr="00446F65" w:rsidRDefault="009D4489" w:rsidP="009D4489">
            <w:pPr>
              <w:autoSpaceDE w:val="0"/>
              <w:autoSpaceDN w:val="0"/>
              <w:adjustRightInd w:val="0"/>
              <w:spacing w:after="0" w:line="240" w:lineRule="auto"/>
              <w:ind w:right="317"/>
              <w:jc w:val="right"/>
              <w:rPr>
                <w:rFonts w:ascii="Times New Roman" w:hAnsi="Times New Roman" w:cs="Times New Roman"/>
                <w:sz w:val="26"/>
                <w:szCs w:val="26"/>
                <w:lang w:val="ro-MO"/>
              </w:rPr>
            </w:pPr>
            <w:r>
              <w:rPr>
                <w:rFonts w:ascii="Times New Roman" w:hAnsi="Times New Roman" w:cs="Times New Roman"/>
                <w:sz w:val="26"/>
                <w:szCs w:val="26"/>
                <w:lang w:val="ro-MO"/>
              </w:rPr>
              <w:t>0,0066</w:t>
            </w:r>
          </w:p>
        </w:tc>
      </w:tr>
      <w:tr w:rsidR="00157EB8" w:rsidRPr="00446F65" w:rsidTr="009D4489">
        <w:trPr>
          <w:trHeight w:val="131"/>
        </w:trPr>
        <w:tc>
          <w:tcPr>
            <w:tcW w:w="3366" w:type="dxa"/>
            <w:tcBorders>
              <w:top w:val="single" w:sz="6" w:space="0" w:color="000000"/>
              <w:left w:val="single" w:sz="8" w:space="0" w:color="000000"/>
              <w:bottom w:val="single" w:sz="6" w:space="0" w:color="000000"/>
              <w:right w:val="single" w:sz="6" w:space="0" w:color="000000"/>
            </w:tcBorders>
            <w:shd w:val="clear" w:color="auto" w:fill="FFFFFF"/>
          </w:tcPr>
          <w:p w:rsidR="00157EB8" w:rsidRPr="00446F65" w:rsidRDefault="00157EB8" w:rsidP="00317915">
            <w:pPr>
              <w:autoSpaceDE w:val="0"/>
              <w:autoSpaceDN w:val="0"/>
              <w:adjustRightInd w:val="0"/>
              <w:spacing w:after="0" w:line="240" w:lineRule="auto"/>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Alţi furnizori</w:t>
            </w:r>
          </w:p>
        </w:tc>
        <w:tc>
          <w:tcPr>
            <w:tcW w:w="2021" w:type="dxa"/>
            <w:tcBorders>
              <w:top w:val="single" w:sz="6" w:space="0" w:color="000000"/>
              <w:left w:val="single" w:sz="8" w:space="0" w:color="000000"/>
              <w:bottom w:val="single" w:sz="6" w:space="0" w:color="000000"/>
              <w:right w:val="single" w:sz="6" w:space="0" w:color="000000"/>
            </w:tcBorders>
            <w:shd w:val="clear" w:color="auto" w:fill="FFFFFF"/>
          </w:tcPr>
          <w:p w:rsidR="00157EB8" w:rsidRPr="00446F65" w:rsidRDefault="00157EB8" w:rsidP="009D4489">
            <w:pPr>
              <w:autoSpaceDE w:val="0"/>
              <w:autoSpaceDN w:val="0"/>
              <w:adjustRightInd w:val="0"/>
              <w:spacing w:after="0" w:line="240" w:lineRule="auto"/>
              <w:ind w:right="317"/>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2,95%</w:t>
            </w:r>
          </w:p>
        </w:tc>
        <w:tc>
          <w:tcPr>
            <w:tcW w:w="2126" w:type="dxa"/>
            <w:tcBorders>
              <w:top w:val="single" w:sz="6" w:space="0" w:color="000000"/>
              <w:left w:val="single" w:sz="6" w:space="0" w:color="000000"/>
              <w:bottom w:val="single" w:sz="6" w:space="0" w:color="000000"/>
              <w:right w:val="single" w:sz="8" w:space="0" w:color="000000"/>
            </w:tcBorders>
            <w:shd w:val="clear" w:color="auto" w:fill="FFFFFF"/>
          </w:tcPr>
          <w:p w:rsidR="00157EB8" w:rsidRPr="00446F65" w:rsidRDefault="00157EB8" w:rsidP="009D4489">
            <w:pPr>
              <w:autoSpaceDE w:val="0"/>
              <w:autoSpaceDN w:val="0"/>
              <w:adjustRightInd w:val="0"/>
              <w:spacing w:after="0" w:line="240" w:lineRule="auto"/>
              <w:ind w:right="317"/>
              <w:jc w:val="right"/>
              <w:rPr>
                <w:rFonts w:ascii="Times New Roman" w:hAnsi="Times New Roman" w:cs="Times New Roman"/>
                <w:sz w:val="26"/>
                <w:szCs w:val="26"/>
                <w:lang w:val="ro-MO"/>
              </w:rPr>
            </w:pPr>
            <w:r w:rsidRPr="00446F65">
              <w:rPr>
                <w:rFonts w:ascii="Times New Roman" w:hAnsi="Times New Roman" w:cs="Times New Roman"/>
                <w:sz w:val="26"/>
                <w:szCs w:val="26"/>
                <w:lang w:val="ro-MO"/>
              </w:rPr>
              <w:t>0,0009</w:t>
            </w:r>
          </w:p>
        </w:tc>
      </w:tr>
      <w:tr w:rsidR="00157EB8" w:rsidRPr="009D4489" w:rsidTr="009D4489">
        <w:trPr>
          <w:trHeight w:val="133"/>
        </w:trPr>
        <w:tc>
          <w:tcPr>
            <w:tcW w:w="3366" w:type="dxa"/>
            <w:tcBorders>
              <w:top w:val="single" w:sz="6" w:space="0" w:color="000000"/>
              <w:left w:val="single" w:sz="8" w:space="0" w:color="000000"/>
              <w:bottom w:val="single" w:sz="8" w:space="0" w:color="000000"/>
              <w:right w:val="single" w:sz="6" w:space="0" w:color="000000"/>
            </w:tcBorders>
            <w:shd w:val="clear" w:color="auto" w:fill="FFFFFF"/>
          </w:tcPr>
          <w:p w:rsidR="00157EB8" w:rsidRPr="009D4489" w:rsidRDefault="00157EB8" w:rsidP="00317915">
            <w:pPr>
              <w:autoSpaceDE w:val="0"/>
              <w:autoSpaceDN w:val="0"/>
              <w:adjustRightInd w:val="0"/>
              <w:spacing w:after="0" w:line="240" w:lineRule="auto"/>
              <w:jc w:val="both"/>
              <w:rPr>
                <w:rFonts w:ascii="Times New Roman" w:hAnsi="Times New Roman" w:cs="Times New Roman"/>
                <w:b/>
                <w:sz w:val="26"/>
                <w:szCs w:val="26"/>
                <w:lang w:val="ro-MO"/>
              </w:rPr>
            </w:pPr>
            <w:r w:rsidRPr="009D4489">
              <w:rPr>
                <w:rFonts w:ascii="Times New Roman" w:hAnsi="Times New Roman" w:cs="Times New Roman"/>
                <w:b/>
                <w:sz w:val="26"/>
                <w:szCs w:val="26"/>
                <w:lang w:val="ro-MO"/>
              </w:rPr>
              <w:t>Sumar</w:t>
            </w:r>
            <w:r w:rsidR="009D4489">
              <w:rPr>
                <w:rFonts w:ascii="Times New Roman" w:hAnsi="Times New Roman" w:cs="Times New Roman"/>
                <w:b/>
                <w:sz w:val="26"/>
                <w:szCs w:val="26"/>
                <w:lang w:val="ro-MO"/>
              </w:rPr>
              <w:t>:</w:t>
            </w:r>
            <w:r w:rsidRPr="009D4489">
              <w:rPr>
                <w:rFonts w:ascii="Times New Roman" w:hAnsi="Times New Roman" w:cs="Times New Roman"/>
                <w:b/>
                <w:sz w:val="26"/>
                <w:szCs w:val="26"/>
                <w:lang w:val="ro-MO"/>
              </w:rPr>
              <w:t xml:space="preserve"> </w:t>
            </w:r>
          </w:p>
        </w:tc>
        <w:tc>
          <w:tcPr>
            <w:tcW w:w="2021" w:type="dxa"/>
            <w:tcBorders>
              <w:top w:val="single" w:sz="6" w:space="0" w:color="000000"/>
              <w:left w:val="single" w:sz="8" w:space="0" w:color="000000"/>
              <w:bottom w:val="single" w:sz="8" w:space="0" w:color="000000"/>
              <w:right w:val="single" w:sz="6" w:space="0" w:color="000000"/>
            </w:tcBorders>
            <w:shd w:val="clear" w:color="auto" w:fill="FFFFFF"/>
          </w:tcPr>
          <w:p w:rsidR="00157EB8" w:rsidRPr="009D4489" w:rsidRDefault="00157EB8" w:rsidP="009D4489">
            <w:pPr>
              <w:autoSpaceDE w:val="0"/>
              <w:autoSpaceDN w:val="0"/>
              <w:adjustRightInd w:val="0"/>
              <w:spacing w:after="0" w:line="240" w:lineRule="auto"/>
              <w:ind w:right="317"/>
              <w:jc w:val="right"/>
              <w:rPr>
                <w:rFonts w:ascii="Times New Roman" w:hAnsi="Times New Roman" w:cs="Times New Roman"/>
                <w:b/>
                <w:sz w:val="26"/>
                <w:szCs w:val="26"/>
                <w:lang w:val="ro-MO"/>
              </w:rPr>
            </w:pPr>
            <w:r w:rsidRPr="009D4489">
              <w:rPr>
                <w:rFonts w:ascii="Times New Roman" w:hAnsi="Times New Roman" w:cs="Times New Roman"/>
                <w:b/>
                <w:sz w:val="26"/>
                <w:szCs w:val="26"/>
                <w:lang w:val="ro-MO"/>
              </w:rPr>
              <w:t>100%</w:t>
            </w:r>
          </w:p>
        </w:tc>
        <w:tc>
          <w:tcPr>
            <w:tcW w:w="2126" w:type="dxa"/>
            <w:tcBorders>
              <w:top w:val="single" w:sz="6" w:space="0" w:color="000000"/>
              <w:left w:val="single" w:sz="6" w:space="0" w:color="000000"/>
              <w:bottom w:val="single" w:sz="8" w:space="0" w:color="000000"/>
              <w:right w:val="single" w:sz="8" w:space="0" w:color="000000"/>
            </w:tcBorders>
            <w:shd w:val="clear" w:color="auto" w:fill="FFFFFF"/>
          </w:tcPr>
          <w:p w:rsidR="00157EB8" w:rsidRPr="009D4489" w:rsidRDefault="00157EB8" w:rsidP="009D4489">
            <w:pPr>
              <w:autoSpaceDE w:val="0"/>
              <w:autoSpaceDN w:val="0"/>
              <w:adjustRightInd w:val="0"/>
              <w:spacing w:after="0" w:line="240" w:lineRule="auto"/>
              <w:ind w:right="317"/>
              <w:jc w:val="right"/>
              <w:rPr>
                <w:rFonts w:ascii="Times New Roman" w:hAnsi="Times New Roman" w:cs="Times New Roman"/>
                <w:b/>
                <w:sz w:val="26"/>
                <w:szCs w:val="26"/>
                <w:lang w:val="ro-MO"/>
              </w:rPr>
            </w:pPr>
            <w:r w:rsidRPr="009D4489">
              <w:rPr>
                <w:rFonts w:ascii="Times New Roman" w:hAnsi="Times New Roman" w:cs="Times New Roman"/>
                <w:b/>
                <w:bCs/>
                <w:sz w:val="26"/>
                <w:szCs w:val="26"/>
                <w:lang w:val="ro-MO"/>
              </w:rPr>
              <w:t>0,7987</w:t>
            </w:r>
          </w:p>
        </w:tc>
      </w:tr>
    </w:tbl>
    <w:p w:rsidR="00157EB8" w:rsidRPr="00446F65" w:rsidRDefault="00157EB8" w:rsidP="00317915">
      <w:pPr>
        <w:autoSpaceDE w:val="0"/>
        <w:autoSpaceDN w:val="0"/>
        <w:adjustRightInd w:val="0"/>
        <w:spacing w:after="0" w:line="240" w:lineRule="auto"/>
        <w:jc w:val="both"/>
        <w:rPr>
          <w:rFonts w:ascii="Times New Roman" w:hAnsi="Times New Roman" w:cs="Times New Roman"/>
          <w:sz w:val="26"/>
          <w:szCs w:val="26"/>
          <w:lang w:val="ro-MO"/>
        </w:rPr>
      </w:pPr>
    </w:p>
    <w:p w:rsidR="00157EB8" w:rsidRPr="00446F65" w:rsidRDefault="00E92F5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I</w:t>
      </w:r>
      <w:r w:rsidR="00157EB8" w:rsidRPr="00446F65">
        <w:rPr>
          <w:rFonts w:ascii="Times New Roman" w:hAnsi="Times New Roman" w:cs="Times New Roman"/>
          <w:color w:val="000000"/>
          <w:sz w:val="26"/>
          <w:szCs w:val="26"/>
          <w:lang w:val="ro-MO"/>
        </w:rPr>
        <w:t xml:space="preserve">HH pentru piaţa de acces cu amănuntul în bandă largă din Republica Moldova (pe baza datelor prezentate în Tabelul de mai sus este de 0,488 – </w:t>
      </w:r>
      <w:r w:rsidR="00157EB8" w:rsidRPr="00446F65">
        <w:rPr>
          <w:rFonts w:ascii="Times New Roman" w:hAnsi="Times New Roman" w:cs="Times New Roman"/>
          <w:sz w:val="26"/>
          <w:szCs w:val="26"/>
          <w:lang w:val="ro-MO"/>
        </w:rPr>
        <w:t>un nivel caracteristic unei pieţe extrem de concentrate</w:t>
      </w:r>
      <w:r w:rsidR="00157EB8" w:rsidRPr="00446F65">
        <w:rPr>
          <w:rFonts w:ascii="Times New Roman" w:hAnsi="Times New Roman" w:cs="Times New Roman"/>
          <w:color w:val="000000"/>
          <w:sz w:val="26"/>
          <w:szCs w:val="26"/>
          <w:lang w:val="ro-MO"/>
        </w:rPr>
        <w:t xml:space="preserve">. De asemenea, aplicat pieţei cu ridicata, indicele HHI este </w:t>
      </w:r>
      <w:r w:rsidR="00157EB8" w:rsidRPr="00446F65">
        <w:rPr>
          <w:rFonts w:ascii="Times New Roman" w:hAnsi="Times New Roman" w:cs="Times New Roman"/>
          <w:sz w:val="26"/>
          <w:szCs w:val="26"/>
          <w:lang w:val="ro-MO"/>
        </w:rPr>
        <w:t>excepţional de înalt (</w:t>
      </w:r>
      <w:r w:rsidR="00157EB8" w:rsidRPr="00446F65">
        <w:rPr>
          <w:rFonts w:ascii="Times New Roman" w:hAnsi="Times New Roman" w:cs="Times New Roman"/>
          <w:bCs/>
          <w:sz w:val="26"/>
          <w:szCs w:val="26"/>
          <w:lang w:val="ro-MO"/>
        </w:rPr>
        <w:t>0,7987</w:t>
      </w:r>
      <w:r w:rsidR="00157EB8" w:rsidRPr="00446F65">
        <w:rPr>
          <w:rFonts w:ascii="Times New Roman" w:hAnsi="Times New Roman" w:cs="Times New Roman"/>
          <w:sz w:val="26"/>
          <w:szCs w:val="26"/>
          <w:lang w:val="ro-MO"/>
        </w:rPr>
        <w:t>)</w:t>
      </w:r>
      <w:r w:rsidR="00157EB8" w:rsidRPr="00446F65">
        <w:rPr>
          <w:rFonts w:ascii="Times New Roman" w:hAnsi="Times New Roman" w:cs="Times New Roman"/>
          <w:color w:val="000000"/>
          <w:sz w:val="26"/>
          <w:szCs w:val="26"/>
          <w:lang w:val="ro-MO"/>
        </w:rPr>
        <w:t>.</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b/>
          <w:color w:val="000000"/>
          <w:sz w:val="26"/>
          <w:szCs w:val="26"/>
          <w:lang w:val="ro-MO"/>
        </w:rPr>
        <w:t>Concluzie:</w:t>
      </w:r>
      <w:r w:rsidR="00E92F58" w:rsidRPr="00446F65">
        <w:rPr>
          <w:rFonts w:ascii="Times New Roman" w:hAnsi="Times New Roman" w:cs="Times New Roman"/>
          <w:b/>
          <w:color w:val="000000"/>
          <w:sz w:val="26"/>
          <w:szCs w:val="26"/>
          <w:lang w:val="ro-MO"/>
        </w:rPr>
        <w:t xml:space="preserve"> </w:t>
      </w:r>
      <w:r w:rsidRPr="00446F65">
        <w:rPr>
          <w:rFonts w:ascii="Times New Roman" w:hAnsi="Times New Roman" w:cs="Times New Roman"/>
          <w:color w:val="000000"/>
          <w:sz w:val="26"/>
          <w:szCs w:val="26"/>
          <w:lang w:val="ro-MO"/>
        </w:rPr>
        <w:t>Numărul redus de furnizori şi un IHH înalt oferă dovezi suplimentare în sprijinul ipotezei că Moldtelecom are PSP pe piaţa WCA.</w:t>
      </w:r>
    </w:p>
    <w:p w:rsidR="00157EB8" w:rsidRPr="00446F65" w:rsidRDefault="00157EB8" w:rsidP="00317915">
      <w:pPr>
        <w:pStyle w:val="Default"/>
        <w:ind w:firstLine="567"/>
        <w:jc w:val="both"/>
        <w:rPr>
          <w:sz w:val="26"/>
          <w:szCs w:val="26"/>
          <w:lang w:val="ro-MO"/>
        </w:rPr>
      </w:pPr>
    </w:p>
    <w:p w:rsidR="00157EB8" w:rsidRPr="00446F65" w:rsidRDefault="00157EB8" w:rsidP="00317915">
      <w:pPr>
        <w:pStyle w:val="Default"/>
        <w:ind w:firstLine="720"/>
        <w:jc w:val="both"/>
        <w:rPr>
          <w:sz w:val="26"/>
          <w:szCs w:val="26"/>
          <w:lang w:val="ro-MO"/>
        </w:rPr>
      </w:pPr>
      <w:r w:rsidRPr="00446F65">
        <w:rPr>
          <w:sz w:val="26"/>
          <w:szCs w:val="26"/>
          <w:lang w:val="ro-MO"/>
        </w:rPr>
        <w:t xml:space="preserve">În baza criteriilor analizate mai sus, ANRCETI consideră că există suficiente dovezi că Moldtelecom are PSP pe piaţa WCA, iar barierele identificate (cota mare de piaţă, investiţii necesare mari, costuri irecuperabile înalte, absenţa puterii de contracarare a cumpărătorilor) sunt extrem de mari pentru ca concurenţii să poată exercita suficientă presiune competitivă astfel încât să erodeze puterea de piaţă a Moldtelecom. Această putere de piaţă va continua să existe în orizontul de timp cuprins de această analiză (de până la doi ani), din cauza controlului de către Moldtelecom a infrastructurii greu de duplicat şi a economiilor de scară şi de densitate, iar în lipsa unor remedii </w:t>
      </w:r>
      <w:r w:rsidRPr="00446F65">
        <w:rPr>
          <w:i/>
          <w:iCs/>
          <w:sz w:val="26"/>
          <w:szCs w:val="26"/>
          <w:lang w:val="ro-MO"/>
        </w:rPr>
        <w:t xml:space="preserve">ex-ante </w:t>
      </w:r>
      <w:r w:rsidRPr="00446F65">
        <w:rPr>
          <w:sz w:val="26"/>
          <w:szCs w:val="26"/>
          <w:lang w:val="ro-MO"/>
        </w:rPr>
        <w:t xml:space="preserve">este foarte mare probabilitatea că Moldtelecom va aplica această putere </w:t>
      </w:r>
      <w:r w:rsidRPr="00446F65">
        <w:rPr>
          <w:sz w:val="26"/>
          <w:szCs w:val="26"/>
          <w:lang w:val="ro-MO"/>
        </w:rPr>
        <w:lastRenderedPageBreak/>
        <w:t xml:space="preserve">pentru a limita posibilitatea concurenţilor săi de pe pieţele cu amănuntul (mai ales pe piaţa accesului fix în bandă largă) de a fi competitivi. </w:t>
      </w:r>
    </w:p>
    <w:p w:rsidR="00157EB8" w:rsidRPr="00446F65" w:rsidRDefault="00157EB8" w:rsidP="00317915">
      <w:pPr>
        <w:pStyle w:val="Default"/>
        <w:ind w:firstLine="567"/>
        <w:jc w:val="both"/>
        <w:rPr>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b/>
          <w:sz w:val="26"/>
          <w:szCs w:val="26"/>
          <w:lang w:val="ro-MO"/>
        </w:rPr>
        <w:t>Concluzie ANRCETI</w:t>
      </w:r>
      <w:r w:rsidRPr="00446F65">
        <w:rPr>
          <w:rFonts w:ascii="Times New Roman" w:hAnsi="Times New Roman" w:cs="Times New Roman"/>
          <w:sz w:val="26"/>
          <w:szCs w:val="26"/>
          <w:lang w:val="ro-MO"/>
        </w:rPr>
        <w:t>: Există dovezi clare că Moldtelecom are PSP pe piaţa WCA şi este puţin probabil că această poziţie se va schimba în următorii doi ani. O serie de criterii confirmă faptul că Moldtelecom se bucură de putere semnificativă pe piaţa relevantă.</w:t>
      </w:r>
    </w:p>
    <w:p w:rsidR="00317915" w:rsidRDefault="00317915" w:rsidP="00317915">
      <w:pPr>
        <w:pStyle w:val="Heading2"/>
        <w:spacing w:before="0" w:line="240" w:lineRule="auto"/>
        <w:ind w:firstLine="567"/>
        <w:rPr>
          <w:rFonts w:eastAsiaTheme="minorHAnsi" w:cs="Times New Roman"/>
          <w:bCs w:val="0"/>
          <w:color w:val="auto"/>
          <w:sz w:val="26"/>
          <w:lang w:val="ro-MO"/>
        </w:rPr>
      </w:pPr>
      <w:bookmarkStart w:id="79" w:name="_Toc430854406"/>
    </w:p>
    <w:p w:rsidR="00157EB8" w:rsidRPr="00317915" w:rsidRDefault="00157EB8" w:rsidP="00317915">
      <w:pPr>
        <w:pStyle w:val="Heading2"/>
        <w:spacing w:before="0" w:line="240" w:lineRule="auto"/>
        <w:ind w:firstLine="567"/>
        <w:rPr>
          <w:rFonts w:eastAsiaTheme="minorHAnsi" w:cs="Times New Roman"/>
          <w:bCs w:val="0"/>
          <w:color w:val="auto"/>
          <w:sz w:val="26"/>
          <w:lang w:val="ro-MO"/>
        </w:rPr>
      </w:pPr>
      <w:bookmarkStart w:id="80" w:name="_Toc492907416"/>
      <w:r w:rsidRPr="00446F65">
        <w:rPr>
          <w:rFonts w:eastAsiaTheme="minorHAnsi" w:cs="Times New Roman"/>
          <w:bCs w:val="0"/>
          <w:color w:val="auto"/>
          <w:sz w:val="26"/>
          <w:lang w:val="ro-MO"/>
        </w:rPr>
        <w:t>3.</w:t>
      </w:r>
      <w:r w:rsidR="00C41938" w:rsidRPr="00446F65">
        <w:rPr>
          <w:rFonts w:eastAsiaTheme="minorHAnsi" w:cs="Times New Roman"/>
          <w:bCs w:val="0"/>
          <w:color w:val="auto"/>
          <w:sz w:val="26"/>
          <w:lang w:val="ro-MO"/>
        </w:rPr>
        <w:t>6</w:t>
      </w:r>
      <w:r w:rsidRPr="00446F65">
        <w:rPr>
          <w:rFonts w:eastAsiaTheme="minorHAnsi" w:cs="Times New Roman"/>
          <w:bCs w:val="0"/>
          <w:color w:val="auto"/>
          <w:sz w:val="26"/>
          <w:lang w:val="ro-MO"/>
        </w:rPr>
        <w:t>. Determinarea şi analiza obligaţiilor</w:t>
      </w:r>
      <w:bookmarkEnd w:id="79"/>
      <w:bookmarkEnd w:id="80"/>
    </w:p>
    <w:p w:rsidR="00C41938" w:rsidRPr="00317915" w:rsidRDefault="00157EB8" w:rsidP="00317915">
      <w:pPr>
        <w:pStyle w:val="Heading4"/>
        <w:spacing w:before="0" w:line="240" w:lineRule="auto"/>
        <w:ind w:firstLine="567"/>
        <w:rPr>
          <w:rFonts w:eastAsiaTheme="minorHAnsi" w:cs="Times New Roman"/>
          <w:bCs w:val="0"/>
          <w:i w:val="0"/>
          <w:iCs w:val="0"/>
          <w:color w:val="auto"/>
          <w:szCs w:val="26"/>
          <w:lang w:val="ro-MO"/>
        </w:rPr>
      </w:pPr>
      <w:bookmarkStart w:id="81" w:name="_Toc430854407"/>
      <w:bookmarkStart w:id="82" w:name="_Toc492907417"/>
      <w:r w:rsidRPr="00446F65">
        <w:rPr>
          <w:rFonts w:eastAsiaTheme="minorHAnsi" w:cs="Times New Roman"/>
          <w:bCs w:val="0"/>
          <w:i w:val="0"/>
          <w:iCs w:val="0"/>
          <w:color w:val="auto"/>
          <w:szCs w:val="26"/>
          <w:lang w:val="ro-MO"/>
        </w:rPr>
        <w:t>3.</w:t>
      </w:r>
      <w:r w:rsidR="00C41938" w:rsidRPr="00446F65">
        <w:rPr>
          <w:rFonts w:eastAsiaTheme="minorHAnsi" w:cs="Times New Roman"/>
          <w:bCs w:val="0"/>
          <w:i w:val="0"/>
          <w:iCs w:val="0"/>
          <w:color w:val="auto"/>
          <w:szCs w:val="26"/>
          <w:lang w:val="ro-MO"/>
        </w:rPr>
        <w:t>6</w:t>
      </w:r>
      <w:r w:rsidRPr="00446F65">
        <w:rPr>
          <w:rFonts w:eastAsiaTheme="minorHAnsi" w:cs="Times New Roman"/>
          <w:bCs w:val="0"/>
          <w:i w:val="0"/>
          <w:iCs w:val="0"/>
          <w:color w:val="auto"/>
          <w:szCs w:val="26"/>
          <w:lang w:val="ro-MO"/>
        </w:rPr>
        <w:t>.1. Cadrul legal</w:t>
      </w:r>
      <w:bookmarkEnd w:id="81"/>
      <w:bookmarkEnd w:id="82"/>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Potrivit prevederilor art. 43 alin. (1) din Legea nr. 241/2007,</w:t>
      </w:r>
      <w:r w:rsidRPr="00446F65">
        <w:rPr>
          <w:rFonts w:ascii="Times New Roman" w:hAnsi="Times New Roman" w:cs="Times New Roman"/>
          <w:i/>
          <w:sz w:val="26"/>
          <w:szCs w:val="26"/>
          <w:lang w:val="ro-MO"/>
        </w:rPr>
        <w:t xml:space="preserve"> în cazul în care, în urma unei analize de piaţă realizate în condiţiile legii, un furnizor este desemnat ca având putere semnificativă pe o piaţă relevantă, Agenţia impune acestuia, în modul stabilit, una sau mai multe dintre obligaţiile prevăzute în acesta”</w:t>
      </w:r>
      <w:r w:rsidRPr="00446F65">
        <w:rPr>
          <w:rFonts w:ascii="Times New Roman" w:hAnsi="Times New Roman" w:cs="Times New Roman"/>
          <w:sz w:val="26"/>
          <w:szCs w:val="26"/>
          <w:lang w:val="ro-MO"/>
        </w:rPr>
        <w:t>. Prin urmare, ANRCETI trebuie să impună cel puţin una din obligaţiile prevăzute la art. 43 din Legea nr. 241/2007 în sarcina furnizorului desemnat cu putere semnificativă pe piaţa WCA.</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Furnizarea accesului WCA cuprinde punerea la dispoziţia unei terţe părţi de spaţii, echipamente sau servicii conexe, în condiţii determinate, în mod exclusiv sau neexclusiv. Accesul la elementele de infrastructură (la bucla sau subbucla locală)</w:t>
      </w:r>
      <w:r w:rsidR="0087762C" w:rsidRPr="00446F65">
        <w:rPr>
          <w:rFonts w:ascii="Times New Roman" w:hAnsi="Times New Roman" w:cs="Times New Roman"/>
          <w:sz w:val="26"/>
          <w:szCs w:val="26"/>
          <w:lang w:val="ro-MO"/>
        </w:rPr>
        <w:t xml:space="preserve"> </w:t>
      </w:r>
      <w:r w:rsidRPr="00446F65">
        <w:rPr>
          <w:rFonts w:ascii="Times New Roman" w:hAnsi="Times New Roman" w:cs="Times New Roman"/>
          <w:sz w:val="26"/>
          <w:szCs w:val="26"/>
          <w:lang w:val="ro-MO"/>
        </w:rPr>
        <w:t>presupune furnizarea de acces la spaţii, echipamente sau servicii care nu este condiţionată de:</w:t>
      </w:r>
    </w:p>
    <w:p w:rsidR="00157EB8" w:rsidRPr="00446F65" w:rsidRDefault="00157EB8" w:rsidP="00317915">
      <w:pPr>
        <w:pStyle w:val="ListParagraph"/>
        <w:numPr>
          <w:ilvl w:val="1"/>
          <w:numId w:val="23"/>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achiziţia concomitentă de către solicitant a unor produse sau servicii care nu sunt necesare furnizării tipului de acces solicitat;</w:t>
      </w:r>
    </w:p>
    <w:p w:rsidR="00157EB8" w:rsidRPr="00446F65" w:rsidRDefault="00157EB8" w:rsidP="00317915">
      <w:pPr>
        <w:pStyle w:val="ListParagraph"/>
        <w:numPr>
          <w:ilvl w:val="1"/>
          <w:numId w:val="23"/>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achiziţia unui volum impus de produse sau servicii, care excede volumului necesar furnizării tipului de acces solicitat;</w:t>
      </w:r>
    </w:p>
    <w:p w:rsidR="00157EB8" w:rsidRPr="00446F65" w:rsidRDefault="00157EB8" w:rsidP="00317915">
      <w:pPr>
        <w:pStyle w:val="ListParagraph"/>
        <w:numPr>
          <w:ilvl w:val="1"/>
          <w:numId w:val="23"/>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impunerea oricăror condiţii comerciale, tehnice sau de altă natură, care nu sunt necesare furnizării tipului de acces solicitat.</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Serviciile incluse în piaţa relevantă cu ridicata analizată vizează furnizarea accesului în forma sa necondiţionată, astfel încât beneficiarul accesului să nu plătească pentru servicii care nu îi sunt necesare pentru furnizarea propriilor servicii.</w:t>
      </w:r>
    </w:p>
    <w:p w:rsidR="00157EB8" w:rsidRPr="00446F65" w:rsidRDefault="0087762C" w:rsidP="00317915">
      <w:pPr>
        <w:pStyle w:val="Heading4"/>
        <w:spacing w:line="240" w:lineRule="auto"/>
        <w:ind w:firstLine="720"/>
        <w:rPr>
          <w:rFonts w:eastAsiaTheme="minorHAnsi" w:cs="Times New Roman"/>
          <w:bCs w:val="0"/>
          <w:i w:val="0"/>
          <w:iCs w:val="0"/>
          <w:color w:val="auto"/>
          <w:szCs w:val="26"/>
          <w:lang w:val="ro-MO"/>
        </w:rPr>
      </w:pPr>
      <w:bookmarkStart w:id="83" w:name="_Toc430854408"/>
      <w:bookmarkStart w:id="84" w:name="_Toc492907418"/>
      <w:r w:rsidRPr="00446F65">
        <w:rPr>
          <w:rFonts w:eastAsiaTheme="minorHAnsi" w:cs="Times New Roman"/>
          <w:bCs w:val="0"/>
          <w:i w:val="0"/>
          <w:iCs w:val="0"/>
          <w:color w:val="auto"/>
          <w:szCs w:val="26"/>
          <w:lang w:val="ro-MO"/>
        </w:rPr>
        <w:t xml:space="preserve">3.6.2 </w:t>
      </w:r>
      <w:r w:rsidR="00157EB8" w:rsidRPr="00446F65">
        <w:rPr>
          <w:rFonts w:eastAsiaTheme="minorHAnsi" w:cs="Times New Roman"/>
          <w:bCs w:val="0"/>
          <w:i w:val="0"/>
          <w:iCs w:val="0"/>
          <w:color w:val="auto"/>
          <w:szCs w:val="26"/>
          <w:lang w:val="ro-MO"/>
        </w:rPr>
        <w:t>Principiile aplicate de ANRCETI pentru stabilirea remediilor</w:t>
      </w:r>
      <w:bookmarkEnd w:id="83"/>
      <w:bookmarkEnd w:id="84"/>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ANRCETI consideră că asigurarea unui regim al accesului WCA eficient, transparent şi riguros fundamentat, cel puţin acolo unde acele elemente de reţea sunt greu duplicabile de către furnizorii alternativi, poate determina pe termen lung creşterea concurenţei. Totuşi, stabilirea acestui regim poate, în teorie, să descurajeze operatorii să investească în infrastructură alternativă în situaţia în care pot obţine accesul la elemente de reţea la tarife favorabile de la furnizorul concurent integrat pe verticală. ANRCETI consideră că, acolo unde este proporţional şi în interesul pe termen lung al utilizatorilor finali, trebuie să se asigure accesul la elementele greu de dublat ale reţelei.</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Având în vedere interesul în general al societăţii moderne pentru conectivitate deplină cu servicii de acces în bandă largă a utilizatorilor, concurenţa eficientă poate cel mai bine răspunde acestei nevoi ale societăţii. Comisia Europeană a determinat pentru furnizarea unor servicii de comunicaţii electronice în bandă largă, următoarele servicii sunt considerate că fac parte din „scara investiţiilor”:</w:t>
      </w:r>
    </w:p>
    <w:p w:rsidR="00157EB8" w:rsidRPr="00446F65" w:rsidRDefault="00157EB8" w:rsidP="00317915">
      <w:pPr>
        <w:pStyle w:val="ListParagraph"/>
        <w:numPr>
          <w:ilvl w:val="0"/>
          <w:numId w:val="34"/>
        </w:numPr>
        <w:autoSpaceDE w:val="0"/>
        <w:autoSpaceDN w:val="0"/>
        <w:adjustRightInd w:val="0"/>
        <w:spacing w:after="0" w:line="240" w:lineRule="auto"/>
        <w:ind w:left="0" w:firstLine="720"/>
        <w:jc w:val="both"/>
        <w:rPr>
          <w:rFonts w:ascii="Times New Roman" w:hAnsi="Times New Roman" w:cs="Times New Roman"/>
          <w:i/>
          <w:sz w:val="26"/>
          <w:szCs w:val="26"/>
          <w:lang w:val="ro-MO"/>
        </w:rPr>
      </w:pPr>
      <w:r w:rsidRPr="00446F65">
        <w:rPr>
          <w:rFonts w:ascii="Times New Roman" w:hAnsi="Times New Roman" w:cs="Times New Roman"/>
          <w:i/>
          <w:sz w:val="26"/>
          <w:szCs w:val="26"/>
          <w:lang w:val="ro-MO"/>
        </w:rPr>
        <w:t>revânzarea serviciului de acces la reţea;</w:t>
      </w:r>
    </w:p>
    <w:p w:rsidR="00157EB8" w:rsidRPr="00446F65" w:rsidRDefault="00157EB8" w:rsidP="00317915">
      <w:pPr>
        <w:pStyle w:val="ListParagraph"/>
        <w:numPr>
          <w:ilvl w:val="0"/>
          <w:numId w:val="34"/>
        </w:numPr>
        <w:autoSpaceDE w:val="0"/>
        <w:autoSpaceDN w:val="0"/>
        <w:adjustRightInd w:val="0"/>
        <w:spacing w:after="0" w:line="240" w:lineRule="auto"/>
        <w:ind w:left="0" w:firstLine="720"/>
        <w:jc w:val="both"/>
        <w:rPr>
          <w:rFonts w:ascii="Times New Roman" w:hAnsi="Times New Roman" w:cs="Times New Roman"/>
          <w:i/>
          <w:sz w:val="26"/>
          <w:szCs w:val="26"/>
          <w:lang w:val="ro-MO"/>
        </w:rPr>
      </w:pPr>
      <w:r w:rsidRPr="00446F65">
        <w:rPr>
          <w:rFonts w:ascii="Times New Roman" w:hAnsi="Times New Roman" w:cs="Times New Roman"/>
          <w:i/>
          <w:sz w:val="26"/>
          <w:szCs w:val="26"/>
          <w:lang w:val="ro-MO"/>
        </w:rPr>
        <w:t>serviciul bitstream;</w:t>
      </w:r>
    </w:p>
    <w:p w:rsidR="00157EB8" w:rsidRPr="00446F65" w:rsidRDefault="00157EB8" w:rsidP="00317915">
      <w:pPr>
        <w:pStyle w:val="ListParagraph"/>
        <w:numPr>
          <w:ilvl w:val="0"/>
          <w:numId w:val="34"/>
        </w:numPr>
        <w:autoSpaceDE w:val="0"/>
        <w:autoSpaceDN w:val="0"/>
        <w:adjustRightInd w:val="0"/>
        <w:spacing w:after="0" w:line="240" w:lineRule="auto"/>
        <w:ind w:left="0" w:firstLine="720"/>
        <w:jc w:val="both"/>
        <w:rPr>
          <w:rFonts w:ascii="Times New Roman" w:hAnsi="Times New Roman" w:cs="Times New Roman"/>
          <w:i/>
          <w:sz w:val="26"/>
          <w:szCs w:val="26"/>
          <w:lang w:val="ro-MO"/>
        </w:rPr>
      </w:pPr>
      <w:r w:rsidRPr="00446F65">
        <w:rPr>
          <w:rFonts w:ascii="Times New Roman" w:hAnsi="Times New Roman" w:cs="Times New Roman"/>
          <w:i/>
          <w:sz w:val="26"/>
          <w:szCs w:val="26"/>
          <w:lang w:val="ro-MO"/>
        </w:rPr>
        <w:t>serviciul de acces total sau partajat la bucla locală;</w:t>
      </w:r>
    </w:p>
    <w:p w:rsidR="00157EB8" w:rsidRPr="00446F65" w:rsidRDefault="00157EB8" w:rsidP="00317915">
      <w:pPr>
        <w:pStyle w:val="ListParagraph"/>
        <w:numPr>
          <w:ilvl w:val="0"/>
          <w:numId w:val="34"/>
        </w:numPr>
        <w:autoSpaceDE w:val="0"/>
        <w:autoSpaceDN w:val="0"/>
        <w:adjustRightInd w:val="0"/>
        <w:spacing w:after="0" w:line="240" w:lineRule="auto"/>
        <w:ind w:left="0" w:firstLine="720"/>
        <w:jc w:val="both"/>
        <w:rPr>
          <w:rFonts w:ascii="Times New Roman" w:hAnsi="Times New Roman" w:cs="Times New Roman"/>
          <w:i/>
          <w:sz w:val="26"/>
          <w:szCs w:val="26"/>
          <w:lang w:val="ro-MO"/>
        </w:rPr>
      </w:pPr>
      <w:r w:rsidRPr="00446F65">
        <w:rPr>
          <w:rFonts w:ascii="Times New Roman" w:hAnsi="Times New Roman" w:cs="Times New Roman"/>
          <w:i/>
          <w:sz w:val="26"/>
          <w:szCs w:val="26"/>
          <w:lang w:val="ro-MO"/>
        </w:rPr>
        <w:lastRenderedPageBreak/>
        <w:t>accesul la infrastructura fizică şi dezvoltarea de către competitori a propriei infrastructuri de acces la reţea.</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Privind serviciile de acces </w:t>
      </w:r>
      <w:r w:rsidRPr="00122CAE">
        <w:rPr>
          <w:rFonts w:ascii="Times New Roman" w:hAnsi="Times New Roman" w:cs="Times New Roman"/>
          <w:i/>
          <w:sz w:val="26"/>
          <w:szCs w:val="26"/>
          <w:lang w:val="ro-MO"/>
        </w:rPr>
        <w:t>bitstream,</w:t>
      </w:r>
      <w:r w:rsidRPr="00446F65">
        <w:rPr>
          <w:rFonts w:ascii="Times New Roman" w:hAnsi="Times New Roman" w:cs="Times New Roman"/>
          <w:sz w:val="26"/>
          <w:szCs w:val="26"/>
          <w:lang w:val="ro-MO"/>
        </w:rPr>
        <w:t xml:space="preserve"> stabilirea tarifelor de acces este modalitatea optimă de a da semnalele corecte pieţei cu privire la încurajarea investiţiilor. Astfel, prin stabilirea unui tarif prea mic, noii-intraţi nu vor mai fi motivaţi să investească în dezvoltarea propriei infrastructuri. Pe de altă parte, stabilirea unui tarif prea mare ar putea avea drept efect descurajarea intrării pe piaţă sau realizarea unor investiţii ineficiente. În acest scop, este important de a evalua exact capitalul investit de către furnizorul desemnat cu putere semnificativă de piaţă şi care este obligat să ofere accesul la infrastructura proprie în vederea prestării serviciilor de </w:t>
      </w:r>
      <w:r w:rsidRPr="00122CAE">
        <w:rPr>
          <w:rFonts w:ascii="Times New Roman" w:hAnsi="Times New Roman" w:cs="Times New Roman"/>
          <w:i/>
          <w:sz w:val="26"/>
          <w:szCs w:val="26"/>
          <w:lang w:val="ro-MO"/>
        </w:rPr>
        <w:t>bitstream</w:t>
      </w:r>
      <w:r w:rsidRPr="00446F65">
        <w:rPr>
          <w:rFonts w:ascii="Times New Roman" w:hAnsi="Times New Roman" w:cs="Times New Roman"/>
          <w:sz w:val="26"/>
          <w:szCs w:val="26"/>
          <w:lang w:val="ro-MO"/>
        </w:rPr>
        <w:t>, pentru stabilirea unei rate rezonabile de recuperare a investiţiei realizate.</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Este important ca reglementarea să menţină stimulentele de a investi în reţea şi în dezvoltarea reţelei ale furnizorului cu putere semnificativă, în special acolo unde replicarea elementelor de reţea nu este fezabilă. În alte cazuri, atunci când replicarea acestor elemente este posibilă, Agenţia de reglementare trebuie să se asigure că atât furnizorul alternativ, cât şi cel cu putere semnificativă se află în aceeaşi poziţie din punctul de vedere al posibilităţilor de a investi în reţea. În ceea ce priveşte fezabilitatea replicării reţelei, factorii care trebuie luaţi în considerare includ, </w:t>
      </w:r>
      <w:r w:rsidRPr="00446F65">
        <w:rPr>
          <w:rFonts w:ascii="Times New Roman" w:hAnsi="Times New Roman" w:cs="Times New Roman"/>
          <w:i/>
          <w:sz w:val="26"/>
          <w:szCs w:val="26"/>
          <w:lang w:val="ro-MO"/>
        </w:rPr>
        <w:t>inter alia</w:t>
      </w:r>
      <w:r w:rsidRPr="00446F65">
        <w:rPr>
          <w:rFonts w:ascii="Times New Roman" w:hAnsi="Times New Roman" w:cs="Times New Roman"/>
          <w:sz w:val="26"/>
          <w:szCs w:val="26"/>
          <w:lang w:val="ro-MO"/>
        </w:rPr>
        <w:t>: viabilitatea tehnică şi economică a utilizării sau instalării unor facilităţi concurente, din perspectiva ratei de dezvoltare a pieţei; fezabilitatea furnizării accesului propus, în relaţie cu capacitatea disponibilă; investiţia iniţială a proprietarului facilităţii respective, ţinând cont de riscurile pe care le presupune realizarea unei investiţii; nevoia de a încuraja şi proteja concurenţa pe termen lung.</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Cu toate acestea, dacă furnizorul alternativ are nevoie, în aceste cazuri, de acces </w:t>
      </w:r>
      <w:r w:rsidRPr="00122CAE">
        <w:rPr>
          <w:rFonts w:ascii="Times New Roman" w:hAnsi="Times New Roman" w:cs="Times New Roman"/>
          <w:i/>
          <w:sz w:val="26"/>
          <w:szCs w:val="26"/>
          <w:lang w:val="ro-MO"/>
        </w:rPr>
        <w:t xml:space="preserve">bitstream </w:t>
      </w:r>
      <w:r w:rsidRPr="00446F65">
        <w:rPr>
          <w:rFonts w:ascii="Times New Roman" w:hAnsi="Times New Roman" w:cs="Times New Roman"/>
          <w:sz w:val="26"/>
          <w:szCs w:val="26"/>
          <w:lang w:val="ro-MO"/>
        </w:rPr>
        <w:t>la bucla/sub bucla locală de cupru sau fibră optică echipată cu elemente active de acces în bandă largă al furnizorului cu putere semnificativă, acest acces trebuie să se realizeze rapid, în condiţii obiective şi proporţionale.</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Conturarea unor astfel de reglementări necesită o atenţie deosebită faţă de:</w:t>
      </w:r>
    </w:p>
    <w:p w:rsidR="00157EB8" w:rsidRPr="00446F65" w:rsidRDefault="00157EB8" w:rsidP="00317915">
      <w:pPr>
        <w:pStyle w:val="ListParagraph"/>
        <w:numPr>
          <w:ilvl w:val="2"/>
          <w:numId w:val="25"/>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stimulentele economice ale entităţilor implicate; </w:t>
      </w:r>
    </w:p>
    <w:p w:rsidR="00157EB8" w:rsidRPr="00446F65" w:rsidRDefault="00157EB8" w:rsidP="00317915">
      <w:pPr>
        <w:pStyle w:val="ListParagraph"/>
        <w:numPr>
          <w:ilvl w:val="2"/>
          <w:numId w:val="25"/>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asimetriile în ceea ce priveşte accesul la informaţii relevante; </w:t>
      </w:r>
    </w:p>
    <w:p w:rsidR="00157EB8" w:rsidRPr="00446F65" w:rsidRDefault="00157EB8" w:rsidP="00317915">
      <w:pPr>
        <w:pStyle w:val="ListParagraph"/>
        <w:numPr>
          <w:ilvl w:val="2"/>
          <w:numId w:val="25"/>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aspecte practice referitoare la controlul respectării deciziilor de reglementare şi impunerea respectării acestora.</w:t>
      </w:r>
    </w:p>
    <w:p w:rsidR="00157EB8" w:rsidRPr="00446F65" w:rsidRDefault="00157EB8" w:rsidP="00317915">
      <w:pPr>
        <w:pStyle w:val="ListParagraph"/>
        <w:tabs>
          <w:tab w:val="left" w:pos="851"/>
        </w:tabs>
        <w:autoSpaceDE w:val="0"/>
        <w:autoSpaceDN w:val="0"/>
        <w:adjustRightInd w:val="0"/>
        <w:spacing w:after="0" w:line="240" w:lineRule="auto"/>
        <w:ind w:left="567"/>
        <w:jc w:val="both"/>
        <w:rPr>
          <w:rFonts w:ascii="Times New Roman" w:hAnsi="Times New Roman" w:cs="Times New Roman"/>
          <w:sz w:val="26"/>
          <w:szCs w:val="26"/>
          <w:lang w:val="ro-MO"/>
        </w:rPr>
      </w:pPr>
    </w:p>
    <w:p w:rsidR="00157EB8" w:rsidRDefault="0087762C" w:rsidP="00317915">
      <w:pPr>
        <w:pStyle w:val="Heading4"/>
        <w:tabs>
          <w:tab w:val="left" w:pos="720"/>
        </w:tabs>
        <w:spacing w:before="0" w:line="240" w:lineRule="auto"/>
        <w:ind w:firstLine="720"/>
        <w:jc w:val="both"/>
        <w:rPr>
          <w:rFonts w:eastAsiaTheme="minorHAnsi" w:cs="Times New Roman"/>
          <w:bCs w:val="0"/>
          <w:i w:val="0"/>
          <w:iCs w:val="0"/>
          <w:color w:val="auto"/>
          <w:szCs w:val="26"/>
          <w:lang w:val="ro-MO"/>
        </w:rPr>
      </w:pPr>
      <w:bookmarkStart w:id="85" w:name="_Toc430854409"/>
      <w:bookmarkStart w:id="86" w:name="_Toc492907419"/>
      <w:r w:rsidRPr="00446F65">
        <w:rPr>
          <w:rFonts w:eastAsiaTheme="minorHAnsi" w:cs="Times New Roman"/>
          <w:bCs w:val="0"/>
          <w:i w:val="0"/>
          <w:iCs w:val="0"/>
          <w:color w:val="auto"/>
          <w:szCs w:val="26"/>
          <w:lang w:val="ro-MO"/>
        </w:rPr>
        <w:t xml:space="preserve">3.6.3 </w:t>
      </w:r>
      <w:r w:rsidR="00157EB8" w:rsidRPr="00446F65">
        <w:rPr>
          <w:rFonts w:eastAsiaTheme="minorHAnsi" w:cs="Times New Roman"/>
          <w:bCs w:val="0"/>
          <w:i w:val="0"/>
          <w:iCs w:val="0"/>
          <w:color w:val="auto"/>
          <w:szCs w:val="26"/>
          <w:lang w:val="ro-MO"/>
        </w:rPr>
        <w:t>Obligaţii impuse anterior în sarcina furnizorului cu putere semnificativă şi impactul acestora asupra concurenţei de piaţă</w:t>
      </w:r>
      <w:bookmarkEnd w:id="85"/>
      <w:bookmarkEnd w:id="86"/>
    </w:p>
    <w:p w:rsidR="00157EB8" w:rsidRPr="00446F65" w:rsidRDefault="00157EB8" w:rsidP="00317915">
      <w:pPr>
        <w:tabs>
          <w:tab w:val="left" w:pos="720"/>
        </w:tabs>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În anul 2012, în cadrul iterației II, Moldtelecom</w:t>
      </w:r>
      <w:r w:rsidR="0087762C" w:rsidRPr="00446F65">
        <w:rPr>
          <w:rFonts w:ascii="Times New Roman" w:hAnsi="Times New Roman" w:cs="Times New Roman"/>
          <w:color w:val="000000"/>
          <w:sz w:val="26"/>
          <w:szCs w:val="26"/>
          <w:lang w:val="ro-MO"/>
        </w:rPr>
        <w:t xml:space="preserve"> </w:t>
      </w:r>
      <w:r w:rsidRPr="00446F65">
        <w:rPr>
          <w:rFonts w:ascii="Times New Roman" w:hAnsi="Times New Roman" w:cs="Times New Roman"/>
          <w:color w:val="000000"/>
          <w:sz w:val="26"/>
          <w:szCs w:val="26"/>
          <w:lang w:val="ro-MO"/>
        </w:rPr>
        <w:t>a fost desemnat de ANRCETI ca având putere semnificativă pe piaţa accesului cu ridicata la comunicații în bandă largă.</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ANRCETI prin Hotărârea Consiliului de Administraţie nr. 06 din 28.03.2011, ulterior modificată prin Hotărârea Consiliului de Administraţie nr. 57 din 26.09.2013 (în continuare HCA nr.06/2011) a impus în sarcina S.A.„Moldtelecom” obligaţii în legătură cu puterea sa semnificativă pe piaţa accesului cu ridicata la comunicații în bandă largă. Sumar acestea vizează:</w:t>
      </w:r>
    </w:p>
    <w:p w:rsidR="00157EB8" w:rsidRPr="00446F65" w:rsidRDefault="00157EB8" w:rsidP="00317915">
      <w:pPr>
        <w:pStyle w:val="ListParagraph"/>
        <w:numPr>
          <w:ilvl w:val="1"/>
          <w:numId w:val="22"/>
        </w:numPr>
        <w:tabs>
          <w:tab w:val="left" w:pos="720"/>
        </w:tabs>
        <w:autoSpaceDE w:val="0"/>
        <w:autoSpaceDN w:val="0"/>
        <w:adjustRightInd w:val="0"/>
        <w:spacing w:after="0" w:line="240" w:lineRule="auto"/>
        <w:ind w:left="0"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asigurarea serviciilor de acces prin bitstream la bucla/sub-bucla locală, precum şi furnizarea serviciilor conexe cum ar fi accesul la infrastructura asociată, colocarea şi serviciul </w:t>
      </w:r>
      <w:r w:rsidRPr="004F3AE9">
        <w:rPr>
          <w:rFonts w:ascii="Times New Roman" w:hAnsi="Times New Roman" w:cs="Times New Roman"/>
          <w:i/>
          <w:color w:val="000000"/>
          <w:sz w:val="26"/>
          <w:szCs w:val="26"/>
          <w:lang w:val="ro-MO"/>
        </w:rPr>
        <w:t>backhaul</w:t>
      </w:r>
      <w:r w:rsidRPr="00446F65">
        <w:rPr>
          <w:rFonts w:ascii="Times New Roman" w:hAnsi="Times New Roman" w:cs="Times New Roman"/>
          <w:color w:val="000000"/>
          <w:sz w:val="26"/>
          <w:szCs w:val="26"/>
          <w:lang w:val="ro-MO"/>
        </w:rPr>
        <w:t xml:space="preserve"> etc.;</w:t>
      </w:r>
    </w:p>
    <w:p w:rsidR="00157EB8" w:rsidRPr="00446F65" w:rsidRDefault="00157EB8" w:rsidP="00317915">
      <w:pPr>
        <w:pStyle w:val="ListParagraph"/>
        <w:numPr>
          <w:ilvl w:val="1"/>
          <w:numId w:val="22"/>
        </w:numPr>
        <w:tabs>
          <w:tab w:val="left" w:pos="720"/>
        </w:tabs>
        <w:autoSpaceDE w:val="0"/>
        <w:autoSpaceDN w:val="0"/>
        <w:adjustRightInd w:val="0"/>
        <w:spacing w:after="0" w:line="240" w:lineRule="auto"/>
        <w:ind w:left="0"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asigurarea transparenţei, prin publicarea unei Oferte de Referinţă pentru servicii de </w:t>
      </w:r>
      <w:r w:rsidRPr="00122CAE">
        <w:rPr>
          <w:rFonts w:ascii="Times New Roman" w:hAnsi="Times New Roman" w:cs="Times New Roman"/>
          <w:i/>
          <w:color w:val="000000"/>
          <w:sz w:val="26"/>
          <w:szCs w:val="26"/>
          <w:lang w:val="ro-MO"/>
        </w:rPr>
        <w:t xml:space="preserve">bitstream </w:t>
      </w:r>
      <w:r w:rsidRPr="00446F65">
        <w:rPr>
          <w:rFonts w:ascii="Times New Roman" w:hAnsi="Times New Roman" w:cs="Times New Roman"/>
          <w:color w:val="000000"/>
          <w:sz w:val="26"/>
          <w:szCs w:val="26"/>
          <w:lang w:val="ro-MO"/>
        </w:rPr>
        <w:t>(ORB);</w:t>
      </w:r>
    </w:p>
    <w:p w:rsidR="00157EB8" w:rsidRPr="00446F65" w:rsidRDefault="00157EB8" w:rsidP="00317915">
      <w:pPr>
        <w:pStyle w:val="ListParagraph"/>
        <w:numPr>
          <w:ilvl w:val="1"/>
          <w:numId w:val="22"/>
        </w:numPr>
        <w:tabs>
          <w:tab w:val="left" w:pos="720"/>
        </w:tabs>
        <w:autoSpaceDE w:val="0"/>
        <w:autoSpaceDN w:val="0"/>
        <w:adjustRightInd w:val="0"/>
        <w:spacing w:after="0" w:line="240" w:lineRule="auto"/>
        <w:ind w:left="0"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neadmiterea discriminării;</w:t>
      </w:r>
    </w:p>
    <w:p w:rsidR="00157EB8" w:rsidRPr="00446F65" w:rsidRDefault="00157EB8" w:rsidP="00317915">
      <w:pPr>
        <w:pStyle w:val="ListParagraph"/>
        <w:numPr>
          <w:ilvl w:val="1"/>
          <w:numId w:val="22"/>
        </w:numPr>
        <w:tabs>
          <w:tab w:val="left" w:pos="720"/>
        </w:tabs>
        <w:autoSpaceDE w:val="0"/>
        <w:autoSpaceDN w:val="0"/>
        <w:adjustRightInd w:val="0"/>
        <w:spacing w:after="0" w:line="240" w:lineRule="auto"/>
        <w:ind w:left="0"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lastRenderedPageBreak/>
        <w:t>controlul tarifelor, inclusiv obligaţii de fundamentare a tarifelor în funcţie de costuri.</w:t>
      </w:r>
    </w:p>
    <w:p w:rsidR="00157EB8" w:rsidRPr="00446F65" w:rsidRDefault="00157EB8" w:rsidP="00317915">
      <w:pPr>
        <w:pStyle w:val="ListParagraph"/>
        <w:numPr>
          <w:ilvl w:val="1"/>
          <w:numId w:val="22"/>
        </w:numPr>
        <w:tabs>
          <w:tab w:val="left" w:pos="720"/>
        </w:tabs>
        <w:autoSpaceDE w:val="0"/>
        <w:autoSpaceDN w:val="0"/>
        <w:adjustRightInd w:val="0"/>
        <w:spacing w:after="0" w:line="240" w:lineRule="auto"/>
        <w:ind w:left="0"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ţinerea evidenţei contabile separate;</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b/>
          <w:bCs/>
          <w:color w:val="000000"/>
          <w:sz w:val="26"/>
          <w:szCs w:val="26"/>
          <w:lang w:val="ro-MO"/>
        </w:rPr>
      </w:pP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b/>
          <w:bCs/>
          <w:color w:val="000000"/>
          <w:sz w:val="26"/>
          <w:szCs w:val="26"/>
          <w:lang w:val="ro-MO"/>
        </w:rPr>
      </w:pPr>
      <w:r w:rsidRPr="00446F65">
        <w:rPr>
          <w:rFonts w:ascii="Times New Roman" w:hAnsi="Times New Roman" w:cs="Times New Roman"/>
          <w:b/>
          <w:bCs/>
          <w:color w:val="000000"/>
          <w:sz w:val="26"/>
          <w:szCs w:val="26"/>
          <w:lang w:val="ro-MO"/>
        </w:rPr>
        <w:t xml:space="preserve">Obligaţia de asigurare a accesului la </w:t>
      </w:r>
      <w:r w:rsidR="00E93B0C">
        <w:rPr>
          <w:rFonts w:ascii="Times New Roman" w:hAnsi="Times New Roman" w:cs="Times New Roman"/>
          <w:b/>
          <w:bCs/>
          <w:color w:val="000000"/>
          <w:sz w:val="26"/>
          <w:szCs w:val="26"/>
          <w:lang w:val="ro-MO"/>
        </w:rPr>
        <w:t>rețeaua proprie</w:t>
      </w:r>
      <w:r w:rsidRPr="00446F65">
        <w:rPr>
          <w:rFonts w:ascii="Times New Roman" w:hAnsi="Times New Roman" w:cs="Times New Roman"/>
          <w:b/>
          <w:bCs/>
          <w:color w:val="000000"/>
          <w:sz w:val="26"/>
          <w:szCs w:val="26"/>
          <w:lang w:val="ro-MO"/>
        </w:rPr>
        <w:t xml:space="preserve">, la infrastructura asociată şi de utilizare a acestora </w:t>
      </w:r>
      <w:r w:rsidRPr="00446F65">
        <w:rPr>
          <w:rFonts w:ascii="Times New Roman" w:hAnsi="Times New Roman" w:cs="Times New Roman"/>
          <w:color w:val="000000"/>
          <w:sz w:val="26"/>
          <w:szCs w:val="26"/>
          <w:lang w:val="ro-MO"/>
        </w:rPr>
        <w:t xml:space="preserve">vizează obligaţia de a oferi accesul prin </w:t>
      </w:r>
      <w:r w:rsidRPr="00122CAE">
        <w:rPr>
          <w:rFonts w:ascii="Times New Roman" w:hAnsi="Times New Roman" w:cs="Times New Roman"/>
          <w:i/>
          <w:color w:val="000000"/>
          <w:sz w:val="26"/>
          <w:szCs w:val="26"/>
          <w:lang w:val="ro-MO"/>
        </w:rPr>
        <w:t>bitstream</w:t>
      </w:r>
      <w:r w:rsidRPr="00446F65">
        <w:rPr>
          <w:rFonts w:ascii="Times New Roman" w:hAnsi="Times New Roman" w:cs="Times New Roman"/>
          <w:color w:val="000000"/>
          <w:sz w:val="26"/>
          <w:szCs w:val="26"/>
          <w:lang w:val="ro-MO"/>
        </w:rPr>
        <w:t xml:space="preserve"> doar la buclele locale aferente unor repartitoare echipate cu echipament activ, astfel ca DSLAM sau alt echipament cu funcţionalitate similară, inclusiv de acces optic. Refuzul trebuie să fie temeinic justificat şi va fi comunicat în scris solicitantului şi ANRCETI, în termenele stabilite de ANRCETI conform HCA nr.06/2011. Totodată, Moldtelecom va oferi accesul la sistemele de asistenţă operaţională, la sistemele informaţionale, precum şi la bazele de date pentru pregătire a comenzilor, aprovizionare, întreţinere, solicitări de reparaţii şi facturare.</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Orice operator interesat să încheie un acord de acces la </w:t>
      </w:r>
      <w:r w:rsidRPr="00122CAE">
        <w:rPr>
          <w:rFonts w:ascii="Times New Roman" w:hAnsi="Times New Roman" w:cs="Times New Roman"/>
          <w:i/>
          <w:color w:val="000000"/>
          <w:sz w:val="26"/>
          <w:szCs w:val="26"/>
          <w:lang w:val="ro-MO"/>
        </w:rPr>
        <w:t>bitstream</w:t>
      </w:r>
      <w:r w:rsidRPr="00446F65">
        <w:rPr>
          <w:rFonts w:ascii="Times New Roman" w:hAnsi="Times New Roman" w:cs="Times New Roman"/>
          <w:color w:val="000000"/>
          <w:sz w:val="26"/>
          <w:szCs w:val="26"/>
          <w:lang w:val="ro-MO"/>
        </w:rPr>
        <w:t xml:space="preserve"> trebuie să transmită o cerere către Moldtelecom. Termenul maxim prevăzut în HCA nr.06/2011 pentru încheierea unui acord în acest sens este de 20 zile de la primirea cererii.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Pentru a respecta </w:t>
      </w:r>
      <w:r w:rsidRPr="00446F65">
        <w:rPr>
          <w:rFonts w:ascii="Times New Roman" w:hAnsi="Times New Roman" w:cs="Times New Roman"/>
          <w:b/>
          <w:bCs/>
          <w:color w:val="000000"/>
          <w:sz w:val="26"/>
          <w:szCs w:val="26"/>
          <w:lang w:val="ro-MO"/>
        </w:rPr>
        <w:t>obligaţia de transparenţă</w:t>
      </w:r>
      <w:r w:rsidRPr="00446F65">
        <w:rPr>
          <w:rFonts w:ascii="Times New Roman" w:hAnsi="Times New Roman" w:cs="Times New Roman"/>
          <w:color w:val="000000"/>
          <w:sz w:val="26"/>
          <w:szCs w:val="26"/>
          <w:lang w:val="ro-MO"/>
        </w:rPr>
        <w:t xml:space="preserve">, Moldtelecom  trebuie să publice pe pagina sa de internet şi să furnizeze la cerere o ofertă de referinţă pentru servicii de </w:t>
      </w:r>
      <w:r w:rsidRPr="00122CAE">
        <w:rPr>
          <w:rFonts w:ascii="Times New Roman" w:hAnsi="Times New Roman" w:cs="Times New Roman"/>
          <w:i/>
          <w:color w:val="000000"/>
          <w:sz w:val="26"/>
          <w:szCs w:val="26"/>
          <w:lang w:val="ro-MO"/>
        </w:rPr>
        <w:t>bitstream</w:t>
      </w:r>
      <w:r w:rsidRPr="00446F65">
        <w:rPr>
          <w:rFonts w:ascii="Times New Roman" w:hAnsi="Times New Roman" w:cs="Times New Roman"/>
          <w:color w:val="000000"/>
          <w:sz w:val="26"/>
          <w:szCs w:val="26"/>
          <w:lang w:val="ro-MO"/>
        </w:rPr>
        <w:t xml:space="preserve"> (ORB), care trebuie să includă cel puţin setul minim de servicii pentru furnizarea accesului în bandă largă, împreună cu condiţiile şi tarifele în care aceste servicii vor fi oferite în conformitate cu prevederile HCA nr. 06/2011. În luna mai 2012, Moldtelecom a publicat ORB, care conţine şi acordul-cadru cu privire la prestarea serviciului de</w:t>
      </w:r>
      <w:r w:rsidRPr="00122CAE">
        <w:rPr>
          <w:rFonts w:ascii="Times New Roman" w:hAnsi="Times New Roman" w:cs="Times New Roman"/>
          <w:i/>
          <w:color w:val="000000"/>
          <w:sz w:val="26"/>
          <w:szCs w:val="26"/>
          <w:lang w:val="ro-MO"/>
        </w:rPr>
        <w:t xml:space="preserve"> bitstream</w:t>
      </w:r>
      <w:r w:rsidRPr="00446F65">
        <w:rPr>
          <w:rFonts w:ascii="Times New Roman" w:hAnsi="Times New Roman" w:cs="Times New Roman"/>
          <w:color w:val="000000"/>
          <w:sz w:val="26"/>
          <w:szCs w:val="26"/>
          <w:lang w:val="ro-MO"/>
        </w:rPr>
        <w:t xml:space="preserve">. </w:t>
      </w:r>
      <w:r w:rsidR="0087762C" w:rsidRPr="00446F65">
        <w:rPr>
          <w:rFonts w:ascii="Times New Roman" w:hAnsi="Times New Roman" w:cs="Times New Roman"/>
          <w:color w:val="000000"/>
          <w:sz w:val="26"/>
          <w:szCs w:val="26"/>
          <w:lang w:val="ro-MO"/>
        </w:rPr>
        <w:tab/>
      </w:r>
      <w:r w:rsidRPr="00446F65">
        <w:rPr>
          <w:rFonts w:ascii="Times New Roman" w:hAnsi="Times New Roman" w:cs="Times New Roman"/>
          <w:color w:val="000000"/>
          <w:sz w:val="26"/>
          <w:szCs w:val="26"/>
          <w:lang w:val="ro-MO"/>
        </w:rPr>
        <w:t>Conform acestei obligaţii Moldtelecom</w:t>
      </w:r>
      <w:r w:rsidR="0087762C" w:rsidRPr="00446F65">
        <w:rPr>
          <w:rFonts w:ascii="Times New Roman" w:hAnsi="Times New Roman" w:cs="Times New Roman"/>
          <w:color w:val="000000"/>
          <w:sz w:val="26"/>
          <w:szCs w:val="26"/>
          <w:lang w:val="ro-MO"/>
        </w:rPr>
        <w:t xml:space="preserve"> </w:t>
      </w:r>
      <w:r w:rsidRPr="00446F65">
        <w:rPr>
          <w:rFonts w:ascii="Times New Roman" w:hAnsi="Times New Roman" w:cs="Times New Roman"/>
          <w:color w:val="000000"/>
          <w:sz w:val="26"/>
          <w:szCs w:val="26"/>
          <w:lang w:val="ro-MO"/>
        </w:rPr>
        <w:t xml:space="preserve">trebuie să depună la ANRCETI o copie de pe fiecare acord de acces şi a oricărei modificări în termen de 10 zile de la semnarea acestuia. </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De asemenea, Moldtelecom</w:t>
      </w:r>
      <w:r w:rsidR="0087762C" w:rsidRPr="00446F65">
        <w:rPr>
          <w:rFonts w:ascii="Times New Roman" w:hAnsi="Times New Roman" w:cs="Times New Roman"/>
          <w:color w:val="000000"/>
          <w:sz w:val="26"/>
          <w:szCs w:val="26"/>
          <w:lang w:val="ro-MO"/>
        </w:rPr>
        <w:t xml:space="preserve"> </w:t>
      </w:r>
      <w:r w:rsidRPr="00446F65">
        <w:rPr>
          <w:rFonts w:ascii="Times New Roman" w:hAnsi="Times New Roman" w:cs="Times New Roman"/>
          <w:color w:val="000000"/>
          <w:sz w:val="26"/>
          <w:szCs w:val="26"/>
          <w:lang w:val="ro-MO"/>
        </w:rPr>
        <w:t xml:space="preserve">are </w:t>
      </w:r>
      <w:r w:rsidRPr="00446F65">
        <w:rPr>
          <w:rFonts w:ascii="Times New Roman" w:hAnsi="Times New Roman" w:cs="Times New Roman"/>
          <w:b/>
          <w:bCs/>
          <w:color w:val="000000"/>
          <w:sz w:val="26"/>
          <w:szCs w:val="26"/>
          <w:lang w:val="ro-MO"/>
        </w:rPr>
        <w:t>obligaţia de nediscriminare</w:t>
      </w:r>
      <w:r w:rsidRPr="00446F65">
        <w:rPr>
          <w:rFonts w:ascii="Times New Roman" w:hAnsi="Times New Roman" w:cs="Times New Roman"/>
          <w:color w:val="000000"/>
          <w:sz w:val="26"/>
          <w:szCs w:val="26"/>
          <w:lang w:val="ro-MO"/>
        </w:rPr>
        <w:t>, respectiv să aplice condiţii echivalente de prestare a serviciului de acces în bandă largă în circumstanţe echivalente tuturor furnizorilor şi să pună la dispoziţia terţilor toate elementele specifice ale reţelei, infrastructura asociată, serviciile şi informaţiile necesare în vederea realizării accesului la bucla/sub bucla locală, în aceleaşi condiţii, inclusiv în ceea ce priveşte calitatea, cu cele oferite pentru propriile servicii sau pentru serviciile furnizate persoanelor din acelaşi grup.</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Modul de realizare a </w:t>
      </w:r>
      <w:r w:rsidRPr="00446F65">
        <w:rPr>
          <w:rFonts w:ascii="Times New Roman" w:hAnsi="Times New Roman" w:cs="Times New Roman"/>
          <w:b/>
          <w:bCs/>
          <w:color w:val="000000"/>
          <w:sz w:val="26"/>
          <w:szCs w:val="26"/>
          <w:lang w:val="ro-MO"/>
        </w:rPr>
        <w:t xml:space="preserve">evidenţei contabile separate </w:t>
      </w:r>
      <w:r w:rsidRPr="00446F65">
        <w:rPr>
          <w:rFonts w:ascii="Times New Roman" w:hAnsi="Times New Roman" w:cs="Times New Roman"/>
          <w:color w:val="000000"/>
          <w:sz w:val="26"/>
          <w:szCs w:val="26"/>
          <w:lang w:val="ro-MO"/>
        </w:rPr>
        <w:t>a fost stabilit prin Instrucţiunile privind implementarea de către S.A.„Moldtelecom” a evidenţei contabile separate în cadrul contabilităţii interne de gestiune, aprobate prin Hotărârea Consiliului de Administraţie al ANRCETI nr. 09 din 22.04.2011. Instrucţiunea conţine reguli detaliate privind întocmirea, publicarea şi auditul situaţiilor financiare separate, stabilind structura şi nivelul de detaliere al acestora, metodologia de alocare a costurilor, veniturilor şi capitalului angajat şi sistemul de decontări interne aplicat pentru produsele şi serviciile furnizate între unităţile şi subunităţile de afaceri.</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Conţinutul şi formatul de raportare a situaţiilor financiare separate pe care Moldtelecom are obligaţia să le transmită ANRCETI şi să le publice pe propria pagină de </w:t>
      </w:r>
      <w:r w:rsidR="007070D9" w:rsidRPr="00446F65">
        <w:rPr>
          <w:rFonts w:ascii="Times New Roman" w:hAnsi="Times New Roman" w:cs="Times New Roman"/>
          <w:color w:val="000000"/>
          <w:sz w:val="26"/>
          <w:szCs w:val="26"/>
          <w:lang w:val="ro-MO"/>
        </w:rPr>
        <w:t>I</w:t>
      </w:r>
      <w:r w:rsidRPr="00446F65">
        <w:rPr>
          <w:rFonts w:ascii="Times New Roman" w:hAnsi="Times New Roman" w:cs="Times New Roman"/>
          <w:color w:val="000000"/>
          <w:sz w:val="26"/>
          <w:szCs w:val="26"/>
          <w:lang w:val="ro-MO"/>
        </w:rPr>
        <w:t>nternet vor permite ANRCETI şi celorlalte persoane interesate să urmărească respectarea obligaţiilor de transparenţă, nediscriminare şi de fundamentare a tarifelor în funcţie de costuri.</w:t>
      </w:r>
    </w:p>
    <w:p w:rsidR="00157EB8" w:rsidRPr="00446F65" w:rsidRDefault="00E41616"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Pr>
          <w:rFonts w:ascii="Times New Roman" w:hAnsi="Times New Roman" w:cs="Times New Roman"/>
          <w:color w:val="000000"/>
          <w:sz w:val="26"/>
          <w:szCs w:val="26"/>
          <w:lang w:val="ro-MO"/>
        </w:rPr>
        <w:t>De asemenea, Moldtelecom</w:t>
      </w:r>
      <w:r w:rsidR="00157EB8" w:rsidRPr="00446F65">
        <w:rPr>
          <w:rFonts w:ascii="Times New Roman" w:hAnsi="Times New Roman" w:cs="Times New Roman"/>
          <w:color w:val="000000"/>
          <w:sz w:val="26"/>
          <w:szCs w:val="26"/>
          <w:lang w:val="ro-MO"/>
        </w:rPr>
        <w:t xml:space="preserve"> are </w:t>
      </w:r>
      <w:r w:rsidR="00157EB8" w:rsidRPr="00446F65">
        <w:rPr>
          <w:rFonts w:ascii="Times New Roman" w:hAnsi="Times New Roman" w:cs="Times New Roman"/>
          <w:b/>
          <w:bCs/>
          <w:color w:val="000000"/>
          <w:sz w:val="26"/>
          <w:szCs w:val="26"/>
          <w:lang w:val="ro-MO"/>
        </w:rPr>
        <w:t xml:space="preserve">obligaţia de control al tarifelor, inclusiv de fundamentare a tarifelor în funcţie de costuri </w:t>
      </w:r>
      <w:r w:rsidR="00157EB8" w:rsidRPr="00446F65">
        <w:rPr>
          <w:rFonts w:ascii="Times New Roman" w:hAnsi="Times New Roman" w:cs="Times New Roman"/>
          <w:color w:val="000000"/>
          <w:sz w:val="26"/>
          <w:szCs w:val="26"/>
          <w:lang w:val="ro-MO"/>
        </w:rPr>
        <w:t xml:space="preserve">pe baza unui model de calculaţie a costurilor sau a altor metode, aprobate de ANRCETI, tarife care vor fi suficient de detaliate pentru a asigura că solicitanţii nu vor trebui să plătească pentru resurse care nu sunt necesare serviciului pe care l-au solicitat. Până în prezent, tarifele nu au fost fundamentate pe baza unui model de calculaţie a costurilor. Până la aprobarea mecanismelor referitoare la controlul preţurilor în funcţie de LRIC, </w:t>
      </w:r>
      <w:r w:rsidR="00157EB8" w:rsidRPr="00446F65">
        <w:rPr>
          <w:rFonts w:ascii="Times New Roman" w:hAnsi="Times New Roman" w:cs="Times New Roman"/>
          <w:color w:val="000000"/>
          <w:sz w:val="26"/>
          <w:szCs w:val="26"/>
          <w:lang w:val="ro-MO"/>
        </w:rPr>
        <w:lastRenderedPageBreak/>
        <w:t>ANRCETI a stabilit preţuri maxime ce pot fi percepute de furnizorul ofertant care se regăsesc în ORB.</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 xml:space="preserve">În prezent, conform Anexei 4 la ORB, chiria lunară pentru accesul la </w:t>
      </w:r>
      <w:r w:rsidRPr="00122CAE">
        <w:rPr>
          <w:rFonts w:ascii="Times New Roman" w:hAnsi="Times New Roman" w:cs="Times New Roman"/>
          <w:i/>
          <w:color w:val="000000"/>
          <w:sz w:val="26"/>
          <w:szCs w:val="26"/>
          <w:lang w:val="ro-MO"/>
        </w:rPr>
        <w:t>bitstream</w:t>
      </w:r>
      <w:r w:rsidRPr="00446F65">
        <w:rPr>
          <w:rFonts w:ascii="Times New Roman" w:hAnsi="Times New Roman" w:cs="Times New Roman"/>
          <w:color w:val="000000"/>
          <w:sz w:val="26"/>
          <w:szCs w:val="26"/>
          <w:lang w:val="ro-MO"/>
        </w:rPr>
        <w:t xml:space="preserve"> local este de 80 lei, în timp ce chiria lunară pentru accesul la </w:t>
      </w:r>
      <w:r w:rsidRPr="00122CAE">
        <w:rPr>
          <w:rFonts w:ascii="Times New Roman" w:hAnsi="Times New Roman" w:cs="Times New Roman"/>
          <w:i/>
          <w:color w:val="000000"/>
          <w:sz w:val="26"/>
          <w:szCs w:val="26"/>
          <w:lang w:val="ro-MO"/>
        </w:rPr>
        <w:t>bitstream</w:t>
      </w:r>
      <w:r w:rsidRPr="00446F65">
        <w:rPr>
          <w:rFonts w:ascii="Times New Roman" w:hAnsi="Times New Roman" w:cs="Times New Roman"/>
          <w:color w:val="000000"/>
          <w:sz w:val="26"/>
          <w:szCs w:val="26"/>
          <w:lang w:val="ro-MO"/>
        </w:rPr>
        <w:t xml:space="preserve"> la nivel naţional este de 120 lei, la capacitatea de 6/1Mbps. În ambele cazuri, taxa de conectare este de 100 lei. Tarifele date nu conţin TVA.</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color w:val="000000"/>
          <w:sz w:val="26"/>
          <w:szCs w:val="26"/>
          <w:lang w:val="ro-MO"/>
        </w:rPr>
      </w:pPr>
      <w:r w:rsidRPr="00446F65">
        <w:rPr>
          <w:rFonts w:ascii="Times New Roman" w:hAnsi="Times New Roman" w:cs="Times New Roman"/>
          <w:color w:val="000000"/>
          <w:sz w:val="26"/>
          <w:szCs w:val="26"/>
          <w:lang w:val="ro-MO"/>
        </w:rPr>
        <w:t>Obligaţiile date rămân în sarcina Moldtelecom până la revizuirea acestora de către ANRCETI, nu înainte de a fi efectuată analiza de identificare şi analiza detaliată a pieţei în vederea determinării dacă în perioada dintre analize (doi ani) nu au avut loc careva evoluţii pe piaţa dată.</w:t>
      </w:r>
      <w:r w:rsidRPr="00446F65">
        <w:rPr>
          <w:rFonts w:ascii="Times New Roman" w:hAnsi="Times New Roman" w:cs="Times New Roman"/>
          <w:b/>
          <w:bCs/>
          <w:color w:val="FFFFFF"/>
          <w:sz w:val="26"/>
          <w:szCs w:val="26"/>
          <w:lang w:val="ro-MO"/>
        </w:rPr>
        <w:t xml:space="preserve"> Chiria lunară</w:t>
      </w:r>
    </w:p>
    <w:p w:rsidR="00157EB8" w:rsidRPr="00446F65" w:rsidRDefault="007070D9" w:rsidP="00317915">
      <w:pPr>
        <w:pStyle w:val="Heading4"/>
        <w:spacing w:line="240" w:lineRule="auto"/>
        <w:ind w:firstLine="567"/>
        <w:rPr>
          <w:rFonts w:eastAsiaTheme="minorHAnsi" w:cs="Times New Roman"/>
          <w:bCs w:val="0"/>
          <w:i w:val="0"/>
          <w:iCs w:val="0"/>
          <w:color w:val="auto"/>
          <w:szCs w:val="26"/>
          <w:lang w:val="ro-MO"/>
        </w:rPr>
      </w:pPr>
      <w:bookmarkStart w:id="87" w:name="_Toc430854410"/>
      <w:bookmarkStart w:id="88" w:name="_Toc492907420"/>
      <w:r w:rsidRPr="00446F65">
        <w:rPr>
          <w:rFonts w:eastAsiaTheme="minorHAnsi" w:cs="Times New Roman"/>
          <w:bCs w:val="0"/>
          <w:i w:val="0"/>
          <w:iCs w:val="0"/>
          <w:color w:val="auto"/>
          <w:szCs w:val="26"/>
          <w:lang w:val="ro-MO"/>
        </w:rPr>
        <w:t xml:space="preserve">3.6.4 </w:t>
      </w:r>
      <w:r w:rsidR="00157EB8" w:rsidRPr="00446F65">
        <w:rPr>
          <w:rFonts w:eastAsiaTheme="minorHAnsi" w:cs="Times New Roman"/>
          <w:bCs w:val="0"/>
          <w:i w:val="0"/>
          <w:iCs w:val="0"/>
          <w:color w:val="auto"/>
          <w:szCs w:val="26"/>
          <w:lang w:val="ro-MO"/>
        </w:rPr>
        <w:t>Examinarea remediilor necesare</w:t>
      </w:r>
      <w:bookmarkEnd w:id="87"/>
      <w:bookmarkEnd w:id="88"/>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Pe baza rezultatelor analizei de piaţă, ANRCETI consideră că în orizontul de timp al acestei analize nu vor exista evoluţii pe piaţă de natură să împiedice Moldtelecom să acţioneze independent faţă de competitorii săi. Prin urmare, în scopul promovării concurenţei, protejării intereselor utilizatorilor finali şi încurajării investiţiilor eficiente în infrastructură, ANRCETI propune menţinerea obligaţiilor impuse anterior în sarcina Moldtelecom prin HCA nr.06/2011 cu modificările și completările ulterioare, şi anume:</w:t>
      </w:r>
    </w:p>
    <w:p w:rsidR="00157EB8" w:rsidRPr="00446F65" w:rsidRDefault="00B86182" w:rsidP="00317915">
      <w:pPr>
        <w:pStyle w:val="ListParagraph"/>
        <w:numPr>
          <w:ilvl w:val="1"/>
          <w:numId w:val="2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o</w:t>
      </w:r>
      <w:r w:rsidR="00157EB8" w:rsidRPr="00446F65">
        <w:rPr>
          <w:rFonts w:ascii="Times New Roman" w:hAnsi="Times New Roman" w:cs="Times New Roman"/>
          <w:sz w:val="26"/>
          <w:szCs w:val="26"/>
          <w:lang w:val="ro-MO"/>
        </w:rPr>
        <w:t xml:space="preserve">bligaţia de asigurare a accesului </w:t>
      </w:r>
      <w:r w:rsidR="00E96609">
        <w:rPr>
          <w:rFonts w:ascii="Times New Roman" w:hAnsi="Times New Roman" w:cs="Times New Roman"/>
          <w:sz w:val="26"/>
          <w:szCs w:val="26"/>
          <w:lang w:val="ro-MO"/>
        </w:rPr>
        <w:t>rețeaua proprie</w:t>
      </w:r>
      <w:r w:rsidR="00157EB8" w:rsidRPr="00446F65">
        <w:rPr>
          <w:rFonts w:ascii="Times New Roman" w:hAnsi="Times New Roman" w:cs="Times New Roman"/>
          <w:sz w:val="26"/>
          <w:szCs w:val="26"/>
          <w:lang w:val="ro-MO"/>
        </w:rPr>
        <w:t xml:space="preserve">, la infrastructura asociată şi de utilizare a acestora, precum şi furnizarea serviciilor conexe cum ar fi colocarea şi serviciul </w:t>
      </w:r>
      <w:r w:rsidR="00157EB8" w:rsidRPr="00122CAE">
        <w:rPr>
          <w:rFonts w:ascii="Times New Roman" w:hAnsi="Times New Roman" w:cs="Times New Roman"/>
          <w:i/>
          <w:sz w:val="26"/>
          <w:szCs w:val="26"/>
          <w:lang w:val="ro-MO"/>
        </w:rPr>
        <w:t>backhaul</w:t>
      </w:r>
      <w:r w:rsidR="00157EB8" w:rsidRPr="00446F65">
        <w:rPr>
          <w:rFonts w:ascii="Times New Roman" w:hAnsi="Times New Roman" w:cs="Times New Roman"/>
          <w:sz w:val="26"/>
          <w:szCs w:val="26"/>
          <w:lang w:val="ro-MO"/>
        </w:rPr>
        <w:t>;</w:t>
      </w:r>
    </w:p>
    <w:p w:rsidR="00157EB8" w:rsidRPr="00446F65" w:rsidRDefault="00157EB8" w:rsidP="00317915">
      <w:pPr>
        <w:pStyle w:val="ListParagraph"/>
        <w:numPr>
          <w:ilvl w:val="1"/>
          <w:numId w:val="2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 xml:space="preserve">obligaţia de asigurare a transparenţei, prin publicarea unei Oferte de Referinţă pentru servicii de </w:t>
      </w:r>
      <w:r w:rsidRPr="00122CAE">
        <w:rPr>
          <w:rFonts w:ascii="Times New Roman" w:hAnsi="Times New Roman" w:cs="Times New Roman"/>
          <w:i/>
          <w:sz w:val="26"/>
          <w:szCs w:val="26"/>
          <w:lang w:val="ro-MO"/>
        </w:rPr>
        <w:t>Bitstream</w:t>
      </w:r>
      <w:r w:rsidRPr="00446F65">
        <w:rPr>
          <w:rFonts w:ascii="Times New Roman" w:hAnsi="Times New Roman" w:cs="Times New Roman"/>
          <w:sz w:val="26"/>
          <w:szCs w:val="26"/>
          <w:lang w:val="ro-MO"/>
        </w:rPr>
        <w:t xml:space="preserve"> (ORB);</w:t>
      </w:r>
    </w:p>
    <w:p w:rsidR="00157EB8" w:rsidRPr="00446F65" w:rsidRDefault="00157EB8" w:rsidP="00317915">
      <w:pPr>
        <w:pStyle w:val="ListParagraph"/>
        <w:numPr>
          <w:ilvl w:val="1"/>
          <w:numId w:val="2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obligaţia de neadmitere a discriminării;</w:t>
      </w:r>
    </w:p>
    <w:p w:rsidR="00157EB8" w:rsidRPr="00446F65" w:rsidRDefault="00157EB8" w:rsidP="00317915">
      <w:pPr>
        <w:pStyle w:val="ListParagraph"/>
        <w:numPr>
          <w:ilvl w:val="1"/>
          <w:numId w:val="2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obligaţii privind controlul tarifelor, inclusiv obligaţii de fundamentare a tarifelor în funcţie de costuri;</w:t>
      </w:r>
    </w:p>
    <w:p w:rsidR="00157EB8" w:rsidRPr="00446F65" w:rsidRDefault="00157EB8" w:rsidP="00317915">
      <w:pPr>
        <w:pStyle w:val="ListParagraph"/>
        <w:numPr>
          <w:ilvl w:val="1"/>
          <w:numId w:val="22"/>
        </w:numPr>
        <w:tabs>
          <w:tab w:val="left" w:pos="720"/>
        </w:tabs>
        <w:autoSpaceDE w:val="0"/>
        <w:autoSpaceDN w:val="0"/>
        <w:adjustRightInd w:val="0"/>
        <w:spacing w:after="0" w:line="240" w:lineRule="auto"/>
        <w:ind w:left="0"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obligaţia privind ţinerea evidenţei contabile separate.</w:t>
      </w:r>
    </w:p>
    <w:p w:rsidR="00157EB8" w:rsidRPr="00446F65" w:rsidRDefault="00157EB8" w:rsidP="00317915">
      <w:pPr>
        <w:autoSpaceDE w:val="0"/>
        <w:autoSpaceDN w:val="0"/>
        <w:adjustRightInd w:val="0"/>
        <w:spacing w:after="0" w:line="240" w:lineRule="auto"/>
        <w:ind w:firstLine="720"/>
        <w:jc w:val="both"/>
        <w:rPr>
          <w:rFonts w:ascii="Times New Roman" w:hAnsi="Times New Roman" w:cs="Times New Roman"/>
          <w:sz w:val="26"/>
          <w:szCs w:val="26"/>
          <w:lang w:val="ro-MO"/>
        </w:rPr>
      </w:pPr>
      <w:r w:rsidRPr="00446F65">
        <w:rPr>
          <w:rFonts w:ascii="Times New Roman" w:hAnsi="Times New Roman" w:cs="Times New Roman"/>
          <w:sz w:val="26"/>
          <w:szCs w:val="26"/>
          <w:lang w:val="ro-MO"/>
        </w:rPr>
        <w:t>Remediile propuse a fi menţinute sunt aplicabile accesului WCA prin bucla/sub bucla locală constituită din fire de cupru, precum şi accesului la buclele locale de fibră optică.</w:t>
      </w:r>
    </w:p>
    <w:p w:rsidR="00157EB8" w:rsidRPr="00446F65" w:rsidRDefault="00157EB8" w:rsidP="00317915">
      <w:pPr>
        <w:autoSpaceDE w:val="0"/>
        <w:autoSpaceDN w:val="0"/>
        <w:adjustRightInd w:val="0"/>
        <w:spacing w:after="0" w:line="240" w:lineRule="auto"/>
        <w:ind w:firstLine="567"/>
        <w:jc w:val="both"/>
        <w:rPr>
          <w:rFonts w:ascii="Times New Roman" w:hAnsi="Times New Roman" w:cs="Times New Roman"/>
          <w:sz w:val="26"/>
          <w:szCs w:val="26"/>
          <w:lang w:val="ro-MO"/>
        </w:rPr>
      </w:pPr>
    </w:p>
    <w:p w:rsidR="00157EB8" w:rsidRPr="00446F65" w:rsidRDefault="00157EB8" w:rsidP="00317915">
      <w:pPr>
        <w:autoSpaceDE w:val="0"/>
        <w:autoSpaceDN w:val="0"/>
        <w:adjustRightInd w:val="0"/>
        <w:spacing w:after="0" w:line="240" w:lineRule="auto"/>
        <w:jc w:val="both"/>
        <w:rPr>
          <w:rFonts w:ascii="Times New Roman" w:hAnsi="Times New Roman" w:cs="Times New Roman"/>
          <w:b/>
          <w:bCs/>
          <w:color w:val="FFFFFF"/>
          <w:sz w:val="26"/>
          <w:szCs w:val="26"/>
          <w:lang w:val="ro-MO"/>
        </w:rPr>
      </w:pPr>
    </w:p>
    <w:p w:rsidR="00157EB8" w:rsidRPr="00446F65" w:rsidRDefault="00157EB8" w:rsidP="00317915">
      <w:pPr>
        <w:tabs>
          <w:tab w:val="left" w:pos="720"/>
        </w:tabs>
        <w:autoSpaceDE w:val="0"/>
        <w:autoSpaceDN w:val="0"/>
        <w:adjustRightInd w:val="0"/>
        <w:spacing w:after="0" w:line="240" w:lineRule="auto"/>
        <w:jc w:val="both"/>
        <w:rPr>
          <w:rFonts w:ascii="Times New Roman" w:hAnsi="Times New Roman" w:cs="Times New Roman"/>
          <w:sz w:val="26"/>
          <w:szCs w:val="26"/>
          <w:lang w:val="ro-MO"/>
        </w:rPr>
      </w:pPr>
    </w:p>
    <w:sectPr w:rsidR="00157EB8" w:rsidRPr="00446F65" w:rsidSect="00122CAE">
      <w:footerReference w:type="default" r:id="rId25"/>
      <w:pgSz w:w="12240" w:h="15840" w:code="1"/>
      <w:pgMar w:top="567" w:right="851"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02F" w:rsidRDefault="009A602F" w:rsidP="006C4C7A">
      <w:pPr>
        <w:spacing w:after="0" w:line="240" w:lineRule="auto"/>
      </w:pPr>
      <w:r>
        <w:separator/>
      </w:r>
    </w:p>
  </w:endnote>
  <w:endnote w:type="continuationSeparator" w:id="0">
    <w:p w:rsidR="009A602F" w:rsidRDefault="009A602F" w:rsidP="006C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333146"/>
      <w:docPartObj>
        <w:docPartGallery w:val="Page Numbers (Bottom of Page)"/>
        <w:docPartUnique/>
      </w:docPartObj>
    </w:sdtPr>
    <w:sdtEndPr>
      <w:rPr>
        <w:noProof/>
      </w:rPr>
    </w:sdtEndPr>
    <w:sdtContent>
      <w:p w:rsidR="00FD79DD" w:rsidRDefault="00FD79DD">
        <w:pPr>
          <w:pStyle w:val="Footer"/>
          <w:jc w:val="right"/>
        </w:pPr>
        <w:r>
          <w:fldChar w:fldCharType="begin"/>
        </w:r>
        <w:r>
          <w:instrText xml:space="preserve"> PAGE   \* MERGEFORMAT </w:instrText>
        </w:r>
        <w:r>
          <w:fldChar w:fldCharType="separate"/>
        </w:r>
        <w:r w:rsidR="00F160BA">
          <w:rPr>
            <w:noProof/>
          </w:rPr>
          <w:t>3</w:t>
        </w:r>
        <w:r>
          <w:rPr>
            <w:noProof/>
          </w:rPr>
          <w:fldChar w:fldCharType="end"/>
        </w:r>
      </w:p>
    </w:sdtContent>
  </w:sdt>
  <w:p w:rsidR="00FD79DD" w:rsidRDefault="00FD7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02F" w:rsidRDefault="009A602F" w:rsidP="006C4C7A">
      <w:pPr>
        <w:spacing w:after="0" w:line="240" w:lineRule="auto"/>
      </w:pPr>
      <w:r>
        <w:separator/>
      </w:r>
    </w:p>
  </w:footnote>
  <w:footnote w:type="continuationSeparator" w:id="0">
    <w:p w:rsidR="009A602F" w:rsidRDefault="009A602F" w:rsidP="006C4C7A">
      <w:pPr>
        <w:spacing w:after="0" w:line="240" w:lineRule="auto"/>
      </w:pPr>
      <w:r>
        <w:continuationSeparator/>
      </w:r>
    </w:p>
  </w:footnote>
  <w:footnote w:id="1">
    <w:p w:rsidR="00FD79DD" w:rsidRPr="00011E8B" w:rsidRDefault="00FD79DD" w:rsidP="00DC6558">
      <w:pPr>
        <w:pStyle w:val="FootnoteText"/>
        <w:rPr>
          <w:rFonts w:ascii="Times New Roman" w:hAnsi="Times New Roman" w:cs="Times New Roman"/>
          <w:lang w:val="ro-RO"/>
        </w:rPr>
      </w:pPr>
      <w:r w:rsidRPr="00BF4423">
        <w:rPr>
          <w:rStyle w:val="FootnoteReference"/>
          <w:rFonts w:ascii="Times New Roman" w:hAnsi="Times New Roman" w:cs="Times New Roman"/>
        </w:rPr>
        <w:footnoteRef/>
      </w:r>
      <w:hyperlink r:id="rId1" w:history="1">
        <w:r w:rsidRPr="00011E8B">
          <w:rPr>
            <w:rStyle w:val="Hyperlink"/>
            <w:rFonts w:ascii="Times New Roman" w:hAnsi="Times New Roman" w:cs="Times New Roman"/>
            <w:lang w:val="ro-RO"/>
          </w:rPr>
          <w:t>http://eur-lex.europa.eu/LexUriServ/LexUriServ.do?uri=OJ:L:2007:344:0065:0069:ro:PDF</w:t>
        </w:r>
      </w:hyperlink>
    </w:p>
  </w:footnote>
  <w:footnote w:id="2">
    <w:p w:rsidR="00FD79DD" w:rsidRPr="00877123" w:rsidRDefault="00FD79DD">
      <w:pPr>
        <w:pStyle w:val="FootnoteText"/>
        <w:rPr>
          <w:rFonts w:ascii="Times New Roman" w:hAnsi="Times New Roman" w:cs="Times New Roman"/>
          <w:lang w:val="ro-RO"/>
        </w:rPr>
      </w:pPr>
      <w:r w:rsidRPr="00877123">
        <w:rPr>
          <w:rStyle w:val="FootnoteReference"/>
          <w:rFonts w:ascii="Times New Roman" w:hAnsi="Times New Roman" w:cs="Times New Roman"/>
        </w:rPr>
        <w:footnoteRef/>
      </w:r>
      <w:r w:rsidRPr="00877123">
        <w:rPr>
          <w:rFonts w:ascii="Times New Roman" w:hAnsi="Times New Roman" w:cs="Times New Roman"/>
          <w:lang w:val="ro-RO"/>
        </w:rPr>
        <w:t xml:space="preserve"> </w:t>
      </w:r>
      <w:hyperlink r:id="rId2" w:history="1">
        <w:r w:rsidRPr="00877123">
          <w:rPr>
            <w:rStyle w:val="Hyperlink"/>
            <w:rFonts w:ascii="Times New Roman" w:hAnsi="Times New Roman" w:cs="Times New Roman"/>
            <w:lang w:val="ro-RO"/>
          </w:rPr>
          <w:t>http://eur-lex.europa.eu/legal-content/RO/TXT/PDF/?uri=CELEX:32014H0710&amp;from=EN</w:t>
        </w:r>
      </w:hyperlink>
    </w:p>
  </w:footnote>
  <w:footnote w:id="3">
    <w:p w:rsidR="00FD79DD" w:rsidRDefault="00FD79DD">
      <w:pPr>
        <w:pStyle w:val="FootnoteText"/>
        <w:rPr>
          <w:lang w:val="ro-RO"/>
        </w:rPr>
      </w:pPr>
      <w:r w:rsidRPr="00877123">
        <w:rPr>
          <w:rStyle w:val="FootnoteReference"/>
          <w:rFonts w:ascii="Times New Roman" w:hAnsi="Times New Roman" w:cs="Times New Roman"/>
        </w:rPr>
        <w:footnoteRef/>
      </w:r>
      <w:r w:rsidRPr="00877123">
        <w:rPr>
          <w:rFonts w:ascii="Times New Roman" w:hAnsi="Times New Roman" w:cs="Times New Roman"/>
          <w:lang w:val="ro-RO"/>
        </w:rPr>
        <w:t xml:space="preserve"> </w:t>
      </w:r>
      <w:hyperlink r:id="rId3" w:history="1">
        <w:r w:rsidRPr="00877123">
          <w:rPr>
            <w:rStyle w:val="Hyperlink"/>
            <w:rFonts w:ascii="Times New Roman" w:hAnsi="Times New Roman" w:cs="Times New Roman"/>
            <w:lang w:val="ro-RO"/>
          </w:rPr>
          <w:t>https://ec.europa.eu/digital-single-market/en/news/future-electronic-communications-markets-subject-ex-ante-regulation</w:t>
        </w:r>
      </w:hyperlink>
    </w:p>
    <w:p w:rsidR="00FD79DD" w:rsidRPr="00877123" w:rsidRDefault="00FD79DD">
      <w:pPr>
        <w:pStyle w:val="FootnoteText"/>
        <w:rPr>
          <w:lang w:val="ro-RO"/>
        </w:rPr>
      </w:pPr>
    </w:p>
  </w:footnote>
  <w:footnote w:id="4">
    <w:p w:rsidR="00FD79DD" w:rsidRPr="00122CAE" w:rsidRDefault="00FD79DD" w:rsidP="003B7422">
      <w:pPr>
        <w:pStyle w:val="FootnoteText"/>
        <w:jc w:val="both"/>
        <w:rPr>
          <w:rFonts w:ascii="Times New Roman" w:hAnsi="Times New Roman" w:cs="Times New Roman"/>
          <w:lang w:val="ro-RO"/>
        </w:rPr>
      </w:pPr>
      <w:r w:rsidRPr="003B7422">
        <w:rPr>
          <w:rStyle w:val="FootnoteReference"/>
          <w:rFonts w:ascii="Times New Roman" w:hAnsi="Times New Roman" w:cs="Times New Roman"/>
        </w:rPr>
        <w:footnoteRef/>
      </w:r>
      <w:r w:rsidRPr="00122CAE">
        <w:rPr>
          <w:rFonts w:ascii="Times New Roman" w:hAnsi="Times New Roman" w:cs="Times New Roman"/>
          <w:lang w:val="ro-RO"/>
        </w:rPr>
        <w:t xml:space="preserve"> </w:t>
      </w:r>
      <w:r w:rsidRPr="003B7422">
        <w:rPr>
          <w:rFonts w:ascii="Times New Roman" w:hAnsi="Times New Roman" w:cs="Times New Roman"/>
          <w:lang w:val="ro-RO"/>
        </w:rPr>
        <w:t>accesul activ este cunoscut ca VULA, prin care furnizorilor de servicii le este furnizat accesul cu ridicata la rețeaua furnizorului ofertant printr-o conexiune virtuală oferindu-le o legătură definită cu clienții lor, cu un control substanțial asupra legăturii date</w:t>
      </w:r>
      <w:r>
        <w:rPr>
          <w:rFonts w:ascii="Times New Roman" w:hAnsi="Times New Roman" w:cs="Times New Roman"/>
          <w:lang w:val="ro-RO"/>
        </w:rPr>
        <w:t>.</w:t>
      </w:r>
    </w:p>
  </w:footnote>
  <w:footnote w:id="5">
    <w:p w:rsidR="00FD79DD" w:rsidRPr="00877123" w:rsidRDefault="00FD79DD">
      <w:pPr>
        <w:pStyle w:val="FootnoteText"/>
        <w:rPr>
          <w:lang w:val="ro-RO"/>
        </w:rPr>
      </w:pPr>
      <w:r>
        <w:rPr>
          <w:rStyle w:val="FootnoteReference"/>
        </w:rPr>
        <w:footnoteRef/>
      </w:r>
      <w:r w:rsidRPr="00877123">
        <w:rPr>
          <w:lang w:val="ro-RO"/>
        </w:rPr>
        <w:t xml:space="preserve"> </w:t>
      </w:r>
      <w:r>
        <w:rPr>
          <w:lang w:val="ro-RO"/>
        </w:rPr>
        <w:t xml:space="preserve">În prezenta analiza prin </w:t>
      </w:r>
      <w:proofErr w:type="spellStart"/>
      <w:r>
        <w:rPr>
          <w:lang w:val="ro-RO"/>
        </w:rPr>
        <w:t>SarNet</w:t>
      </w:r>
      <w:proofErr w:type="spellEnd"/>
      <w:r>
        <w:rPr>
          <w:lang w:val="ro-RO"/>
        </w:rPr>
        <w:t xml:space="preserve"> se subînțelege </w:t>
      </w:r>
      <w:proofErr w:type="spellStart"/>
      <w:r>
        <w:rPr>
          <w:lang w:val="ro-RO"/>
        </w:rPr>
        <w:t>StarNet</w:t>
      </w:r>
      <w:proofErr w:type="spellEnd"/>
      <w:r>
        <w:rPr>
          <w:lang w:val="ro-RO"/>
        </w:rPr>
        <w:t xml:space="preserve"> Soluții și StarNet Regional ținând cont că acestea fac parte din același Concern</w:t>
      </w:r>
    </w:p>
  </w:footnote>
  <w:footnote w:id="6">
    <w:p w:rsidR="00FD79DD" w:rsidRPr="00877123" w:rsidRDefault="00FD79DD">
      <w:pPr>
        <w:pStyle w:val="FootnoteText"/>
        <w:rPr>
          <w:lang w:val="ro-RO"/>
        </w:rPr>
      </w:pPr>
      <w:r>
        <w:rPr>
          <w:rStyle w:val="FootnoteReference"/>
        </w:rPr>
        <w:footnoteRef/>
      </w:r>
      <w:r w:rsidRPr="00877123">
        <w:rPr>
          <w:lang w:val="ro-RO"/>
        </w:rPr>
        <w:t xml:space="preserve"> </w:t>
      </w:r>
      <w:hyperlink r:id="rId4" w:history="1">
        <w:r w:rsidRPr="00877123">
          <w:rPr>
            <w:rStyle w:val="Hyperlink"/>
            <w:lang w:val="ro-RO"/>
          </w:rPr>
          <w:t>http://www.moldtelecom.md/news/13757</w:t>
        </w:r>
      </w:hyperlink>
    </w:p>
    <w:p w:rsidR="00FD79DD" w:rsidRPr="00877123" w:rsidRDefault="00FD79DD">
      <w:pPr>
        <w:pStyle w:val="FootnoteText"/>
        <w:rPr>
          <w:lang w:val="ro-RO"/>
        </w:rPr>
      </w:pPr>
    </w:p>
  </w:footnote>
  <w:footnote w:id="7">
    <w:p w:rsidR="00FD79DD" w:rsidRPr="00877123" w:rsidRDefault="00FD79DD" w:rsidP="007E5BC6">
      <w:pPr>
        <w:pStyle w:val="FootnoteText"/>
        <w:rPr>
          <w:rFonts w:ascii="Times New Roman" w:hAnsi="Times New Roman" w:cs="Times New Roman"/>
          <w:lang w:val="ro-RO"/>
        </w:rPr>
      </w:pPr>
      <w:r w:rsidRPr="00877123">
        <w:rPr>
          <w:rStyle w:val="FootnoteReference"/>
          <w:rFonts w:ascii="Times New Roman" w:hAnsi="Times New Roman" w:cs="Times New Roman"/>
        </w:rPr>
        <w:footnoteRef/>
      </w:r>
      <w:r w:rsidRPr="00877123">
        <w:rPr>
          <w:rFonts w:ascii="Times New Roman" w:hAnsi="Times New Roman" w:cs="Times New Roman"/>
          <w:lang w:val="fr-CD"/>
        </w:rPr>
        <w:t xml:space="preserve"> Cu </w:t>
      </w:r>
      <w:proofErr w:type="spellStart"/>
      <w:r w:rsidRPr="00877123">
        <w:rPr>
          <w:rFonts w:ascii="Times New Roman" w:hAnsi="Times New Roman" w:cs="Times New Roman"/>
          <w:lang w:val="fr-CD"/>
        </w:rPr>
        <w:t>condiţia</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disponibilităţii</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serviciilor</w:t>
      </w:r>
      <w:proofErr w:type="spellEnd"/>
      <w:r w:rsidRPr="00877123">
        <w:rPr>
          <w:rFonts w:ascii="Times New Roman" w:hAnsi="Times New Roman" w:cs="Times New Roman"/>
          <w:lang w:val="fr-CD"/>
        </w:rPr>
        <w:t xml:space="preserve"> fixe</w:t>
      </w:r>
    </w:p>
  </w:footnote>
  <w:footnote w:id="8">
    <w:p w:rsidR="00FD79DD" w:rsidRPr="00122CAE" w:rsidRDefault="00FD79DD" w:rsidP="00877123">
      <w:pPr>
        <w:pStyle w:val="FootnoteText"/>
        <w:jc w:val="both"/>
        <w:rPr>
          <w:rFonts w:ascii="Times New Roman" w:hAnsi="Times New Roman" w:cs="Times New Roman"/>
          <w:lang w:val="fr-CD"/>
        </w:rPr>
      </w:pPr>
      <w:r w:rsidRPr="00877123">
        <w:rPr>
          <w:rStyle w:val="FootnoteReference"/>
          <w:rFonts w:ascii="Times New Roman" w:hAnsi="Times New Roman" w:cs="Times New Roman"/>
        </w:rPr>
        <w:footnoteRef/>
      </w:r>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Serviciile</w:t>
      </w:r>
      <w:proofErr w:type="spellEnd"/>
      <w:r w:rsidRPr="00122CAE">
        <w:rPr>
          <w:rFonts w:ascii="Times New Roman" w:hAnsi="Times New Roman" w:cs="Times New Roman"/>
          <w:lang w:val="fr-CD"/>
        </w:rPr>
        <w:t xml:space="preserve"> de </w:t>
      </w:r>
      <w:proofErr w:type="spellStart"/>
      <w:r w:rsidRPr="00122CAE">
        <w:rPr>
          <w:rFonts w:ascii="Times New Roman" w:hAnsi="Times New Roman" w:cs="Times New Roman"/>
          <w:lang w:val="fr-CD"/>
        </w:rPr>
        <w:t>acces</w:t>
      </w:r>
      <w:proofErr w:type="spellEnd"/>
      <w:r w:rsidRPr="00122CAE">
        <w:rPr>
          <w:rFonts w:ascii="Times New Roman" w:hAnsi="Times New Roman" w:cs="Times New Roman"/>
          <w:lang w:val="fr-CD"/>
        </w:rPr>
        <w:t xml:space="preserve"> active permit </w:t>
      </w:r>
      <w:proofErr w:type="spellStart"/>
      <w:r w:rsidRPr="00122CAE">
        <w:rPr>
          <w:rFonts w:ascii="Times New Roman" w:hAnsi="Times New Roman" w:cs="Times New Roman"/>
          <w:lang w:val="fr-CD"/>
        </w:rPr>
        <w:t>solicitanților</w:t>
      </w:r>
      <w:proofErr w:type="spellEnd"/>
      <w:r w:rsidRPr="00122CAE">
        <w:rPr>
          <w:rFonts w:ascii="Times New Roman" w:hAnsi="Times New Roman" w:cs="Times New Roman"/>
          <w:lang w:val="fr-CD"/>
        </w:rPr>
        <w:t xml:space="preserve"> de </w:t>
      </w:r>
      <w:proofErr w:type="spellStart"/>
      <w:r w:rsidRPr="00122CAE">
        <w:rPr>
          <w:rFonts w:ascii="Times New Roman" w:hAnsi="Times New Roman" w:cs="Times New Roman"/>
          <w:lang w:val="fr-CD"/>
        </w:rPr>
        <w:t>acces</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utilizarea</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facilităților</w:t>
      </w:r>
      <w:proofErr w:type="spellEnd"/>
      <w:r w:rsidRPr="00122CAE">
        <w:rPr>
          <w:rFonts w:ascii="Times New Roman" w:hAnsi="Times New Roman" w:cs="Times New Roman"/>
          <w:lang w:val="fr-CD"/>
        </w:rPr>
        <w:t xml:space="preserve"> de </w:t>
      </w:r>
      <w:proofErr w:type="spellStart"/>
      <w:r w:rsidRPr="00122CAE">
        <w:rPr>
          <w:rFonts w:ascii="Times New Roman" w:hAnsi="Times New Roman" w:cs="Times New Roman"/>
          <w:lang w:val="fr-CD"/>
        </w:rPr>
        <w:t>rețea</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ale</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furnizorului</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ofertant</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acestea</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fiind</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furnizate</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și</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funcțiuonează</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cu</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ajutorul</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echipamentelor</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electronice</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conectate</w:t>
      </w:r>
      <w:proofErr w:type="spellEnd"/>
      <w:r w:rsidRPr="00122CAE">
        <w:rPr>
          <w:rFonts w:ascii="Times New Roman" w:hAnsi="Times New Roman" w:cs="Times New Roman"/>
          <w:lang w:val="fr-CD"/>
        </w:rPr>
        <w:t xml:space="preserve"> la </w:t>
      </w:r>
      <w:proofErr w:type="spellStart"/>
      <w:r w:rsidRPr="00122CAE">
        <w:rPr>
          <w:rFonts w:ascii="Times New Roman" w:hAnsi="Times New Roman" w:cs="Times New Roman"/>
          <w:lang w:val="fr-CD"/>
        </w:rPr>
        <w:t>surse</w:t>
      </w:r>
      <w:proofErr w:type="spellEnd"/>
      <w:r w:rsidRPr="00122CAE">
        <w:rPr>
          <w:rFonts w:ascii="Times New Roman" w:hAnsi="Times New Roman" w:cs="Times New Roman"/>
          <w:lang w:val="fr-CD"/>
        </w:rPr>
        <w:t xml:space="preserve"> de </w:t>
      </w:r>
      <w:proofErr w:type="spellStart"/>
      <w:r w:rsidRPr="00122CAE">
        <w:rPr>
          <w:rFonts w:ascii="Times New Roman" w:hAnsi="Times New Roman" w:cs="Times New Roman"/>
          <w:lang w:val="fr-CD"/>
        </w:rPr>
        <w:t>current</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electric</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pe</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când</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serviciile</w:t>
      </w:r>
      <w:proofErr w:type="spellEnd"/>
      <w:r w:rsidRPr="00122CAE">
        <w:rPr>
          <w:rFonts w:ascii="Times New Roman" w:hAnsi="Times New Roman" w:cs="Times New Roman"/>
          <w:lang w:val="fr-CD"/>
        </w:rPr>
        <w:t xml:space="preserve"> de </w:t>
      </w:r>
      <w:proofErr w:type="spellStart"/>
      <w:r w:rsidRPr="00122CAE">
        <w:rPr>
          <w:rFonts w:ascii="Times New Roman" w:hAnsi="Times New Roman" w:cs="Times New Roman"/>
          <w:lang w:val="fr-CD"/>
        </w:rPr>
        <w:t>acces</w:t>
      </w:r>
      <w:proofErr w:type="spellEnd"/>
      <w:r w:rsidRPr="00122CAE">
        <w:rPr>
          <w:rFonts w:ascii="Times New Roman" w:hAnsi="Times New Roman" w:cs="Times New Roman"/>
          <w:lang w:val="fr-CD"/>
        </w:rPr>
        <w:t xml:space="preserve"> la </w:t>
      </w:r>
      <w:proofErr w:type="spellStart"/>
      <w:r w:rsidRPr="00122CAE">
        <w:rPr>
          <w:rFonts w:ascii="Times New Roman" w:hAnsi="Times New Roman" w:cs="Times New Roman"/>
          <w:lang w:val="fr-CD"/>
        </w:rPr>
        <w:t>bucla</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locală</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sunt</w:t>
      </w:r>
      <w:proofErr w:type="spellEnd"/>
      <w:r w:rsidRPr="00122CAE">
        <w:rPr>
          <w:rFonts w:ascii="Times New Roman" w:hAnsi="Times New Roman" w:cs="Times New Roman"/>
          <w:lang w:val="fr-CD"/>
        </w:rPr>
        <w:t xml:space="preserve"> passive, </w:t>
      </w:r>
      <w:proofErr w:type="spellStart"/>
      <w:r w:rsidRPr="00122CAE">
        <w:rPr>
          <w:rFonts w:ascii="Times New Roman" w:hAnsi="Times New Roman" w:cs="Times New Roman"/>
          <w:lang w:val="fr-CD"/>
        </w:rPr>
        <w:t>în</w:t>
      </w:r>
      <w:proofErr w:type="spellEnd"/>
      <w:r w:rsidRPr="00122CAE">
        <w:rPr>
          <w:rFonts w:ascii="Times New Roman" w:hAnsi="Times New Roman" w:cs="Times New Roman"/>
          <w:lang w:val="fr-CD"/>
        </w:rPr>
        <w:t xml:space="preserve"> sens </w:t>
      </w:r>
      <w:proofErr w:type="spellStart"/>
      <w:r w:rsidRPr="00122CAE">
        <w:rPr>
          <w:rFonts w:ascii="Times New Roman" w:hAnsi="Times New Roman" w:cs="Times New Roman"/>
          <w:lang w:val="fr-CD"/>
        </w:rPr>
        <w:t>că</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sunt</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furnizate</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fără</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echipamente</w:t>
      </w:r>
      <w:proofErr w:type="spellEnd"/>
      <w:r w:rsidRPr="00122CAE">
        <w:rPr>
          <w:rFonts w:ascii="Times New Roman" w:hAnsi="Times New Roman" w:cs="Times New Roman"/>
          <w:lang w:val="fr-CD"/>
        </w:rPr>
        <w:t xml:space="preserve"> active </w:t>
      </w:r>
      <w:proofErr w:type="spellStart"/>
      <w:r w:rsidRPr="00122CAE">
        <w:rPr>
          <w:rFonts w:ascii="Times New Roman" w:hAnsi="Times New Roman" w:cs="Times New Roman"/>
          <w:lang w:val="fr-CD"/>
        </w:rPr>
        <w:t>conectate</w:t>
      </w:r>
      <w:proofErr w:type="spellEnd"/>
      <w:r w:rsidRPr="00122CAE">
        <w:rPr>
          <w:rFonts w:ascii="Times New Roman" w:hAnsi="Times New Roman" w:cs="Times New Roman"/>
          <w:lang w:val="fr-CD"/>
        </w:rPr>
        <w:t xml:space="preserve"> la </w:t>
      </w:r>
      <w:proofErr w:type="spellStart"/>
      <w:r w:rsidRPr="00122CAE">
        <w:rPr>
          <w:rFonts w:ascii="Times New Roman" w:hAnsi="Times New Roman" w:cs="Times New Roman"/>
          <w:lang w:val="fr-CD"/>
        </w:rPr>
        <w:t>surse</w:t>
      </w:r>
      <w:proofErr w:type="spellEnd"/>
      <w:r w:rsidRPr="00122CAE">
        <w:rPr>
          <w:rFonts w:ascii="Times New Roman" w:hAnsi="Times New Roman" w:cs="Times New Roman"/>
          <w:lang w:val="fr-CD"/>
        </w:rPr>
        <w:t xml:space="preserve"> de </w:t>
      </w:r>
      <w:proofErr w:type="spellStart"/>
      <w:r w:rsidRPr="00122CAE">
        <w:rPr>
          <w:rFonts w:ascii="Times New Roman" w:hAnsi="Times New Roman" w:cs="Times New Roman"/>
          <w:lang w:val="fr-CD"/>
        </w:rPr>
        <w:t>current</w:t>
      </w:r>
      <w:proofErr w:type="spellEnd"/>
      <w:r w:rsidRPr="00122CAE">
        <w:rPr>
          <w:rFonts w:ascii="Times New Roman" w:hAnsi="Times New Roman" w:cs="Times New Roman"/>
          <w:lang w:val="fr-CD"/>
        </w:rPr>
        <w:t xml:space="preserve"> </w:t>
      </w:r>
      <w:proofErr w:type="spellStart"/>
      <w:r w:rsidRPr="00122CAE">
        <w:rPr>
          <w:rFonts w:ascii="Times New Roman" w:hAnsi="Times New Roman" w:cs="Times New Roman"/>
          <w:lang w:val="fr-CD"/>
        </w:rPr>
        <w:t>electric</w:t>
      </w:r>
      <w:proofErr w:type="spellEnd"/>
      <w:r w:rsidRPr="00122CAE">
        <w:rPr>
          <w:rFonts w:ascii="Times New Roman" w:hAnsi="Times New Roman" w:cs="Times New Roman"/>
          <w:lang w:val="fr-CD"/>
        </w:rPr>
        <w:t>.</w:t>
      </w:r>
    </w:p>
  </w:footnote>
  <w:footnote w:id="9">
    <w:p w:rsidR="00FD79DD" w:rsidRPr="00877123" w:rsidRDefault="00FD79DD" w:rsidP="00C30B12">
      <w:pPr>
        <w:pStyle w:val="FootnoteText"/>
        <w:rPr>
          <w:rFonts w:ascii="Times New Roman" w:hAnsi="Times New Roman" w:cs="Times New Roman"/>
          <w:lang w:val="ro-RO"/>
        </w:rPr>
      </w:pPr>
      <w:r w:rsidRPr="00877123">
        <w:rPr>
          <w:rStyle w:val="FootnoteReference"/>
          <w:rFonts w:ascii="Times New Roman" w:hAnsi="Times New Roman" w:cs="Times New Roman"/>
        </w:rPr>
        <w:footnoteRef/>
      </w:r>
      <w:r w:rsidRPr="00122CAE">
        <w:rPr>
          <w:rFonts w:ascii="Times New Roman" w:hAnsi="Times New Roman" w:cs="Times New Roman"/>
          <w:lang w:val="fr-CD"/>
        </w:rPr>
        <w:t xml:space="preserve"> </w:t>
      </w:r>
      <w:proofErr w:type="spellStart"/>
      <w:r w:rsidRPr="00877123">
        <w:rPr>
          <w:rFonts w:ascii="Times New Roman" w:hAnsi="Times New Roman" w:cs="Times New Roman"/>
          <w:lang w:val="ro-RO"/>
        </w:rPr>
        <w:t>Layer</w:t>
      </w:r>
      <w:proofErr w:type="spellEnd"/>
      <w:r w:rsidRPr="00877123">
        <w:rPr>
          <w:rFonts w:ascii="Times New Roman" w:hAnsi="Times New Roman" w:cs="Times New Roman"/>
          <w:lang w:val="ro-RO"/>
        </w:rPr>
        <w:t xml:space="preserve"> 2 – Data Link </w:t>
      </w:r>
      <w:proofErr w:type="spellStart"/>
      <w:r w:rsidRPr="00877123">
        <w:rPr>
          <w:rFonts w:ascii="Times New Roman" w:hAnsi="Times New Roman" w:cs="Times New Roman"/>
          <w:lang w:val="ro-RO"/>
        </w:rPr>
        <w:t>Layer</w:t>
      </w:r>
      <w:proofErr w:type="spellEnd"/>
      <w:r w:rsidRPr="00877123">
        <w:rPr>
          <w:rFonts w:ascii="Times New Roman" w:hAnsi="Times New Roman" w:cs="Times New Roman"/>
          <w:lang w:val="ro-RO"/>
        </w:rPr>
        <w:t xml:space="preserve"> al modelului de protocoale pentru comunicații al Organizației Internaționale de Standardizare</w:t>
      </w:r>
    </w:p>
    <w:p w:rsidR="00FD79DD" w:rsidRPr="00877123" w:rsidRDefault="00FD79DD">
      <w:pPr>
        <w:pStyle w:val="FootnoteText"/>
        <w:rPr>
          <w:lang w:val="ro-RO"/>
        </w:rPr>
      </w:pPr>
    </w:p>
  </w:footnote>
  <w:footnote w:id="10">
    <w:p w:rsidR="00FD79DD" w:rsidRPr="00877123" w:rsidRDefault="00FD79DD">
      <w:pPr>
        <w:pStyle w:val="FootnoteText"/>
        <w:rPr>
          <w:lang w:val="ro-RO"/>
        </w:rPr>
      </w:pPr>
      <w:r>
        <w:rPr>
          <w:rStyle w:val="FootnoteReference"/>
        </w:rPr>
        <w:footnoteRef/>
      </w:r>
      <w:r w:rsidRPr="00877123">
        <w:rPr>
          <w:lang w:val="ro-RO"/>
        </w:rPr>
        <w:t xml:space="preserve"> </w:t>
      </w:r>
      <w:hyperlink r:id="rId5" w:history="1">
        <w:r w:rsidRPr="00877123">
          <w:rPr>
            <w:rStyle w:val="Hyperlink"/>
            <w:lang w:val="ro-RO"/>
          </w:rPr>
          <w:t>https://www.comreg.ie/media/dlm_uploads/2016/11/ComReg-1696b-1.pdf</w:t>
        </w:r>
      </w:hyperlink>
    </w:p>
    <w:p w:rsidR="00FD79DD" w:rsidRPr="00877123" w:rsidRDefault="00FD79DD">
      <w:pPr>
        <w:pStyle w:val="FootnoteText"/>
        <w:rPr>
          <w:lang w:val="ro-RO"/>
        </w:rPr>
      </w:pPr>
    </w:p>
  </w:footnote>
  <w:footnote w:id="11">
    <w:p w:rsidR="00FD79DD" w:rsidRPr="00877123" w:rsidRDefault="00FD79DD">
      <w:pPr>
        <w:pStyle w:val="FootnoteText"/>
        <w:rPr>
          <w:lang w:val="ro-RO"/>
        </w:rPr>
      </w:pPr>
      <w:r>
        <w:rPr>
          <w:rStyle w:val="FootnoteReference"/>
        </w:rPr>
        <w:footnoteRef/>
      </w:r>
      <w:r w:rsidRPr="00122CAE">
        <w:rPr>
          <w:lang w:val="fr-CD"/>
        </w:rPr>
        <w:t xml:space="preserve"> </w:t>
      </w:r>
      <w:proofErr w:type="spellStart"/>
      <w:r w:rsidRPr="00122CAE">
        <w:rPr>
          <w:lang w:val="fr-CD"/>
        </w:rPr>
        <w:t>Situaţia</w:t>
      </w:r>
      <w:proofErr w:type="spellEnd"/>
      <w:r w:rsidRPr="00122CAE">
        <w:rPr>
          <w:lang w:val="fr-CD"/>
        </w:rPr>
        <w:t xml:space="preserve"> </w:t>
      </w:r>
      <w:proofErr w:type="spellStart"/>
      <w:r w:rsidRPr="00122CAE">
        <w:rPr>
          <w:lang w:val="fr-CD"/>
        </w:rPr>
        <w:t>din</w:t>
      </w:r>
      <w:proofErr w:type="spellEnd"/>
      <w:r w:rsidRPr="00122CAE">
        <w:rPr>
          <w:lang w:val="fr-CD"/>
        </w:rPr>
        <w:t xml:space="preserve"> Moldova se </w:t>
      </w:r>
      <w:proofErr w:type="spellStart"/>
      <w:r w:rsidRPr="00122CAE">
        <w:rPr>
          <w:lang w:val="fr-CD"/>
        </w:rPr>
        <w:t>deosebeşte</w:t>
      </w:r>
      <w:proofErr w:type="spellEnd"/>
      <w:r w:rsidRPr="00122CAE">
        <w:rPr>
          <w:lang w:val="fr-CD"/>
        </w:rPr>
        <w:t xml:space="preserve"> </w:t>
      </w:r>
      <w:proofErr w:type="spellStart"/>
      <w:r w:rsidRPr="00122CAE">
        <w:rPr>
          <w:lang w:val="fr-CD"/>
        </w:rPr>
        <w:t>aici</w:t>
      </w:r>
      <w:proofErr w:type="spellEnd"/>
      <w:r w:rsidRPr="00122CAE">
        <w:rPr>
          <w:lang w:val="fr-CD"/>
        </w:rPr>
        <w:t xml:space="preserve">, </w:t>
      </w:r>
      <w:proofErr w:type="spellStart"/>
      <w:r w:rsidRPr="00122CAE">
        <w:rPr>
          <w:lang w:val="fr-CD"/>
        </w:rPr>
        <w:t>deoarece</w:t>
      </w:r>
      <w:proofErr w:type="spellEnd"/>
      <w:r w:rsidRPr="00122CAE">
        <w:rPr>
          <w:lang w:val="fr-CD"/>
        </w:rPr>
        <w:t xml:space="preserve"> </w:t>
      </w:r>
      <w:proofErr w:type="spellStart"/>
      <w:r w:rsidRPr="00122CAE">
        <w:rPr>
          <w:lang w:val="fr-CD"/>
        </w:rPr>
        <w:t>companiile</w:t>
      </w:r>
      <w:proofErr w:type="spellEnd"/>
      <w:r w:rsidRPr="00122CAE">
        <w:rPr>
          <w:lang w:val="fr-CD"/>
        </w:rPr>
        <w:t xml:space="preserve"> de </w:t>
      </w:r>
      <w:proofErr w:type="spellStart"/>
      <w:r w:rsidRPr="00122CAE">
        <w:rPr>
          <w:lang w:val="fr-CD"/>
        </w:rPr>
        <w:t>cablu</w:t>
      </w:r>
      <w:proofErr w:type="spellEnd"/>
      <w:r w:rsidRPr="00122CAE">
        <w:rPr>
          <w:lang w:val="fr-CD"/>
        </w:rPr>
        <w:t xml:space="preserve"> TV </w:t>
      </w:r>
      <w:proofErr w:type="spellStart"/>
      <w:r w:rsidRPr="00122CAE">
        <w:rPr>
          <w:lang w:val="fr-CD"/>
        </w:rPr>
        <w:t>autohtone</w:t>
      </w:r>
      <w:proofErr w:type="spellEnd"/>
      <w:r w:rsidRPr="00122CAE">
        <w:rPr>
          <w:lang w:val="fr-CD"/>
        </w:rPr>
        <w:t xml:space="preserve">, </w:t>
      </w:r>
      <w:proofErr w:type="spellStart"/>
      <w:r w:rsidRPr="00122CAE">
        <w:rPr>
          <w:lang w:val="fr-CD"/>
        </w:rPr>
        <w:t>în</w:t>
      </w:r>
      <w:proofErr w:type="spellEnd"/>
      <w:r w:rsidRPr="00122CAE">
        <w:rPr>
          <w:lang w:val="fr-CD"/>
        </w:rPr>
        <w:t xml:space="preserve"> </w:t>
      </w:r>
      <w:proofErr w:type="spellStart"/>
      <w:r w:rsidRPr="00122CAE">
        <w:rPr>
          <w:lang w:val="fr-CD"/>
        </w:rPr>
        <w:t>cea</w:t>
      </w:r>
      <w:proofErr w:type="spellEnd"/>
      <w:r w:rsidRPr="00122CAE">
        <w:rPr>
          <w:lang w:val="fr-CD"/>
        </w:rPr>
        <w:t xml:space="preserve"> mai mare </w:t>
      </w:r>
      <w:proofErr w:type="spellStart"/>
      <w:r w:rsidRPr="00122CAE">
        <w:rPr>
          <w:lang w:val="fr-CD"/>
        </w:rPr>
        <w:t>măsură</w:t>
      </w:r>
      <w:proofErr w:type="spellEnd"/>
      <w:r w:rsidRPr="00122CAE">
        <w:rPr>
          <w:lang w:val="fr-CD"/>
        </w:rPr>
        <w:t xml:space="preserve"> nu </w:t>
      </w:r>
      <w:proofErr w:type="spellStart"/>
      <w:r w:rsidRPr="00122CAE">
        <w:rPr>
          <w:lang w:val="fr-CD"/>
        </w:rPr>
        <w:t>dispun</w:t>
      </w:r>
      <w:proofErr w:type="spellEnd"/>
      <w:r w:rsidRPr="00122CAE">
        <w:rPr>
          <w:lang w:val="fr-CD"/>
        </w:rPr>
        <w:t xml:space="preserve"> de </w:t>
      </w:r>
      <w:proofErr w:type="spellStart"/>
      <w:r w:rsidRPr="00122CAE">
        <w:rPr>
          <w:lang w:val="fr-CD"/>
        </w:rPr>
        <w:t>astfel</w:t>
      </w:r>
      <w:proofErr w:type="spellEnd"/>
      <w:r w:rsidRPr="00122CAE">
        <w:rPr>
          <w:lang w:val="fr-CD"/>
        </w:rPr>
        <w:t xml:space="preserve"> de </w:t>
      </w:r>
      <w:proofErr w:type="spellStart"/>
      <w:r w:rsidRPr="00122CAE">
        <w:rPr>
          <w:lang w:val="fr-CD"/>
        </w:rPr>
        <w:t>infrastructură</w:t>
      </w:r>
      <w:proofErr w:type="spellEnd"/>
      <w:r w:rsidRPr="00122CAE">
        <w:rPr>
          <w:lang w:val="fr-CD"/>
        </w:rPr>
        <w:t>.</w:t>
      </w:r>
    </w:p>
  </w:footnote>
  <w:footnote w:id="12">
    <w:p w:rsidR="00FD79DD" w:rsidRPr="00877123" w:rsidRDefault="00FD79DD">
      <w:pPr>
        <w:pStyle w:val="FootnoteText"/>
        <w:rPr>
          <w:rFonts w:ascii="Times New Roman" w:hAnsi="Times New Roman" w:cs="Times New Roman"/>
          <w:lang w:val="fr-CD"/>
        </w:rPr>
      </w:pPr>
      <w:r w:rsidRPr="00877123">
        <w:rPr>
          <w:rStyle w:val="FootnoteReference"/>
          <w:rFonts w:ascii="Times New Roman" w:hAnsi="Times New Roman" w:cs="Times New Roman"/>
        </w:rPr>
        <w:footnoteRef/>
      </w:r>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Aici</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infrastructura</w:t>
      </w:r>
      <w:proofErr w:type="spellEnd"/>
      <w:r w:rsidRPr="00877123">
        <w:rPr>
          <w:rFonts w:ascii="Times New Roman" w:hAnsi="Times New Roman" w:cs="Times New Roman"/>
          <w:lang w:val="fr-CD"/>
        </w:rPr>
        <w:t xml:space="preserve"> are </w:t>
      </w:r>
      <w:proofErr w:type="spellStart"/>
      <w:r w:rsidRPr="00877123">
        <w:rPr>
          <w:rFonts w:ascii="Times New Roman" w:hAnsi="Times New Roman" w:cs="Times New Roman"/>
          <w:lang w:val="fr-CD"/>
        </w:rPr>
        <w:t>înțelesul</w:t>
      </w:r>
      <w:proofErr w:type="spellEnd"/>
      <w:r w:rsidRPr="00877123">
        <w:rPr>
          <w:rFonts w:ascii="Times New Roman" w:hAnsi="Times New Roman" w:cs="Times New Roman"/>
          <w:lang w:val="fr-CD"/>
        </w:rPr>
        <w:t xml:space="preserve"> de </w:t>
      </w:r>
      <w:proofErr w:type="spellStart"/>
      <w:r w:rsidRPr="00877123">
        <w:rPr>
          <w:rFonts w:ascii="Times New Roman" w:hAnsi="Times New Roman" w:cs="Times New Roman"/>
          <w:lang w:val="fr-CD"/>
        </w:rPr>
        <w:t>rețele</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părțile</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pasive</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și</w:t>
      </w:r>
      <w:proofErr w:type="spellEnd"/>
      <w:r w:rsidRPr="00877123">
        <w:rPr>
          <w:rFonts w:ascii="Times New Roman" w:hAnsi="Times New Roman" w:cs="Times New Roman"/>
          <w:lang w:val="fr-CD"/>
        </w:rPr>
        <w:t xml:space="preserve"> active ale </w:t>
      </w:r>
      <w:proofErr w:type="spellStart"/>
      <w:r w:rsidRPr="00877123">
        <w:rPr>
          <w:rFonts w:ascii="Times New Roman" w:hAnsi="Times New Roman" w:cs="Times New Roman"/>
          <w:lang w:val="fr-CD"/>
        </w:rPr>
        <w:t>rețelelor</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însă</w:t>
      </w:r>
      <w:proofErr w:type="spellEnd"/>
      <w:r w:rsidRPr="00877123">
        <w:rPr>
          <w:rFonts w:ascii="Times New Roman" w:hAnsi="Times New Roman" w:cs="Times New Roman"/>
          <w:lang w:val="fr-CD"/>
        </w:rPr>
        <w:t xml:space="preserve"> nu </w:t>
      </w:r>
      <w:proofErr w:type="spellStart"/>
      <w:r w:rsidRPr="00877123">
        <w:rPr>
          <w:rFonts w:ascii="Times New Roman" w:hAnsi="Times New Roman" w:cs="Times New Roman"/>
          <w:lang w:val="fr-CD"/>
        </w:rPr>
        <w:t>include</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infrastructura</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asociată</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rețelelor</w:t>
      </w:r>
      <w:proofErr w:type="spellEnd"/>
      <w:r w:rsidRPr="00877123">
        <w:rPr>
          <w:rFonts w:ascii="Times New Roman" w:hAnsi="Times New Roman" w:cs="Times New Roman"/>
          <w:lang w:val="fr-CD"/>
        </w:rPr>
        <w:t xml:space="preserve">, care de </w:t>
      </w:r>
      <w:proofErr w:type="spellStart"/>
      <w:r w:rsidRPr="00877123">
        <w:rPr>
          <w:rFonts w:ascii="Times New Roman" w:hAnsi="Times New Roman" w:cs="Times New Roman"/>
          <w:lang w:val="fr-CD"/>
        </w:rPr>
        <w:t>una</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singură</w:t>
      </w:r>
      <w:proofErr w:type="spellEnd"/>
      <w:r w:rsidRPr="00877123">
        <w:rPr>
          <w:rFonts w:ascii="Times New Roman" w:hAnsi="Times New Roman" w:cs="Times New Roman"/>
          <w:lang w:val="fr-CD"/>
        </w:rPr>
        <w:t xml:space="preserve"> nu </w:t>
      </w:r>
      <w:proofErr w:type="spellStart"/>
      <w:r w:rsidRPr="00877123">
        <w:rPr>
          <w:rFonts w:ascii="Times New Roman" w:hAnsi="Times New Roman" w:cs="Times New Roman"/>
          <w:lang w:val="fr-CD"/>
        </w:rPr>
        <w:t>produce</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valoare</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în</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termeni</w:t>
      </w:r>
      <w:proofErr w:type="spellEnd"/>
      <w:r w:rsidRPr="00877123">
        <w:rPr>
          <w:rFonts w:ascii="Times New Roman" w:hAnsi="Times New Roman" w:cs="Times New Roman"/>
          <w:lang w:val="fr-CD"/>
        </w:rPr>
        <w:t xml:space="preserve"> de </w:t>
      </w:r>
      <w:proofErr w:type="spellStart"/>
      <w:r w:rsidRPr="00877123">
        <w:rPr>
          <w:rFonts w:ascii="Times New Roman" w:hAnsi="Times New Roman" w:cs="Times New Roman"/>
          <w:lang w:val="fr-CD"/>
        </w:rPr>
        <w:t>produse</w:t>
      </w:r>
      <w:proofErr w:type="spellEnd"/>
      <w:r w:rsidRPr="00877123">
        <w:rPr>
          <w:rFonts w:ascii="Times New Roman" w:hAnsi="Times New Roman" w:cs="Times New Roman"/>
          <w:lang w:val="fr-CD"/>
        </w:rPr>
        <w:t xml:space="preserve"> de </w:t>
      </w:r>
      <w:proofErr w:type="spellStart"/>
      <w:r w:rsidRPr="00877123">
        <w:rPr>
          <w:rFonts w:ascii="Times New Roman" w:hAnsi="Times New Roman" w:cs="Times New Roman"/>
          <w:lang w:val="fr-CD"/>
        </w:rPr>
        <w:t>comunicații</w:t>
      </w:r>
      <w:proofErr w:type="spellEnd"/>
      <w:r w:rsidRPr="00877123">
        <w:rPr>
          <w:rFonts w:ascii="Times New Roman" w:hAnsi="Times New Roman" w:cs="Times New Roman"/>
          <w:lang w:val="fr-CD"/>
        </w:rPr>
        <w:t xml:space="preserve"> </w:t>
      </w:r>
      <w:proofErr w:type="spellStart"/>
      <w:r w:rsidRPr="00877123">
        <w:rPr>
          <w:rFonts w:ascii="Times New Roman" w:hAnsi="Times New Roman" w:cs="Times New Roman"/>
          <w:lang w:val="fr-CD"/>
        </w:rPr>
        <w:t>electronice</w:t>
      </w:r>
      <w:proofErr w:type="spellEnd"/>
      <w:r w:rsidRPr="00877123">
        <w:rPr>
          <w:rFonts w:ascii="Times New Roman" w:hAnsi="Times New Roman" w:cs="Times New Roman"/>
          <w:lang w:val="fr-CD"/>
        </w:rPr>
        <w:t xml:space="preserve">. </w:t>
      </w:r>
    </w:p>
  </w:footnote>
  <w:footnote w:id="13">
    <w:p w:rsidR="00FD79DD" w:rsidRPr="000268FE" w:rsidRDefault="00FD79DD" w:rsidP="00157EB8">
      <w:pPr>
        <w:pStyle w:val="FootnoteText"/>
        <w:rPr>
          <w:rFonts w:ascii="Times New Roman" w:hAnsi="Times New Roman" w:cs="Times New Roman"/>
        </w:rPr>
      </w:pPr>
      <w:r w:rsidRPr="000268FE">
        <w:rPr>
          <w:rStyle w:val="FootnoteReference"/>
          <w:rFonts w:ascii="Times New Roman" w:hAnsi="Times New Roman" w:cs="Times New Roman"/>
        </w:rPr>
        <w:footnoteRef/>
      </w:r>
      <w:r w:rsidRPr="000268FE">
        <w:rPr>
          <w:rFonts w:ascii="Times New Roman" w:hAnsi="Times New Roman" w:cs="Times New Roman"/>
        </w:rPr>
        <w:t xml:space="preserve"> EC (2007) 5406, pag.32</w:t>
      </w:r>
    </w:p>
  </w:footnote>
  <w:footnote w:id="14">
    <w:p w:rsidR="00FD79DD" w:rsidRPr="00FD14E5" w:rsidRDefault="00FD79DD" w:rsidP="00157EB8">
      <w:pPr>
        <w:pStyle w:val="FootnoteText"/>
        <w:rPr>
          <w:rFonts w:asciiTheme="majorHAnsi" w:hAnsiTheme="majorHAnsi"/>
        </w:rPr>
      </w:pPr>
      <w:r w:rsidRPr="000268FE">
        <w:rPr>
          <w:rStyle w:val="FootnoteReference"/>
          <w:rFonts w:ascii="Times New Roman" w:hAnsi="Times New Roman" w:cs="Times New Roman"/>
        </w:rPr>
        <w:footnoteRef/>
      </w:r>
      <w:r w:rsidRPr="000268FE">
        <w:rPr>
          <w:rFonts w:ascii="Times New Roman" w:hAnsi="Times New Roman" w:cs="Times New Roman"/>
        </w:rPr>
        <w:t>Ibid, pag.33</w:t>
      </w:r>
    </w:p>
  </w:footnote>
  <w:footnote w:id="15">
    <w:p w:rsidR="00FD79DD" w:rsidRPr="00D24256" w:rsidRDefault="00FD79DD" w:rsidP="00157EB8">
      <w:pPr>
        <w:pStyle w:val="FootnoteText"/>
        <w:rPr>
          <w:rFonts w:asciiTheme="majorHAnsi" w:hAnsiTheme="majorHAnsi"/>
        </w:rPr>
      </w:pPr>
      <w:r w:rsidRPr="00D24256">
        <w:rPr>
          <w:rStyle w:val="FootnoteReference"/>
          <w:rFonts w:asciiTheme="majorHAnsi" w:hAnsiTheme="majorHAnsi"/>
        </w:rPr>
        <w:footnoteRef/>
      </w:r>
      <w:r>
        <w:rPr>
          <w:rFonts w:asciiTheme="majorHAnsi" w:hAnsiTheme="majorHAnsi"/>
        </w:rPr>
        <w:t>Ibid, pag.</w:t>
      </w:r>
      <w:r w:rsidRPr="00D24256">
        <w:rPr>
          <w:rFonts w:asciiTheme="majorHAnsi" w:hAnsiTheme="majorHAnsi"/>
        </w:rPr>
        <w:t>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18B"/>
    <w:multiLevelType w:val="hybridMultilevel"/>
    <w:tmpl w:val="0BCE5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A782C"/>
    <w:multiLevelType w:val="hybridMultilevel"/>
    <w:tmpl w:val="7AEC3D3E"/>
    <w:lvl w:ilvl="0" w:tplc="591A940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8817EAA"/>
    <w:multiLevelType w:val="hybridMultilevel"/>
    <w:tmpl w:val="2FC2A7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214E5"/>
    <w:multiLevelType w:val="hybridMultilevel"/>
    <w:tmpl w:val="F0F0BA72"/>
    <w:lvl w:ilvl="0" w:tplc="591A9408">
      <w:start w:val="1"/>
      <w:numFmt w:val="lowerRoman"/>
      <w:lvlText w:val="%1."/>
      <w:lvlJc w:val="left"/>
      <w:pPr>
        <w:ind w:left="1440" w:hanging="360"/>
      </w:pPr>
      <w:rPr>
        <w:rFonts w:hint="default"/>
      </w:rPr>
    </w:lvl>
    <w:lvl w:ilvl="1" w:tplc="2332B084">
      <w:start w:val="1"/>
      <w:numFmt w:val="decimal"/>
      <w:lvlText w:val="%2."/>
      <w:lvlJc w:val="left"/>
      <w:pPr>
        <w:ind w:left="2655" w:hanging="85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C21825"/>
    <w:multiLevelType w:val="multilevel"/>
    <w:tmpl w:val="8E20C976"/>
    <w:lvl w:ilvl="0">
      <w:start w:val="1"/>
      <w:numFmt w:val="decimal"/>
      <w:lvlText w:val="%1."/>
      <w:lvlJc w:val="left"/>
      <w:pPr>
        <w:ind w:left="720"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nsid w:val="11D96A04"/>
    <w:multiLevelType w:val="multilevel"/>
    <w:tmpl w:val="6A9419C2"/>
    <w:lvl w:ilvl="0">
      <w:start w:val="1"/>
      <w:numFmt w:val="decimal"/>
      <w:lvlText w:val="%1."/>
      <w:lvlJc w:val="left"/>
      <w:pPr>
        <w:ind w:left="720" w:hanging="360"/>
      </w:pPr>
      <w:rPr>
        <w:rFonts w:hint="default"/>
        <w:b/>
      </w:rPr>
    </w:lvl>
    <w:lvl w:ilvl="1">
      <w:start w:val="6"/>
      <w:numFmt w:val="decimal"/>
      <w:isLgl/>
      <w:lvlText w:val="%1.%2"/>
      <w:lvlJc w:val="left"/>
      <w:pPr>
        <w:ind w:left="1048" w:hanging="585"/>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6">
    <w:nsid w:val="1248055D"/>
    <w:multiLevelType w:val="multilevel"/>
    <w:tmpl w:val="AFD2773C"/>
    <w:lvl w:ilvl="0">
      <w:start w:val="1"/>
      <w:numFmt w:val="decimal"/>
      <w:lvlText w:val="%1."/>
      <w:lvlJc w:val="left"/>
      <w:pPr>
        <w:ind w:left="720" w:hanging="360"/>
      </w:pPr>
      <w:rPr>
        <w:rFonts w:ascii="Times New Roman" w:hAnsi="Times New Roman" w:cs="Times New Roman" w:hint="default"/>
        <w:b/>
        <w:i/>
        <w:sz w:val="28"/>
        <w:szCs w:val="28"/>
      </w:rPr>
    </w:lvl>
    <w:lvl w:ilvl="1">
      <w:start w:val="1"/>
      <w:numFmt w:val="decimal"/>
      <w:isLgl/>
      <w:lvlText w:val="%1.%2"/>
      <w:lvlJc w:val="left"/>
      <w:pPr>
        <w:ind w:left="1230" w:hanging="810"/>
      </w:pPr>
      <w:rPr>
        <w:rFonts w:hint="default"/>
      </w:rPr>
    </w:lvl>
    <w:lvl w:ilvl="2">
      <w:start w:val="1"/>
      <w:numFmt w:val="decimal"/>
      <w:isLgl/>
      <w:lvlText w:val="%1.%2.%3"/>
      <w:lvlJc w:val="left"/>
      <w:pPr>
        <w:ind w:left="1530" w:hanging="810"/>
      </w:pPr>
      <w:rPr>
        <w:rFonts w:hint="default"/>
      </w:rPr>
    </w:lvl>
    <w:lvl w:ilvl="3">
      <w:start w:val="3"/>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7">
    <w:nsid w:val="13A54582"/>
    <w:multiLevelType w:val="multilevel"/>
    <w:tmpl w:val="6A9419C2"/>
    <w:lvl w:ilvl="0">
      <w:start w:val="1"/>
      <w:numFmt w:val="decimal"/>
      <w:lvlText w:val="%1."/>
      <w:lvlJc w:val="left"/>
      <w:pPr>
        <w:ind w:left="720" w:hanging="360"/>
      </w:pPr>
      <w:rPr>
        <w:rFonts w:hint="default"/>
        <w:b/>
      </w:rPr>
    </w:lvl>
    <w:lvl w:ilvl="1">
      <w:start w:val="6"/>
      <w:numFmt w:val="decimal"/>
      <w:isLgl/>
      <w:lvlText w:val="%1.%2"/>
      <w:lvlJc w:val="left"/>
      <w:pPr>
        <w:ind w:left="1048" w:hanging="585"/>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8">
    <w:nsid w:val="13D17192"/>
    <w:multiLevelType w:val="hybridMultilevel"/>
    <w:tmpl w:val="7B4CB3AC"/>
    <w:lvl w:ilvl="0" w:tplc="7E727130">
      <w:start w:val="1"/>
      <w:numFmt w:val="decimal"/>
      <w:lvlText w:val="%1."/>
      <w:lvlJc w:val="left"/>
      <w:pPr>
        <w:ind w:left="720" w:hanging="360"/>
      </w:pPr>
      <w:rPr>
        <w:rFonts w:hint="default"/>
        <w:sz w:val="26"/>
        <w:szCs w:val="26"/>
      </w:rPr>
    </w:lvl>
    <w:lvl w:ilvl="1" w:tplc="6950A850">
      <w:numFmt w:val="bullet"/>
      <w:lvlText w:val="-"/>
      <w:lvlJc w:val="left"/>
      <w:pPr>
        <w:ind w:left="1815" w:hanging="735"/>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A4B90"/>
    <w:multiLevelType w:val="hybridMultilevel"/>
    <w:tmpl w:val="29E0E064"/>
    <w:lvl w:ilvl="0" w:tplc="E4926520">
      <w:numFmt w:val="bullet"/>
      <w:lvlText w:val="•"/>
      <w:lvlJc w:val="left"/>
      <w:pPr>
        <w:ind w:left="1869" w:hanging="735"/>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44F3F7D"/>
    <w:multiLevelType w:val="hybridMultilevel"/>
    <w:tmpl w:val="AAFE4FD4"/>
    <w:lvl w:ilvl="0" w:tplc="9B048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DF4673"/>
    <w:multiLevelType w:val="multilevel"/>
    <w:tmpl w:val="A5C26DF6"/>
    <w:lvl w:ilvl="0">
      <w:start w:val="1"/>
      <w:numFmt w:val="decimal"/>
      <w:lvlText w:val="%1."/>
      <w:lvlJc w:val="left"/>
      <w:pPr>
        <w:ind w:left="1755" w:hanging="1035"/>
      </w:pPr>
      <w:rPr>
        <w:rFonts w:hint="default"/>
      </w:rPr>
    </w:lvl>
    <w:lvl w:ilvl="1">
      <w:start w:val="4"/>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1920210D"/>
    <w:multiLevelType w:val="hybridMultilevel"/>
    <w:tmpl w:val="66DEDC00"/>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1E6F50AE"/>
    <w:multiLevelType w:val="hybridMultilevel"/>
    <w:tmpl w:val="E5D6BDE4"/>
    <w:lvl w:ilvl="0" w:tplc="6950A85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F9D14AA"/>
    <w:multiLevelType w:val="hybridMultilevel"/>
    <w:tmpl w:val="CF4E7ED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1F9E3129"/>
    <w:multiLevelType w:val="hybridMultilevel"/>
    <w:tmpl w:val="653ACAC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8C3760F"/>
    <w:multiLevelType w:val="hybridMultilevel"/>
    <w:tmpl w:val="6FDCC92C"/>
    <w:lvl w:ilvl="0" w:tplc="9E2CA14E">
      <w:numFmt w:val="bullet"/>
      <w:lvlText w:val="-"/>
      <w:lvlJc w:val="left"/>
      <w:pPr>
        <w:ind w:left="1446" w:hanging="360"/>
      </w:pPr>
      <w:rPr>
        <w:rFonts w:ascii="Times New Roman" w:eastAsia="Times New Roman" w:hAnsi="Times New Roman" w:cs="Times New Roman" w:hint="default"/>
      </w:rPr>
    </w:lvl>
    <w:lvl w:ilvl="1" w:tplc="9E2CA14E">
      <w:numFmt w:val="bullet"/>
      <w:lvlText w:val="-"/>
      <w:lvlJc w:val="left"/>
      <w:pPr>
        <w:ind w:left="2166" w:hanging="360"/>
      </w:pPr>
      <w:rPr>
        <w:rFonts w:ascii="Times New Roman" w:eastAsia="Times New Roman" w:hAnsi="Times New Roman" w:cs="Times New Roman"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2C4C19D5"/>
    <w:multiLevelType w:val="hybridMultilevel"/>
    <w:tmpl w:val="90241DF2"/>
    <w:lvl w:ilvl="0" w:tplc="6950A85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C12C5B"/>
    <w:multiLevelType w:val="hybridMultilevel"/>
    <w:tmpl w:val="90C43BD4"/>
    <w:lvl w:ilvl="0" w:tplc="6950A85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6950A850">
      <w:numFmt w:val="bullet"/>
      <w:lvlText w:val="-"/>
      <w:lvlJc w:val="left"/>
      <w:pPr>
        <w:ind w:left="2727" w:hanging="360"/>
      </w:pPr>
      <w:rPr>
        <w:rFonts w:ascii="Times New Roman" w:eastAsiaTheme="minorHAnsi" w:hAnsi="Times New Roman" w:cs="Times New Roman"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62B3EB8"/>
    <w:multiLevelType w:val="hybridMultilevel"/>
    <w:tmpl w:val="A052EF24"/>
    <w:lvl w:ilvl="0" w:tplc="6950A85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DD07A5"/>
    <w:multiLevelType w:val="hybridMultilevel"/>
    <w:tmpl w:val="E3EECE18"/>
    <w:lvl w:ilvl="0" w:tplc="6950A850">
      <w:numFmt w:val="bullet"/>
      <w:lvlText w:val="-"/>
      <w:lvlJc w:val="left"/>
      <w:pPr>
        <w:ind w:left="1515" w:hanging="360"/>
      </w:pPr>
      <w:rPr>
        <w:rFonts w:ascii="Times New Roman" w:eastAsiaTheme="minorHAns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397C16A2"/>
    <w:multiLevelType w:val="multilevel"/>
    <w:tmpl w:val="AB185BB2"/>
    <w:lvl w:ilvl="0">
      <w:start w:val="1"/>
      <w:numFmt w:val="decimal"/>
      <w:lvlText w:val="%1."/>
      <w:lvlJc w:val="left"/>
      <w:pPr>
        <w:ind w:left="720" w:hanging="360"/>
      </w:pPr>
      <w:rPr>
        <w:rFonts w:hint="default"/>
      </w:rPr>
    </w:lvl>
    <w:lvl w:ilvl="1">
      <w:start w:val="3"/>
      <w:numFmt w:val="decimal"/>
      <w:isLgl/>
      <w:lvlText w:val="%1.%2"/>
      <w:lvlJc w:val="left"/>
      <w:pPr>
        <w:ind w:left="1618" w:hanging="1155"/>
      </w:pPr>
      <w:rPr>
        <w:rFonts w:hint="default"/>
      </w:rPr>
    </w:lvl>
    <w:lvl w:ilvl="2">
      <w:start w:val="3"/>
      <w:numFmt w:val="decimal"/>
      <w:isLgl/>
      <w:lvlText w:val="%1.%2.%3"/>
      <w:lvlJc w:val="left"/>
      <w:pPr>
        <w:ind w:left="1721" w:hanging="1155"/>
      </w:pPr>
      <w:rPr>
        <w:rFonts w:hint="default"/>
      </w:rPr>
    </w:lvl>
    <w:lvl w:ilvl="3">
      <w:start w:val="1"/>
      <w:numFmt w:val="decimal"/>
      <w:isLgl/>
      <w:lvlText w:val="%1.%2.%3.%4"/>
      <w:lvlJc w:val="left"/>
      <w:pPr>
        <w:ind w:left="1824" w:hanging="1155"/>
      </w:pPr>
      <w:rPr>
        <w:rFonts w:hint="default"/>
      </w:rPr>
    </w:lvl>
    <w:lvl w:ilvl="4">
      <w:start w:val="1"/>
      <w:numFmt w:val="decimal"/>
      <w:isLgl/>
      <w:lvlText w:val="%1.%2.%3.%4.%5"/>
      <w:lvlJc w:val="left"/>
      <w:pPr>
        <w:ind w:left="1927" w:hanging="1155"/>
      </w:pPr>
      <w:rPr>
        <w:rFonts w:hint="default"/>
      </w:rPr>
    </w:lvl>
    <w:lvl w:ilvl="5">
      <w:start w:val="1"/>
      <w:numFmt w:val="decimal"/>
      <w:isLgl/>
      <w:lvlText w:val="%1.%2.%3.%4.%5.%6"/>
      <w:lvlJc w:val="left"/>
      <w:pPr>
        <w:ind w:left="2030" w:hanging="115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22">
    <w:nsid w:val="3C0962E8"/>
    <w:multiLevelType w:val="hybridMultilevel"/>
    <w:tmpl w:val="24CAD454"/>
    <w:lvl w:ilvl="0" w:tplc="2B7C84D8">
      <w:start w:val="1"/>
      <w:numFmt w:val="lowerLetter"/>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CD502FA"/>
    <w:multiLevelType w:val="hybridMultilevel"/>
    <w:tmpl w:val="BE88DC72"/>
    <w:lvl w:ilvl="0" w:tplc="9E2CA14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243233"/>
    <w:multiLevelType w:val="multilevel"/>
    <w:tmpl w:val="02DCF982"/>
    <w:lvl w:ilvl="0">
      <w:start w:val="3"/>
      <w:numFmt w:val="decimal"/>
      <w:lvlText w:val="%1"/>
      <w:lvlJc w:val="left"/>
      <w:pPr>
        <w:ind w:left="810" w:hanging="810"/>
      </w:pPr>
      <w:rPr>
        <w:rFonts w:ascii="Times New Roman" w:hAnsi="Times New Roman" w:hint="default"/>
        <w:b/>
        <w:sz w:val="28"/>
      </w:rPr>
    </w:lvl>
    <w:lvl w:ilvl="1">
      <w:start w:val="1"/>
      <w:numFmt w:val="decimal"/>
      <w:lvlText w:val="%1.%2"/>
      <w:lvlJc w:val="left"/>
      <w:pPr>
        <w:ind w:left="1800" w:hanging="810"/>
      </w:pPr>
      <w:rPr>
        <w:rFonts w:ascii="Times New Roman" w:hAnsi="Times New Roman" w:hint="default"/>
        <w:b/>
        <w:sz w:val="28"/>
      </w:rPr>
    </w:lvl>
    <w:lvl w:ilvl="2">
      <w:start w:val="1"/>
      <w:numFmt w:val="decimal"/>
      <w:lvlText w:val="%1.%2.%3"/>
      <w:lvlJc w:val="left"/>
      <w:pPr>
        <w:ind w:left="1470" w:hanging="810"/>
      </w:pPr>
      <w:rPr>
        <w:rFonts w:ascii="Times New Roman" w:hAnsi="Times New Roman" w:hint="default"/>
        <w:b/>
        <w:sz w:val="28"/>
      </w:rPr>
    </w:lvl>
    <w:lvl w:ilvl="3">
      <w:start w:val="1"/>
      <w:numFmt w:val="decimal"/>
      <w:lvlText w:val="%1.%2.%3.%4"/>
      <w:lvlJc w:val="left"/>
      <w:pPr>
        <w:ind w:left="1800" w:hanging="810"/>
      </w:pPr>
      <w:rPr>
        <w:rFonts w:ascii="Times New Roman" w:hAnsi="Times New Roman" w:hint="default"/>
        <w:b/>
        <w:sz w:val="28"/>
      </w:rPr>
    </w:lvl>
    <w:lvl w:ilvl="4">
      <w:start w:val="1"/>
      <w:numFmt w:val="decimal"/>
      <w:lvlText w:val="%1.%2.%3.%4.%5"/>
      <w:lvlJc w:val="left"/>
      <w:pPr>
        <w:ind w:left="2400" w:hanging="1080"/>
      </w:pPr>
      <w:rPr>
        <w:rFonts w:ascii="Times New Roman" w:hAnsi="Times New Roman" w:hint="default"/>
        <w:b/>
        <w:sz w:val="28"/>
      </w:rPr>
    </w:lvl>
    <w:lvl w:ilvl="5">
      <w:start w:val="1"/>
      <w:numFmt w:val="decimal"/>
      <w:lvlText w:val="%1.%2.%3.%4.%5.%6"/>
      <w:lvlJc w:val="left"/>
      <w:pPr>
        <w:ind w:left="2730" w:hanging="1080"/>
      </w:pPr>
      <w:rPr>
        <w:rFonts w:ascii="Times New Roman" w:hAnsi="Times New Roman" w:hint="default"/>
        <w:b/>
        <w:sz w:val="28"/>
      </w:rPr>
    </w:lvl>
    <w:lvl w:ilvl="6">
      <w:start w:val="1"/>
      <w:numFmt w:val="decimal"/>
      <w:lvlText w:val="%1.%2.%3.%4.%5.%6.%7"/>
      <w:lvlJc w:val="left"/>
      <w:pPr>
        <w:ind w:left="3420" w:hanging="1440"/>
      </w:pPr>
      <w:rPr>
        <w:rFonts w:ascii="Times New Roman" w:hAnsi="Times New Roman" w:hint="default"/>
        <w:b/>
        <w:sz w:val="28"/>
      </w:rPr>
    </w:lvl>
    <w:lvl w:ilvl="7">
      <w:start w:val="1"/>
      <w:numFmt w:val="decimal"/>
      <w:lvlText w:val="%1.%2.%3.%4.%5.%6.%7.%8"/>
      <w:lvlJc w:val="left"/>
      <w:pPr>
        <w:ind w:left="3750" w:hanging="1440"/>
      </w:pPr>
      <w:rPr>
        <w:rFonts w:ascii="Times New Roman" w:hAnsi="Times New Roman" w:hint="default"/>
        <w:b/>
        <w:sz w:val="28"/>
      </w:rPr>
    </w:lvl>
    <w:lvl w:ilvl="8">
      <w:start w:val="1"/>
      <w:numFmt w:val="decimal"/>
      <w:lvlText w:val="%1.%2.%3.%4.%5.%6.%7.%8.%9"/>
      <w:lvlJc w:val="left"/>
      <w:pPr>
        <w:ind w:left="4440" w:hanging="1800"/>
      </w:pPr>
      <w:rPr>
        <w:rFonts w:ascii="Times New Roman" w:hAnsi="Times New Roman" w:hint="default"/>
        <w:b/>
        <w:sz w:val="28"/>
      </w:rPr>
    </w:lvl>
  </w:abstractNum>
  <w:abstractNum w:abstractNumId="25">
    <w:nsid w:val="45F74781"/>
    <w:multiLevelType w:val="multilevel"/>
    <w:tmpl w:val="7A3E2530"/>
    <w:lvl w:ilvl="0">
      <w:start w:val="1"/>
      <w:numFmt w:val="decimal"/>
      <w:lvlText w:val="%1."/>
      <w:lvlJc w:val="left"/>
      <w:pPr>
        <w:ind w:left="1287" w:hanging="360"/>
      </w:pPr>
    </w:lvl>
    <w:lvl w:ilvl="1">
      <w:start w:val="3"/>
      <w:numFmt w:val="decimal"/>
      <w:isLgl/>
      <w:lvlText w:val="%1.%2"/>
      <w:lvlJc w:val="left"/>
      <w:pPr>
        <w:ind w:left="1347" w:hanging="420"/>
      </w:pPr>
      <w:rPr>
        <w:rFonts w:hint="default"/>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6">
    <w:nsid w:val="4CFD54DF"/>
    <w:multiLevelType w:val="hybridMultilevel"/>
    <w:tmpl w:val="C61837AE"/>
    <w:lvl w:ilvl="0" w:tplc="54047062">
      <w:start w:val="5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936BBA"/>
    <w:multiLevelType w:val="hybridMultilevel"/>
    <w:tmpl w:val="24CAD454"/>
    <w:lvl w:ilvl="0" w:tplc="2B7C84D8">
      <w:start w:val="1"/>
      <w:numFmt w:val="lowerLetter"/>
      <w:lvlText w:val="%1)"/>
      <w:lvlJc w:val="left"/>
      <w:pPr>
        <w:ind w:left="927" w:hanging="360"/>
      </w:pPr>
      <w:rPr>
        <w:rFonts w:ascii="Times New Roman" w:hAnsi="Times New Roman" w:cs="Times New Roman"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7C7400A"/>
    <w:multiLevelType w:val="hybridMultilevel"/>
    <w:tmpl w:val="F1AC0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E45AF3"/>
    <w:multiLevelType w:val="hybridMultilevel"/>
    <w:tmpl w:val="C5CCDA5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6C0124D4"/>
    <w:multiLevelType w:val="hybridMultilevel"/>
    <w:tmpl w:val="31CA84FE"/>
    <w:lvl w:ilvl="0" w:tplc="9E2CA14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76CF2DEB"/>
    <w:multiLevelType w:val="hybridMultilevel"/>
    <w:tmpl w:val="B6240946"/>
    <w:lvl w:ilvl="0" w:tplc="6950A850">
      <w:numFmt w:val="bullet"/>
      <w:lvlText w:val="-"/>
      <w:lvlJc w:val="left"/>
      <w:pPr>
        <w:ind w:left="1287" w:hanging="360"/>
      </w:pPr>
      <w:rPr>
        <w:rFonts w:ascii="Times New Roman" w:eastAsiaTheme="minorHAnsi" w:hAnsi="Times New Roman" w:cs="Times New Roman" w:hint="default"/>
      </w:rPr>
    </w:lvl>
    <w:lvl w:ilvl="1" w:tplc="6950A850">
      <w:numFmt w:val="bullet"/>
      <w:lvlText w:val="-"/>
      <w:lvlJc w:val="left"/>
      <w:pPr>
        <w:ind w:left="2007" w:hanging="360"/>
      </w:pPr>
      <w:rPr>
        <w:rFonts w:ascii="Times New Roman" w:eastAsiaTheme="minorHAnsi"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79B15C27"/>
    <w:multiLevelType w:val="hybridMultilevel"/>
    <w:tmpl w:val="2DD6E272"/>
    <w:lvl w:ilvl="0" w:tplc="04090005">
      <w:start w:val="1"/>
      <w:numFmt w:val="bullet"/>
      <w:lvlText w:val=""/>
      <w:lvlJc w:val="left"/>
      <w:pPr>
        <w:ind w:left="1287" w:hanging="360"/>
      </w:pPr>
      <w:rPr>
        <w:rFonts w:ascii="Wingdings" w:hAnsi="Wingdings" w:hint="default"/>
      </w:rPr>
    </w:lvl>
    <w:lvl w:ilvl="1" w:tplc="B5A61122">
      <w:start w:val="3"/>
      <w:numFmt w:val="bullet"/>
      <w:lvlText w:val="•"/>
      <w:lvlJc w:val="left"/>
      <w:pPr>
        <w:ind w:left="2382" w:hanging="735"/>
      </w:pPr>
      <w:rPr>
        <w:rFonts w:ascii="Times New Roman" w:eastAsiaTheme="minorHAnsi"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D8522CB"/>
    <w:multiLevelType w:val="hybridMultilevel"/>
    <w:tmpl w:val="05E221A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E497AF8"/>
    <w:multiLevelType w:val="multilevel"/>
    <w:tmpl w:val="41C82358"/>
    <w:lvl w:ilvl="0">
      <w:start w:val="1"/>
      <w:numFmt w:val="decimal"/>
      <w:lvlText w:val="%1."/>
      <w:lvlJc w:val="left"/>
      <w:pPr>
        <w:ind w:left="720" w:hanging="360"/>
      </w:pPr>
      <w:rPr>
        <w:rFonts w:ascii="Times New Roman" w:hAnsi="Times New Roman" w:cs="Times New Roman" w:hint="default"/>
        <w:b/>
        <w:i/>
        <w:sz w:val="28"/>
        <w:szCs w:val="28"/>
      </w:rPr>
    </w:lvl>
    <w:lvl w:ilvl="1">
      <w:start w:val="1"/>
      <w:numFmt w:val="decimal"/>
      <w:isLgl/>
      <w:lvlText w:val="%1.%2."/>
      <w:lvlJc w:val="left"/>
      <w:pPr>
        <w:ind w:left="1080" w:hanging="720"/>
      </w:pPr>
      <w:rPr>
        <w:rFonts w:hint="default"/>
        <w:i w:val="0"/>
        <w:sz w:val="28"/>
      </w:rPr>
    </w:lvl>
    <w:lvl w:ilvl="2">
      <w:start w:val="1"/>
      <w:numFmt w:val="decimal"/>
      <w:isLgl/>
      <w:lvlText w:val="%1.%2.%3."/>
      <w:lvlJc w:val="left"/>
      <w:pPr>
        <w:ind w:left="1080" w:hanging="720"/>
      </w:pPr>
      <w:rPr>
        <w:rFonts w:hint="default"/>
        <w:i w:val="0"/>
        <w:sz w:val="28"/>
      </w:rPr>
    </w:lvl>
    <w:lvl w:ilvl="3">
      <w:start w:val="1"/>
      <w:numFmt w:val="decimal"/>
      <w:isLgl/>
      <w:lvlText w:val="%1.%2.%3.%4."/>
      <w:lvlJc w:val="left"/>
      <w:pPr>
        <w:ind w:left="1440" w:hanging="1080"/>
      </w:pPr>
      <w:rPr>
        <w:rFonts w:hint="default"/>
        <w:i w:val="0"/>
        <w:sz w:val="28"/>
      </w:rPr>
    </w:lvl>
    <w:lvl w:ilvl="4">
      <w:start w:val="1"/>
      <w:numFmt w:val="decimal"/>
      <w:isLgl/>
      <w:lvlText w:val="%1.%2.%3.%4.%5."/>
      <w:lvlJc w:val="left"/>
      <w:pPr>
        <w:ind w:left="1440" w:hanging="1080"/>
      </w:pPr>
      <w:rPr>
        <w:rFonts w:hint="default"/>
        <w:i w:val="0"/>
        <w:sz w:val="28"/>
      </w:rPr>
    </w:lvl>
    <w:lvl w:ilvl="5">
      <w:start w:val="1"/>
      <w:numFmt w:val="decimal"/>
      <w:isLgl/>
      <w:lvlText w:val="%1.%2.%3.%4.%5.%6."/>
      <w:lvlJc w:val="left"/>
      <w:pPr>
        <w:ind w:left="1800" w:hanging="1440"/>
      </w:pPr>
      <w:rPr>
        <w:rFonts w:hint="default"/>
        <w:i w:val="0"/>
        <w:sz w:val="28"/>
      </w:rPr>
    </w:lvl>
    <w:lvl w:ilvl="6">
      <w:start w:val="1"/>
      <w:numFmt w:val="decimal"/>
      <w:isLgl/>
      <w:lvlText w:val="%1.%2.%3.%4.%5.%6.%7."/>
      <w:lvlJc w:val="left"/>
      <w:pPr>
        <w:ind w:left="1800" w:hanging="1440"/>
      </w:pPr>
      <w:rPr>
        <w:rFonts w:hint="default"/>
        <w:i w:val="0"/>
        <w:sz w:val="28"/>
      </w:rPr>
    </w:lvl>
    <w:lvl w:ilvl="7">
      <w:start w:val="1"/>
      <w:numFmt w:val="decimal"/>
      <w:isLgl/>
      <w:lvlText w:val="%1.%2.%3.%4.%5.%6.%7.%8."/>
      <w:lvlJc w:val="left"/>
      <w:pPr>
        <w:ind w:left="2160" w:hanging="1800"/>
      </w:pPr>
      <w:rPr>
        <w:rFonts w:hint="default"/>
        <w:i w:val="0"/>
        <w:sz w:val="28"/>
      </w:rPr>
    </w:lvl>
    <w:lvl w:ilvl="8">
      <w:start w:val="1"/>
      <w:numFmt w:val="decimal"/>
      <w:isLgl/>
      <w:lvlText w:val="%1.%2.%3.%4.%5.%6.%7.%8.%9."/>
      <w:lvlJc w:val="left"/>
      <w:pPr>
        <w:ind w:left="2160" w:hanging="1800"/>
      </w:pPr>
      <w:rPr>
        <w:rFonts w:hint="default"/>
        <w:i w:val="0"/>
        <w:sz w:val="28"/>
      </w:rPr>
    </w:lvl>
  </w:abstractNum>
  <w:num w:numId="1">
    <w:abstractNumId w:val="8"/>
  </w:num>
  <w:num w:numId="2">
    <w:abstractNumId w:val="28"/>
  </w:num>
  <w:num w:numId="3">
    <w:abstractNumId w:val="5"/>
  </w:num>
  <w:num w:numId="4">
    <w:abstractNumId w:val="33"/>
  </w:num>
  <w:num w:numId="5">
    <w:abstractNumId w:val="2"/>
  </w:num>
  <w:num w:numId="6">
    <w:abstractNumId w:val="9"/>
  </w:num>
  <w:num w:numId="7">
    <w:abstractNumId w:val="1"/>
  </w:num>
  <w:num w:numId="8">
    <w:abstractNumId w:val="29"/>
  </w:num>
  <w:num w:numId="9">
    <w:abstractNumId w:val="25"/>
  </w:num>
  <w:num w:numId="10">
    <w:abstractNumId w:val="0"/>
  </w:num>
  <w:num w:numId="11">
    <w:abstractNumId w:val="23"/>
  </w:num>
  <w:num w:numId="12">
    <w:abstractNumId w:val="16"/>
  </w:num>
  <w:num w:numId="13">
    <w:abstractNumId w:val="34"/>
  </w:num>
  <w:num w:numId="14">
    <w:abstractNumId w:val="6"/>
  </w:num>
  <w:num w:numId="15">
    <w:abstractNumId w:val="4"/>
  </w:num>
  <w:num w:numId="16">
    <w:abstractNumId w:val="21"/>
  </w:num>
  <w:num w:numId="17">
    <w:abstractNumId w:val="27"/>
  </w:num>
  <w:num w:numId="18">
    <w:abstractNumId w:val="20"/>
  </w:num>
  <w:num w:numId="19">
    <w:abstractNumId w:val="10"/>
  </w:num>
  <w:num w:numId="20">
    <w:abstractNumId w:val="24"/>
  </w:num>
  <w:num w:numId="21">
    <w:abstractNumId w:val="13"/>
  </w:num>
  <w:num w:numId="22">
    <w:abstractNumId w:val="32"/>
  </w:num>
  <w:num w:numId="23">
    <w:abstractNumId w:val="31"/>
  </w:num>
  <w:num w:numId="24">
    <w:abstractNumId w:val="11"/>
  </w:num>
  <w:num w:numId="25">
    <w:abstractNumId w:val="18"/>
  </w:num>
  <w:num w:numId="26">
    <w:abstractNumId w:val="15"/>
  </w:num>
  <w:num w:numId="27">
    <w:abstractNumId w:val="19"/>
  </w:num>
  <w:num w:numId="28">
    <w:abstractNumId w:val="14"/>
  </w:num>
  <w:num w:numId="29">
    <w:abstractNumId w:val="17"/>
  </w:num>
  <w:num w:numId="30">
    <w:abstractNumId w:val="3"/>
  </w:num>
  <w:num w:numId="31">
    <w:abstractNumId w:val="12"/>
  </w:num>
  <w:num w:numId="32">
    <w:abstractNumId w:val="7"/>
  </w:num>
  <w:num w:numId="33">
    <w:abstractNumId w:val="22"/>
  </w:num>
  <w:num w:numId="34">
    <w:abstractNumId w:val="30"/>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E5"/>
    <w:rsid w:val="00000210"/>
    <w:rsid w:val="0000174F"/>
    <w:rsid w:val="0000177A"/>
    <w:rsid w:val="00003360"/>
    <w:rsid w:val="00005FC2"/>
    <w:rsid w:val="00010D9F"/>
    <w:rsid w:val="00011949"/>
    <w:rsid w:val="00011E8B"/>
    <w:rsid w:val="00015DB1"/>
    <w:rsid w:val="00016FB7"/>
    <w:rsid w:val="0002017D"/>
    <w:rsid w:val="00020A52"/>
    <w:rsid w:val="00021362"/>
    <w:rsid w:val="00024866"/>
    <w:rsid w:val="00025569"/>
    <w:rsid w:val="000268FE"/>
    <w:rsid w:val="000270E0"/>
    <w:rsid w:val="000278D3"/>
    <w:rsid w:val="00032E93"/>
    <w:rsid w:val="00033AE6"/>
    <w:rsid w:val="000357AE"/>
    <w:rsid w:val="000361FF"/>
    <w:rsid w:val="00036B8D"/>
    <w:rsid w:val="00037953"/>
    <w:rsid w:val="0004122F"/>
    <w:rsid w:val="00042150"/>
    <w:rsid w:val="00042D04"/>
    <w:rsid w:val="00043AB6"/>
    <w:rsid w:val="000448A0"/>
    <w:rsid w:val="000458DC"/>
    <w:rsid w:val="00052380"/>
    <w:rsid w:val="00052609"/>
    <w:rsid w:val="0005367B"/>
    <w:rsid w:val="000542E9"/>
    <w:rsid w:val="00057268"/>
    <w:rsid w:val="00060739"/>
    <w:rsid w:val="0006135C"/>
    <w:rsid w:val="00064CEC"/>
    <w:rsid w:val="000669B2"/>
    <w:rsid w:val="00074676"/>
    <w:rsid w:val="0007526B"/>
    <w:rsid w:val="000761A7"/>
    <w:rsid w:val="00076AD9"/>
    <w:rsid w:val="00076C57"/>
    <w:rsid w:val="00084205"/>
    <w:rsid w:val="0008725C"/>
    <w:rsid w:val="00090FD8"/>
    <w:rsid w:val="00091D87"/>
    <w:rsid w:val="000933DA"/>
    <w:rsid w:val="00095FAF"/>
    <w:rsid w:val="000A09C8"/>
    <w:rsid w:val="000A1A9F"/>
    <w:rsid w:val="000A20E8"/>
    <w:rsid w:val="000A2D29"/>
    <w:rsid w:val="000A2DB8"/>
    <w:rsid w:val="000A7FB1"/>
    <w:rsid w:val="000A7FE9"/>
    <w:rsid w:val="000B05A0"/>
    <w:rsid w:val="000B2EA8"/>
    <w:rsid w:val="000C1725"/>
    <w:rsid w:val="000C1C81"/>
    <w:rsid w:val="000C1DE3"/>
    <w:rsid w:val="000C3EDB"/>
    <w:rsid w:val="000C5ACB"/>
    <w:rsid w:val="000C6329"/>
    <w:rsid w:val="000C65FF"/>
    <w:rsid w:val="000D05C0"/>
    <w:rsid w:val="000D3044"/>
    <w:rsid w:val="000D45A4"/>
    <w:rsid w:val="000D50DB"/>
    <w:rsid w:val="000D6893"/>
    <w:rsid w:val="000E0871"/>
    <w:rsid w:val="000E1C17"/>
    <w:rsid w:val="000E31ED"/>
    <w:rsid w:val="000E4201"/>
    <w:rsid w:val="000E5698"/>
    <w:rsid w:val="000E7451"/>
    <w:rsid w:val="000F01D5"/>
    <w:rsid w:val="000F50E1"/>
    <w:rsid w:val="000F6DA9"/>
    <w:rsid w:val="000F7D8D"/>
    <w:rsid w:val="00101A37"/>
    <w:rsid w:val="00103D09"/>
    <w:rsid w:val="00103D22"/>
    <w:rsid w:val="0011095E"/>
    <w:rsid w:val="00110BDF"/>
    <w:rsid w:val="00112E22"/>
    <w:rsid w:val="00114160"/>
    <w:rsid w:val="0011536A"/>
    <w:rsid w:val="00116654"/>
    <w:rsid w:val="00116CE8"/>
    <w:rsid w:val="00117496"/>
    <w:rsid w:val="00117846"/>
    <w:rsid w:val="00122CAE"/>
    <w:rsid w:val="00125920"/>
    <w:rsid w:val="00126CAD"/>
    <w:rsid w:val="00130EE7"/>
    <w:rsid w:val="00131BDC"/>
    <w:rsid w:val="00132110"/>
    <w:rsid w:val="001353F6"/>
    <w:rsid w:val="00137B3D"/>
    <w:rsid w:val="001405C9"/>
    <w:rsid w:val="001409E4"/>
    <w:rsid w:val="00142B79"/>
    <w:rsid w:val="0014456A"/>
    <w:rsid w:val="001451DC"/>
    <w:rsid w:val="0014596F"/>
    <w:rsid w:val="001460A6"/>
    <w:rsid w:val="00151B71"/>
    <w:rsid w:val="00151DFC"/>
    <w:rsid w:val="00152814"/>
    <w:rsid w:val="0015335C"/>
    <w:rsid w:val="00155E01"/>
    <w:rsid w:val="001566D6"/>
    <w:rsid w:val="00157EB8"/>
    <w:rsid w:val="00160615"/>
    <w:rsid w:val="001648E5"/>
    <w:rsid w:val="00165270"/>
    <w:rsid w:val="001655AC"/>
    <w:rsid w:val="00165F52"/>
    <w:rsid w:val="0016667D"/>
    <w:rsid w:val="00171060"/>
    <w:rsid w:val="00172711"/>
    <w:rsid w:val="00173D9C"/>
    <w:rsid w:val="00174570"/>
    <w:rsid w:val="00174FBA"/>
    <w:rsid w:val="001770EA"/>
    <w:rsid w:val="001802F2"/>
    <w:rsid w:val="001811C3"/>
    <w:rsid w:val="00182C3E"/>
    <w:rsid w:val="001836FF"/>
    <w:rsid w:val="001872DD"/>
    <w:rsid w:val="0019149B"/>
    <w:rsid w:val="001931D7"/>
    <w:rsid w:val="00193426"/>
    <w:rsid w:val="001A09F3"/>
    <w:rsid w:val="001A0B1B"/>
    <w:rsid w:val="001B1913"/>
    <w:rsid w:val="001B192B"/>
    <w:rsid w:val="001B2725"/>
    <w:rsid w:val="001B605D"/>
    <w:rsid w:val="001B63D1"/>
    <w:rsid w:val="001C2088"/>
    <w:rsid w:val="001C2453"/>
    <w:rsid w:val="001C404A"/>
    <w:rsid w:val="001C4C2A"/>
    <w:rsid w:val="001C69BB"/>
    <w:rsid w:val="001D0AC6"/>
    <w:rsid w:val="001D0BD6"/>
    <w:rsid w:val="001D0C38"/>
    <w:rsid w:val="001D0C3B"/>
    <w:rsid w:val="001D1AD9"/>
    <w:rsid w:val="001D55AB"/>
    <w:rsid w:val="001D6330"/>
    <w:rsid w:val="001E13A0"/>
    <w:rsid w:val="001E2124"/>
    <w:rsid w:val="001E4D31"/>
    <w:rsid w:val="001E68B6"/>
    <w:rsid w:val="001E7368"/>
    <w:rsid w:val="001E7946"/>
    <w:rsid w:val="001F1EE7"/>
    <w:rsid w:val="001F2FED"/>
    <w:rsid w:val="001F4684"/>
    <w:rsid w:val="001F5818"/>
    <w:rsid w:val="00200523"/>
    <w:rsid w:val="00200E93"/>
    <w:rsid w:val="002020C0"/>
    <w:rsid w:val="002026C6"/>
    <w:rsid w:val="00203B20"/>
    <w:rsid w:val="0020406A"/>
    <w:rsid w:val="00204C9A"/>
    <w:rsid w:val="00205642"/>
    <w:rsid w:val="00205DD9"/>
    <w:rsid w:val="00206570"/>
    <w:rsid w:val="00210467"/>
    <w:rsid w:val="00211571"/>
    <w:rsid w:val="00214679"/>
    <w:rsid w:val="00217070"/>
    <w:rsid w:val="00217504"/>
    <w:rsid w:val="00217D32"/>
    <w:rsid w:val="00217E52"/>
    <w:rsid w:val="00221B93"/>
    <w:rsid w:val="00225971"/>
    <w:rsid w:val="00226530"/>
    <w:rsid w:val="00227382"/>
    <w:rsid w:val="00241492"/>
    <w:rsid w:val="002430BF"/>
    <w:rsid w:val="00244C9F"/>
    <w:rsid w:val="00244DD8"/>
    <w:rsid w:val="002453C3"/>
    <w:rsid w:val="0024691F"/>
    <w:rsid w:val="00251895"/>
    <w:rsid w:val="00255ACC"/>
    <w:rsid w:val="002577F8"/>
    <w:rsid w:val="00261754"/>
    <w:rsid w:val="00266240"/>
    <w:rsid w:val="002662D5"/>
    <w:rsid w:val="0026698D"/>
    <w:rsid w:val="00271D56"/>
    <w:rsid w:val="00272F97"/>
    <w:rsid w:val="00273553"/>
    <w:rsid w:val="00273C85"/>
    <w:rsid w:val="00274875"/>
    <w:rsid w:val="0027504A"/>
    <w:rsid w:val="00282350"/>
    <w:rsid w:val="00284D09"/>
    <w:rsid w:val="00285848"/>
    <w:rsid w:val="00286BDA"/>
    <w:rsid w:val="002872FD"/>
    <w:rsid w:val="0029502B"/>
    <w:rsid w:val="002A058C"/>
    <w:rsid w:val="002B0C48"/>
    <w:rsid w:val="002B16D7"/>
    <w:rsid w:val="002B3FD3"/>
    <w:rsid w:val="002B4B43"/>
    <w:rsid w:val="002B4FFC"/>
    <w:rsid w:val="002B5220"/>
    <w:rsid w:val="002B5772"/>
    <w:rsid w:val="002B799C"/>
    <w:rsid w:val="002C0E6F"/>
    <w:rsid w:val="002C2BBF"/>
    <w:rsid w:val="002C302D"/>
    <w:rsid w:val="002C3BE5"/>
    <w:rsid w:val="002C3E60"/>
    <w:rsid w:val="002C5516"/>
    <w:rsid w:val="002C5860"/>
    <w:rsid w:val="002C6FBE"/>
    <w:rsid w:val="002C742E"/>
    <w:rsid w:val="002C7C79"/>
    <w:rsid w:val="002C7D7E"/>
    <w:rsid w:val="002D1441"/>
    <w:rsid w:val="002D3E93"/>
    <w:rsid w:val="002D48AA"/>
    <w:rsid w:val="002D7471"/>
    <w:rsid w:val="002E149D"/>
    <w:rsid w:val="002E23F7"/>
    <w:rsid w:val="002E2AE6"/>
    <w:rsid w:val="002E6A37"/>
    <w:rsid w:val="002E75A7"/>
    <w:rsid w:val="002F1357"/>
    <w:rsid w:val="002F1542"/>
    <w:rsid w:val="002F7882"/>
    <w:rsid w:val="00300CB1"/>
    <w:rsid w:val="0030254D"/>
    <w:rsid w:val="00302DCC"/>
    <w:rsid w:val="00302E5A"/>
    <w:rsid w:val="00304662"/>
    <w:rsid w:val="0030586C"/>
    <w:rsid w:val="003101C9"/>
    <w:rsid w:val="003102EA"/>
    <w:rsid w:val="003119BD"/>
    <w:rsid w:val="00313844"/>
    <w:rsid w:val="00317915"/>
    <w:rsid w:val="00317B4B"/>
    <w:rsid w:val="0032133F"/>
    <w:rsid w:val="0032253E"/>
    <w:rsid w:val="00323FF3"/>
    <w:rsid w:val="00325FE8"/>
    <w:rsid w:val="0032714B"/>
    <w:rsid w:val="00340E4E"/>
    <w:rsid w:val="0034264F"/>
    <w:rsid w:val="00343EA1"/>
    <w:rsid w:val="00346261"/>
    <w:rsid w:val="00350953"/>
    <w:rsid w:val="00354B43"/>
    <w:rsid w:val="00355184"/>
    <w:rsid w:val="00355948"/>
    <w:rsid w:val="00360C97"/>
    <w:rsid w:val="00366C16"/>
    <w:rsid w:val="00366C87"/>
    <w:rsid w:val="003679D9"/>
    <w:rsid w:val="003708F6"/>
    <w:rsid w:val="00370C66"/>
    <w:rsid w:val="00370D46"/>
    <w:rsid w:val="00371656"/>
    <w:rsid w:val="00375C03"/>
    <w:rsid w:val="00375CE3"/>
    <w:rsid w:val="00376352"/>
    <w:rsid w:val="00377067"/>
    <w:rsid w:val="00377B39"/>
    <w:rsid w:val="0038065E"/>
    <w:rsid w:val="003807D8"/>
    <w:rsid w:val="00380941"/>
    <w:rsid w:val="003812FC"/>
    <w:rsid w:val="00384EBB"/>
    <w:rsid w:val="00385DD2"/>
    <w:rsid w:val="00392B39"/>
    <w:rsid w:val="00392BB5"/>
    <w:rsid w:val="0039480F"/>
    <w:rsid w:val="00394C29"/>
    <w:rsid w:val="00394CDC"/>
    <w:rsid w:val="003963C7"/>
    <w:rsid w:val="0039718E"/>
    <w:rsid w:val="003974F3"/>
    <w:rsid w:val="003A05A9"/>
    <w:rsid w:val="003A155F"/>
    <w:rsid w:val="003A28C1"/>
    <w:rsid w:val="003A4890"/>
    <w:rsid w:val="003A4EF9"/>
    <w:rsid w:val="003A5D55"/>
    <w:rsid w:val="003A5E44"/>
    <w:rsid w:val="003A6965"/>
    <w:rsid w:val="003A697D"/>
    <w:rsid w:val="003A6AB5"/>
    <w:rsid w:val="003A7AA3"/>
    <w:rsid w:val="003B0467"/>
    <w:rsid w:val="003B168A"/>
    <w:rsid w:val="003B38BA"/>
    <w:rsid w:val="003B5D0F"/>
    <w:rsid w:val="003B64C6"/>
    <w:rsid w:val="003B7422"/>
    <w:rsid w:val="003B7A20"/>
    <w:rsid w:val="003C187F"/>
    <w:rsid w:val="003C2775"/>
    <w:rsid w:val="003C75BF"/>
    <w:rsid w:val="003D0914"/>
    <w:rsid w:val="003D0B19"/>
    <w:rsid w:val="003D25F5"/>
    <w:rsid w:val="003E2C99"/>
    <w:rsid w:val="003E2DFA"/>
    <w:rsid w:val="003E321B"/>
    <w:rsid w:val="003E49F9"/>
    <w:rsid w:val="003E5EFE"/>
    <w:rsid w:val="003E706C"/>
    <w:rsid w:val="003E7E90"/>
    <w:rsid w:val="003F03EA"/>
    <w:rsid w:val="003F0448"/>
    <w:rsid w:val="003F3181"/>
    <w:rsid w:val="003F41D7"/>
    <w:rsid w:val="003F4BD1"/>
    <w:rsid w:val="003F5709"/>
    <w:rsid w:val="003F5AB7"/>
    <w:rsid w:val="00402DEB"/>
    <w:rsid w:val="004034FC"/>
    <w:rsid w:val="00403A32"/>
    <w:rsid w:val="00405553"/>
    <w:rsid w:val="00406193"/>
    <w:rsid w:val="00406421"/>
    <w:rsid w:val="00406F28"/>
    <w:rsid w:val="00406FA6"/>
    <w:rsid w:val="004147A4"/>
    <w:rsid w:val="00415E8D"/>
    <w:rsid w:val="004208F0"/>
    <w:rsid w:val="0042141B"/>
    <w:rsid w:val="00421675"/>
    <w:rsid w:val="00423405"/>
    <w:rsid w:val="004271FA"/>
    <w:rsid w:val="004279F1"/>
    <w:rsid w:val="00430CD1"/>
    <w:rsid w:val="00430D36"/>
    <w:rsid w:val="00430F8F"/>
    <w:rsid w:val="00431F9D"/>
    <w:rsid w:val="00432453"/>
    <w:rsid w:val="00433312"/>
    <w:rsid w:val="004335F8"/>
    <w:rsid w:val="00436159"/>
    <w:rsid w:val="00437329"/>
    <w:rsid w:val="00440342"/>
    <w:rsid w:val="0044113C"/>
    <w:rsid w:val="0044378A"/>
    <w:rsid w:val="00444714"/>
    <w:rsid w:val="0044494F"/>
    <w:rsid w:val="00445A56"/>
    <w:rsid w:val="00446898"/>
    <w:rsid w:val="00446F65"/>
    <w:rsid w:val="004512F2"/>
    <w:rsid w:val="0045194C"/>
    <w:rsid w:val="00451C96"/>
    <w:rsid w:val="00452B84"/>
    <w:rsid w:val="004539B3"/>
    <w:rsid w:val="00460A1E"/>
    <w:rsid w:val="00461973"/>
    <w:rsid w:val="00461D19"/>
    <w:rsid w:val="00461D21"/>
    <w:rsid w:val="00463EC0"/>
    <w:rsid w:val="0046440E"/>
    <w:rsid w:val="0046573E"/>
    <w:rsid w:val="00467276"/>
    <w:rsid w:val="004679B7"/>
    <w:rsid w:val="00470896"/>
    <w:rsid w:val="00470EEC"/>
    <w:rsid w:val="004716B1"/>
    <w:rsid w:val="00471F0C"/>
    <w:rsid w:val="00472967"/>
    <w:rsid w:val="00482ADB"/>
    <w:rsid w:val="00483F90"/>
    <w:rsid w:val="00484AA6"/>
    <w:rsid w:val="00487307"/>
    <w:rsid w:val="00491A7C"/>
    <w:rsid w:val="00493C37"/>
    <w:rsid w:val="00497C74"/>
    <w:rsid w:val="004A0063"/>
    <w:rsid w:val="004A156E"/>
    <w:rsid w:val="004A2170"/>
    <w:rsid w:val="004A2762"/>
    <w:rsid w:val="004A47C1"/>
    <w:rsid w:val="004A5E68"/>
    <w:rsid w:val="004A6F84"/>
    <w:rsid w:val="004B2439"/>
    <w:rsid w:val="004B2D7C"/>
    <w:rsid w:val="004B2E90"/>
    <w:rsid w:val="004B4878"/>
    <w:rsid w:val="004B596F"/>
    <w:rsid w:val="004C0250"/>
    <w:rsid w:val="004C0C82"/>
    <w:rsid w:val="004C1E59"/>
    <w:rsid w:val="004C5C91"/>
    <w:rsid w:val="004D0910"/>
    <w:rsid w:val="004D4551"/>
    <w:rsid w:val="004E323C"/>
    <w:rsid w:val="004E4541"/>
    <w:rsid w:val="004F002D"/>
    <w:rsid w:val="004F0455"/>
    <w:rsid w:val="004F1A66"/>
    <w:rsid w:val="004F3AE9"/>
    <w:rsid w:val="004F4D30"/>
    <w:rsid w:val="004F61DF"/>
    <w:rsid w:val="004F649E"/>
    <w:rsid w:val="005005A8"/>
    <w:rsid w:val="005039B5"/>
    <w:rsid w:val="005159AC"/>
    <w:rsid w:val="0051679D"/>
    <w:rsid w:val="005169BA"/>
    <w:rsid w:val="00523E02"/>
    <w:rsid w:val="0052722E"/>
    <w:rsid w:val="0053038C"/>
    <w:rsid w:val="0053253D"/>
    <w:rsid w:val="00534309"/>
    <w:rsid w:val="00535473"/>
    <w:rsid w:val="00536F88"/>
    <w:rsid w:val="0054285C"/>
    <w:rsid w:val="00542C9C"/>
    <w:rsid w:val="005444D2"/>
    <w:rsid w:val="00544774"/>
    <w:rsid w:val="0054477F"/>
    <w:rsid w:val="00546950"/>
    <w:rsid w:val="005470B9"/>
    <w:rsid w:val="00547A6B"/>
    <w:rsid w:val="00547FCF"/>
    <w:rsid w:val="00552211"/>
    <w:rsid w:val="00556CB8"/>
    <w:rsid w:val="00556F93"/>
    <w:rsid w:val="00557397"/>
    <w:rsid w:val="00563776"/>
    <w:rsid w:val="00567E76"/>
    <w:rsid w:val="0057151D"/>
    <w:rsid w:val="0057202D"/>
    <w:rsid w:val="00572352"/>
    <w:rsid w:val="00575CD7"/>
    <w:rsid w:val="00577584"/>
    <w:rsid w:val="005801A6"/>
    <w:rsid w:val="00580CA9"/>
    <w:rsid w:val="0058295D"/>
    <w:rsid w:val="00583C37"/>
    <w:rsid w:val="00585B73"/>
    <w:rsid w:val="00586939"/>
    <w:rsid w:val="00590822"/>
    <w:rsid w:val="005928BD"/>
    <w:rsid w:val="00595086"/>
    <w:rsid w:val="00595326"/>
    <w:rsid w:val="005966B2"/>
    <w:rsid w:val="00597B25"/>
    <w:rsid w:val="005A0663"/>
    <w:rsid w:val="005A21BA"/>
    <w:rsid w:val="005A3D02"/>
    <w:rsid w:val="005A5240"/>
    <w:rsid w:val="005A5DF7"/>
    <w:rsid w:val="005B0E79"/>
    <w:rsid w:val="005B18A6"/>
    <w:rsid w:val="005B765D"/>
    <w:rsid w:val="005C07F1"/>
    <w:rsid w:val="005C0E69"/>
    <w:rsid w:val="005C33D3"/>
    <w:rsid w:val="005C3B18"/>
    <w:rsid w:val="005C41B5"/>
    <w:rsid w:val="005C49EB"/>
    <w:rsid w:val="005D00BE"/>
    <w:rsid w:val="005D0482"/>
    <w:rsid w:val="005D1685"/>
    <w:rsid w:val="005D2F60"/>
    <w:rsid w:val="005D4CB5"/>
    <w:rsid w:val="005E1A8E"/>
    <w:rsid w:val="005E2281"/>
    <w:rsid w:val="005E317F"/>
    <w:rsid w:val="005E5813"/>
    <w:rsid w:val="005E60C5"/>
    <w:rsid w:val="005E6211"/>
    <w:rsid w:val="005F0B9E"/>
    <w:rsid w:val="005F39DD"/>
    <w:rsid w:val="005F3A7E"/>
    <w:rsid w:val="006000D3"/>
    <w:rsid w:val="00604A2C"/>
    <w:rsid w:val="00605B5E"/>
    <w:rsid w:val="00605B72"/>
    <w:rsid w:val="0060787A"/>
    <w:rsid w:val="00612777"/>
    <w:rsid w:val="006161E5"/>
    <w:rsid w:val="00617145"/>
    <w:rsid w:val="0062345D"/>
    <w:rsid w:val="006261DA"/>
    <w:rsid w:val="006335DA"/>
    <w:rsid w:val="00635A20"/>
    <w:rsid w:val="00635C43"/>
    <w:rsid w:val="00637B7C"/>
    <w:rsid w:val="006429CE"/>
    <w:rsid w:val="00644DF9"/>
    <w:rsid w:val="0064664B"/>
    <w:rsid w:val="006470AD"/>
    <w:rsid w:val="00652245"/>
    <w:rsid w:val="0065240C"/>
    <w:rsid w:val="00653F1D"/>
    <w:rsid w:val="00653F5F"/>
    <w:rsid w:val="0065407A"/>
    <w:rsid w:val="00655B13"/>
    <w:rsid w:val="00655CF4"/>
    <w:rsid w:val="006602DD"/>
    <w:rsid w:val="0066618A"/>
    <w:rsid w:val="00667E7F"/>
    <w:rsid w:val="00670350"/>
    <w:rsid w:val="00671E15"/>
    <w:rsid w:val="00672F72"/>
    <w:rsid w:val="006739B8"/>
    <w:rsid w:val="006743C3"/>
    <w:rsid w:val="00677C42"/>
    <w:rsid w:val="00681A88"/>
    <w:rsid w:val="0068406E"/>
    <w:rsid w:val="00684BC9"/>
    <w:rsid w:val="006869FD"/>
    <w:rsid w:val="00692759"/>
    <w:rsid w:val="00692EA1"/>
    <w:rsid w:val="006944C7"/>
    <w:rsid w:val="00694D67"/>
    <w:rsid w:val="006A117C"/>
    <w:rsid w:val="006A1C50"/>
    <w:rsid w:val="006B1B1A"/>
    <w:rsid w:val="006B3EBF"/>
    <w:rsid w:val="006B40C2"/>
    <w:rsid w:val="006B611E"/>
    <w:rsid w:val="006C01B2"/>
    <w:rsid w:val="006C0B44"/>
    <w:rsid w:val="006C418F"/>
    <w:rsid w:val="006C4C7A"/>
    <w:rsid w:val="006C55C6"/>
    <w:rsid w:val="006C7989"/>
    <w:rsid w:val="006D6C56"/>
    <w:rsid w:val="006E0F4F"/>
    <w:rsid w:val="006E1719"/>
    <w:rsid w:val="006E2731"/>
    <w:rsid w:val="006E4874"/>
    <w:rsid w:val="006E7F6B"/>
    <w:rsid w:val="006F029F"/>
    <w:rsid w:val="006F2B96"/>
    <w:rsid w:val="006F364A"/>
    <w:rsid w:val="006F4FD2"/>
    <w:rsid w:val="006F6246"/>
    <w:rsid w:val="00700690"/>
    <w:rsid w:val="00700ABB"/>
    <w:rsid w:val="00701310"/>
    <w:rsid w:val="00703194"/>
    <w:rsid w:val="00703E83"/>
    <w:rsid w:val="0070657D"/>
    <w:rsid w:val="00706D6E"/>
    <w:rsid w:val="007070D9"/>
    <w:rsid w:val="00710331"/>
    <w:rsid w:val="00710FF4"/>
    <w:rsid w:val="00712759"/>
    <w:rsid w:val="00713BEB"/>
    <w:rsid w:val="00714F43"/>
    <w:rsid w:val="00720375"/>
    <w:rsid w:val="00720FA6"/>
    <w:rsid w:val="007248CD"/>
    <w:rsid w:val="00724BCA"/>
    <w:rsid w:val="00732E43"/>
    <w:rsid w:val="00734A05"/>
    <w:rsid w:val="00734C70"/>
    <w:rsid w:val="00735C30"/>
    <w:rsid w:val="00735D06"/>
    <w:rsid w:val="00736A8E"/>
    <w:rsid w:val="00742043"/>
    <w:rsid w:val="007421C8"/>
    <w:rsid w:val="00743B20"/>
    <w:rsid w:val="007467FD"/>
    <w:rsid w:val="007472FF"/>
    <w:rsid w:val="00750543"/>
    <w:rsid w:val="0075243E"/>
    <w:rsid w:val="00753237"/>
    <w:rsid w:val="00754037"/>
    <w:rsid w:val="00756DAE"/>
    <w:rsid w:val="00771BAF"/>
    <w:rsid w:val="00772420"/>
    <w:rsid w:val="007752C2"/>
    <w:rsid w:val="00775DAE"/>
    <w:rsid w:val="007762F6"/>
    <w:rsid w:val="0077688D"/>
    <w:rsid w:val="00776C44"/>
    <w:rsid w:val="00780372"/>
    <w:rsid w:val="0078305C"/>
    <w:rsid w:val="0078451B"/>
    <w:rsid w:val="00786296"/>
    <w:rsid w:val="00792DE2"/>
    <w:rsid w:val="0079421B"/>
    <w:rsid w:val="007942CA"/>
    <w:rsid w:val="00794B42"/>
    <w:rsid w:val="007966C0"/>
    <w:rsid w:val="00796C60"/>
    <w:rsid w:val="00796CC8"/>
    <w:rsid w:val="00797D34"/>
    <w:rsid w:val="007A196D"/>
    <w:rsid w:val="007A7A9D"/>
    <w:rsid w:val="007B1A54"/>
    <w:rsid w:val="007B1B41"/>
    <w:rsid w:val="007C057B"/>
    <w:rsid w:val="007C0F02"/>
    <w:rsid w:val="007C132F"/>
    <w:rsid w:val="007C5742"/>
    <w:rsid w:val="007C59C2"/>
    <w:rsid w:val="007C5CC4"/>
    <w:rsid w:val="007C5D2E"/>
    <w:rsid w:val="007C7958"/>
    <w:rsid w:val="007D1A2B"/>
    <w:rsid w:val="007D200B"/>
    <w:rsid w:val="007D25D5"/>
    <w:rsid w:val="007D457C"/>
    <w:rsid w:val="007D59C1"/>
    <w:rsid w:val="007D704F"/>
    <w:rsid w:val="007E29F1"/>
    <w:rsid w:val="007E3FE0"/>
    <w:rsid w:val="007E5BC6"/>
    <w:rsid w:val="007F0955"/>
    <w:rsid w:val="007F29CA"/>
    <w:rsid w:val="007F4B8A"/>
    <w:rsid w:val="00800DC4"/>
    <w:rsid w:val="0080727B"/>
    <w:rsid w:val="00810AE1"/>
    <w:rsid w:val="00812F88"/>
    <w:rsid w:val="00813A55"/>
    <w:rsid w:val="008164A5"/>
    <w:rsid w:val="00821A31"/>
    <w:rsid w:val="00821F81"/>
    <w:rsid w:val="0082213D"/>
    <w:rsid w:val="00823E7A"/>
    <w:rsid w:val="00825577"/>
    <w:rsid w:val="0083323D"/>
    <w:rsid w:val="008342EA"/>
    <w:rsid w:val="00840518"/>
    <w:rsid w:val="00841168"/>
    <w:rsid w:val="0084118B"/>
    <w:rsid w:val="00841C3C"/>
    <w:rsid w:val="00841EA7"/>
    <w:rsid w:val="0084256C"/>
    <w:rsid w:val="00843439"/>
    <w:rsid w:val="00843674"/>
    <w:rsid w:val="00844508"/>
    <w:rsid w:val="00846E9A"/>
    <w:rsid w:val="008513F6"/>
    <w:rsid w:val="00852500"/>
    <w:rsid w:val="00853BEC"/>
    <w:rsid w:val="0085615B"/>
    <w:rsid w:val="00856F5D"/>
    <w:rsid w:val="0085756B"/>
    <w:rsid w:val="00860B51"/>
    <w:rsid w:val="00861B45"/>
    <w:rsid w:val="00862C0E"/>
    <w:rsid w:val="00862E85"/>
    <w:rsid w:val="0086323C"/>
    <w:rsid w:val="00864F41"/>
    <w:rsid w:val="00866A00"/>
    <w:rsid w:val="00867C6A"/>
    <w:rsid w:val="00873F2D"/>
    <w:rsid w:val="0087515B"/>
    <w:rsid w:val="00875374"/>
    <w:rsid w:val="0087669E"/>
    <w:rsid w:val="00877123"/>
    <w:rsid w:val="0087762C"/>
    <w:rsid w:val="00880D63"/>
    <w:rsid w:val="008811CA"/>
    <w:rsid w:val="00881323"/>
    <w:rsid w:val="0088327E"/>
    <w:rsid w:val="00886FD6"/>
    <w:rsid w:val="00890A2D"/>
    <w:rsid w:val="00890E31"/>
    <w:rsid w:val="008A0AC8"/>
    <w:rsid w:val="008A1B25"/>
    <w:rsid w:val="008A5631"/>
    <w:rsid w:val="008A59C0"/>
    <w:rsid w:val="008A59FC"/>
    <w:rsid w:val="008A724B"/>
    <w:rsid w:val="008A76E9"/>
    <w:rsid w:val="008A7ED6"/>
    <w:rsid w:val="008B44CF"/>
    <w:rsid w:val="008C3114"/>
    <w:rsid w:val="008C3587"/>
    <w:rsid w:val="008C3E0A"/>
    <w:rsid w:val="008D01AF"/>
    <w:rsid w:val="008D1B38"/>
    <w:rsid w:val="008D4E30"/>
    <w:rsid w:val="008D5436"/>
    <w:rsid w:val="008D5CBC"/>
    <w:rsid w:val="008E082B"/>
    <w:rsid w:val="008E0CE0"/>
    <w:rsid w:val="008E3E1F"/>
    <w:rsid w:val="008E4979"/>
    <w:rsid w:val="008F15BF"/>
    <w:rsid w:val="008F31E5"/>
    <w:rsid w:val="008F4E46"/>
    <w:rsid w:val="008F4E64"/>
    <w:rsid w:val="008F5D95"/>
    <w:rsid w:val="008F6198"/>
    <w:rsid w:val="008F7E7E"/>
    <w:rsid w:val="00900ED9"/>
    <w:rsid w:val="00901029"/>
    <w:rsid w:val="00903D09"/>
    <w:rsid w:val="009062B3"/>
    <w:rsid w:val="009066E0"/>
    <w:rsid w:val="00907922"/>
    <w:rsid w:val="00910E2A"/>
    <w:rsid w:val="00911C77"/>
    <w:rsid w:val="0091200E"/>
    <w:rsid w:val="009124E7"/>
    <w:rsid w:val="00915655"/>
    <w:rsid w:val="00915682"/>
    <w:rsid w:val="00916E26"/>
    <w:rsid w:val="00925473"/>
    <w:rsid w:val="00925DE7"/>
    <w:rsid w:val="00932F27"/>
    <w:rsid w:val="00933C25"/>
    <w:rsid w:val="00933EB3"/>
    <w:rsid w:val="00934146"/>
    <w:rsid w:val="009435F6"/>
    <w:rsid w:val="00944AF3"/>
    <w:rsid w:val="00951F8B"/>
    <w:rsid w:val="00954A1A"/>
    <w:rsid w:val="00955301"/>
    <w:rsid w:val="00956AE6"/>
    <w:rsid w:val="00960B21"/>
    <w:rsid w:val="00963877"/>
    <w:rsid w:val="00965251"/>
    <w:rsid w:val="00965AB0"/>
    <w:rsid w:val="00965D46"/>
    <w:rsid w:val="009673B7"/>
    <w:rsid w:val="00970CAB"/>
    <w:rsid w:val="00970EAA"/>
    <w:rsid w:val="00972F26"/>
    <w:rsid w:val="00974BC6"/>
    <w:rsid w:val="00976D62"/>
    <w:rsid w:val="009771C6"/>
    <w:rsid w:val="00980770"/>
    <w:rsid w:val="00980A52"/>
    <w:rsid w:val="00982092"/>
    <w:rsid w:val="0098331D"/>
    <w:rsid w:val="0098440B"/>
    <w:rsid w:val="00984544"/>
    <w:rsid w:val="00984CCC"/>
    <w:rsid w:val="009868C1"/>
    <w:rsid w:val="00987414"/>
    <w:rsid w:val="009908C8"/>
    <w:rsid w:val="00990FD6"/>
    <w:rsid w:val="00993F12"/>
    <w:rsid w:val="009A059F"/>
    <w:rsid w:val="009A1118"/>
    <w:rsid w:val="009A4227"/>
    <w:rsid w:val="009A56F1"/>
    <w:rsid w:val="009A5E99"/>
    <w:rsid w:val="009A602F"/>
    <w:rsid w:val="009A6487"/>
    <w:rsid w:val="009A6C8D"/>
    <w:rsid w:val="009A6E9E"/>
    <w:rsid w:val="009B3B32"/>
    <w:rsid w:val="009B5876"/>
    <w:rsid w:val="009B620B"/>
    <w:rsid w:val="009B77CE"/>
    <w:rsid w:val="009C188A"/>
    <w:rsid w:val="009C75EA"/>
    <w:rsid w:val="009C7B5F"/>
    <w:rsid w:val="009D2F7E"/>
    <w:rsid w:val="009D32CA"/>
    <w:rsid w:val="009D3406"/>
    <w:rsid w:val="009D4489"/>
    <w:rsid w:val="009D6B7B"/>
    <w:rsid w:val="009D73EE"/>
    <w:rsid w:val="009E123C"/>
    <w:rsid w:val="009E281C"/>
    <w:rsid w:val="009E29D1"/>
    <w:rsid w:val="009E5908"/>
    <w:rsid w:val="009F0DA2"/>
    <w:rsid w:val="009F38A6"/>
    <w:rsid w:val="009F716C"/>
    <w:rsid w:val="00A00361"/>
    <w:rsid w:val="00A03EF6"/>
    <w:rsid w:val="00A043BA"/>
    <w:rsid w:val="00A06452"/>
    <w:rsid w:val="00A0663E"/>
    <w:rsid w:val="00A06776"/>
    <w:rsid w:val="00A07A2F"/>
    <w:rsid w:val="00A12342"/>
    <w:rsid w:val="00A12F85"/>
    <w:rsid w:val="00A13A1A"/>
    <w:rsid w:val="00A148C1"/>
    <w:rsid w:val="00A15BE2"/>
    <w:rsid w:val="00A15DCD"/>
    <w:rsid w:val="00A17813"/>
    <w:rsid w:val="00A208F2"/>
    <w:rsid w:val="00A21731"/>
    <w:rsid w:val="00A238DF"/>
    <w:rsid w:val="00A23C53"/>
    <w:rsid w:val="00A248B6"/>
    <w:rsid w:val="00A267DA"/>
    <w:rsid w:val="00A321FE"/>
    <w:rsid w:val="00A32B0A"/>
    <w:rsid w:val="00A40DAA"/>
    <w:rsid w:val="00A4109E"/>
    <w:rsid w:val="00A43264"/>
    <w:rsid w:val="00A45ED1"/>
    <w:rsid w:val="00A51DAC"/>
    <w:rsid w:val="00A54022"/>
    <w:rsid w:val="00A541EE"/>
    <w:rsid w:val="00A560A9"/>
    <w:rsid w:val="00A56E67"/>
    <w:rsid w:val="00A57BB6"/>
    <w:rsid w:val="00A60647"/>
    <w:rsid w:val="00A60850"/>
    <w:rsid w:val="00A60E4D"/>
    <w:rsid w:val="00A60E70"/>
    <w:rsid w:val="00A616B2"/>
    <w:rsid w:val="00A6290F"/>
    <w:rsid w:val="00A630A5"/>
    <w:rsid w:val="00A63411"/>
    <w:rsid w:val="00A63587"/>
    <w:rsid w:val="00A66C5C"/>
    <w:rsid w:val="00A71467"/>
    <w:rsid w:val="00A71E9F"/>
    <w:rsid w:val="00A75A3F"/>
    <w:rsid w:val="00A80E67"/>
    <w:rsid w:val="00A83539"/>
    <w:rsid w:val="00A84A91"/>
    <w:rsid w:val="00A866F1"/>
    <w:rsid w:val="00A87EB4"/>
    <w:rsid w:val="00A91FA0"/>
    <w:rsid w:val="00A9225F"/>
    <w:rsid w:val="00A9582D"/>
    <w:rsid w:val="00A96F9C"/>
    <w:rsid w:val="00A97D98"/>
    <w:rsid w:val="00AA0E38"/>
    <w:rsid w:val="00AA1AED"/>
    <w:rsid w:val="00AA1E92"/>
    <w:rsid w:val="00AA294C"/>
    <w:rsid w:val="00AA2BAD"/>
    <w:rsid w:val="00AA3BD4"/>
    <w:rsid w:val="00AA4645"/>
    <w:rsid w:val="00AA49F9"/>
    <w:rsid w:val="00AA570F"/>
    <w:rsid w:val="00AA5A34"/>
    <w:rsid w:val="00AA6A15"/>
    <w:rsid w:val="00AB0CEF"/>
    <w:rsid w:val="00AB220D"/>
    <w:rsid w:val="00AB3241"/>
    <w:rsid w:val="00AC0047"/>
    <w:rsid w:val="00AC113D"/>
    <w:rsid w:val="00AC11FF"/>
    <w:rsid w:val="00AC277A"/>
    <w:rsid w:val="00AC2ACA"/>
    <w:rsid w:val="00AC4402"/>
    <w:rsid w:val="00AC5413"/>
    <w:rsid w:val="00AD0E48"/>
    <w:rsid w:val="00AD1E3C"/>
    <w:rsid w:val="00AD238B"/>
    <w:rsid w:val="00AD24C5"/>
    <w:rsid w:val="00AD3010"/>
    <w:rsid w:val="00AD3972"/>
    <w:rsid w:val="00AD488E"/>
    <w:rsid w:val="00AD5F4D"/>
    <w:rsid w:val="00AE016C"/>
    <w:rsid w:val="00AE16F7"/>
    <w:rsid w:val="00AE31E3"/>
    <w:rsid w:val="00AE4DEA"/>
    <w:rsid w:val="00AE77E3"/>
    <w:rsid w:val="00AF509D"/>
    <w:rsid w:val="00B00EFF"/>
    <w:rsid w:val="00B01991"/>
    <w:rsid w:val="00B02507"/>
    <w:rsid w:val="00B034C7"/>
    <w:rsid w:val="00B0752E"/>
    <w:rsid w:val="00B10427"/>
    <w:rsid w:val="00B10CDC"/>
    <w:rsid w:val="00B11C50"/>
    <w:rsid w:val="00B12208"/>
    <w:rsid w:val="00B14641"/>
    <w:rsid w:val="00B16A5A"/>
    <w:rsid w:val="00B16E17"/>
    <w:rsid w:val="00B1752D"/>
    <w:rsid w:val="00B21164"/>
    <w:rsid w:val="00B21D6A"/>
    <w:rsid w:val="00B23FCB"/>
    <w:rsid w:val="00B267B2"/>
    <w:rsid w:val="00B27C34"/>
    <w:rsid w:val="00B3170B"/>
    <w:rsid w:val="00B31B18"/>
    <w:rsid w:val="00B32602"/>
    <w:rsid w:val="00B32AE5"/>
    <w:rsid w:val="00B3592D"/>
    <w:rsid w:val="00B363B4"/>
    <w:rsid w:val="00B364D5"/>
    <w:rsid w:val="00B36811"/>
    <w:rsid w:val="00B40731"/>
    <w:rsid w:val="00B41D8E"/>
    <w:rsid w:val="00B422BE"/>
    <w:rsid w:val="00B43B0F"/>
    <w:rsid w:val="00B45973"/>
    <w:rsid w:val="00B45A97"/>
    <w:rsid w:val="00B46BAD"/>
    <w:rsid w:val="00B53832"/>
    <w:rsid w:val="00B55743"/>
    <w:rsid w:val="00B56106"/>
    <w:rsid w:val="00B56EE5"/>
    <w:rsid w:val="00B56FB3"/>
    <w:rsid w:val="00B66AA8"/>
    <w:rsid w:val="00B67755"/>
    <w:rsid w:val="00B70168"/>
    <w:rsid w:val="00B7191A"/>
    <w:rsid w:val="00B72D34"/>
    <w:rsid w:val="00B73718"/>
    <w:rsid w:val="00B759ED"/>
    <w:rsid w:val="00B76D44"/>
    <w:rsid w:val="00B77852"/>
    <w:rsid w:val="00B778DF"/>
    <w:rsid w:val="00B81EE5"/>
    <w:rsid w:val="00B8257F"/>
    <w:rsid w:val="00B82B28"/>
    <w:rsid w:val="00B832A5"/>
    <w:rsid w:val="00B8446D"/>
    <w:rsid w:val="00B86182"/>
    <w:rsid w:val="00B878FF"/>
    <w:rsid w:val="00B90425"/>
    <w:rsid w:val="00B915C9"/>
    <w:rsid w:val="00B928BA"/>
    <w:rsid w:val="00B93534"/>
    <w:rsid w:val="00B952C7"/>
    <w:rsid w:val="00B96C4F"/>
    <w:rsid w:val="00BA1103"/>
    <w:rsid w:val="00BA20D4"/>
    <w:rsid w:val="00BA537E"/>
    <w:rsid w:val="00BA60FA"/>
    <w:rsid w:val="00BA7130"/>
    <w:rsid w:val="00BA7A70"/>
    <w:rsid w:val="00BB04D4"/>
    <w:rsid w:val="00BB0501"/>
    <w:rsid w:val="00BB34B3"/>
    <w:rsid w:val="00BB3AE8"/>
    <w:rsid w:val="00BB449A"/>
    <w:rsid w:val="00BB4F8A"/>
    <w:rsid w:val="00BB6FBD"/>
    <w:rsid w:val="00BC12DD"/>
    <w:rsid w:val="00BC3F32"/>
    <w:rsid w:val="00BC64A0"/>
    <w:rsid w:val="00BD275D"/>
    <w:rsid w:val="00BD28DE"/>
    <w:rsid w:val="00BD37A8"/>
    <w:rsid w:val="00BD61E5"/>
    <w:rsid w:val="00BE2188"/>
    <w:rsid w:val="00BE29C7"/>
    <w:rsid w:val="00BE2C7C"/>
    <w:rsid w:val="00BE414B"/>
    <w:rsid w:val="00BE4378"/>
    <w:rsid w:val="00BE6D99"/>
    <w:rsid w:val="00BE7199"/>
    <w:rsid w:val="00BF0034"/>
    <w:rsid w:val="00BF0BFB"/>
    <w:rsid w:val="00BF0EF9"/>
    <w:rsid w:val="00BF1A51"/>
    <w:rsid w:val="00BF4423"/>
    <w:rsid w:val="00BF57E0"/>
    <w:rsid w:val="00BF6C4D"/>
    <w:rsid w:val="00BF7D39"/>
    <w:rsid w:val="00C01AE3"/>
    <w:rsid w:val="00C03370"/>
    <w:rsid w:val="00C03601"/>
    <w:rsid w:val="00C063CD"/>
    <w:rsid w:val="00C07572"/>
    <w:rsid w:val="00C10151"/>
    <w:rsid w:val="00C10F04"/>
    <w:rsid w:val="00C123B6"/>
    <w:rsid w:val="00C13048"/>
    <w:rsid w:val="00C136BE"/>
    <w:rsid w:val="00C16EAC"/>
    <w:rsid w:val="00C17B3A"/>
    <w:rsid w:val="00C20E38"/>
    <w:rsid w:val="00C21281"/>
    <w:rsid w:val="00C215A0"/>
    <w:rsid w:val="00C2208A"/>
    <w:rsid w:val="00C22630"/>
    <w:rsid w:val="00C2414D"/>
    <w:rsid w:val="00C27E7B"/>
    <w:rsid w:val="00C30B12"/>
    <w:rsid w:val="00C3227D"/>
    <w:rsid w:val="00C3393F"/>
    <w:rsid w:val="00C3526F"/>
    <w:rsid w:val="00C3575E"/>
    <w:rsid w:val="00C40432"/>
    <w:rsid w:val="00C40810"/>
    <w:rsid w:val="00C41938"/>
    <w:rsid w:val="00C422DE"/>
    <w:rsid w:val="00C46687"/>
    <w:rsid w:val="00C46ED0"/>
    <w:rsid w:val="00C478B8"/>
    <w:rsid w:val="00C50370"/>
    <w:rsid w:val="00C50A14"/>
    <w:rsid w:val="00C50C35"/>
    <w:rsid w:val="00C50CEB"/>
    <w:rsid w:val="00C50D89"/>
    <w:rsid w:val="00C5110A"/>
    <w:rsid w:val="00C51A4C"/>
    <w:rsid w:val="00C52836"/>
    <w:rsid w:val="00C52850"/>
    <w:rsid w:val="00C54A70"/>
    <w:rsid w:val="00C56B8E"/>
    <w:rsid w:val="00C56CB5"/>
    <w:rsid w:val="00C57A1D"/>
    <w:rsid w:val="00C61E39"/>
    <w:rsid w:val="00C61E94"/>
    <w:rsid w:val="00C639E5"/>
    <w:rsid w:val="00C63DEC"/>
    <w:rsid w:val="00C6422B"/>
    <w:rsid w:val="00C6697E"/>
    <w:rsid w:val="00C67459"/>
    <w:rsid w:val="00C708B3"/>
    <w:rsid w:val="00C725ED"/>
    <w:rsid w:val="00C74C9C"/>
    <w:rsid w:val="00C75E0E"/>
    <w:rsid w:val="00C75EB3"/>
    <w:rsid w:val="00C81A9F"/>
    <w:rsid w:val="00C835EE"/>
    <w:rsid w:val="00C9014D"/>
    <w:rsid w:val="00C911F2"/>
    <w:rsid w:val="00C97DA1"/>
    <w:rsid w:val="00CA0F97"/>
    <w:rsid w:val="00CA277A"/>
    <w:rsid w:val="00CA32CC"/>
    <w:rsid w:val="00CA6CA4"/>
    <w:rsid w:val="00CA7D32"/>
    <w:rsid w:val="00CB2FB5"/>
    <w:rsid w:val="00CB482E"/>
    <w:rsid w:val="00CB4C2A"/>
    <w:rsid w:val="00CB624D"/>
    <w:rsid w:val="00CB7117"/>
    <w:rsid w:val="00CC216B"/>
    <w:rsid w:val="00CC2570"/>
    <w:rsid w:val="00CC26BF"/>
    <w:rsid w:val="00CC6016"/>
    <w:rsid w:val="00CC68C5"/>
    <w:rsid w:val="00CC6B37"/>
    <w:rsid w:val="00CD0BF8"/>
    <w:rsid w:val="00CD2854"/>
    <w:rsid w:val="00CD4820"/>
    <w:rsid w:val="00CD4E1A"/>
    <w:rsid w:val="00CD795E"/>
    <w:rsid w:val="00CD7CD6"/>
    <w:rsid w:val="00CE342E"/>
    <w:rsid w:val="00CE3F20"/>
    <w:rsid w:val="00CE7F97"/>
    <w:rsid w:val="00CF21D6"/>
    <w:rsid w:val="00CF3C2A"/>
    <w:rsid w:val="00CF40D3"/>
    <w:rsid w:val="00CF5A27"/>
    <w:rsid w:val="00CF7963"/>
    <w:rsid w:val="00D00AC1"/>
    <w:rsid w:val="00D02C4E"/>
    <w:rsid w:val="00D04C28"/>
    <w:rsid w:val="00D066EE"/>
    <w:rsid w:val="00D10F86"/>
    <w:rsid w:val="00D1175B"/>
    <w:rsid w:val="00D174C5"/>
    <w:rsid w:val="00D17B56"/>
    <w:rsid w:val="00D17DD3"/>
    <w:rsid w:val="00D20F6C"/>
    <w:rsid w:val="00D217F3"/>
    <w:rsid w:val="00D223A8"/>
    <w:rsid w:val="00D24185"/>
    <w:rsid w:val="00D30FA2"/>
    <w:rsid w:val="00D35841"/>
    <w:rsid w:val="00D511B7"/>
    <w:rsid w:val="00D517B8"/>
    <w:rsid w:val="00D524FE"/>
    <w:rsid w:val="00D52F43"/>
    <w:rsid w:val="00D55EBB"/>
    <w:rsid w:val="00D56A9E"/>
    <w:rsid w:val="00D60873"/>
    <w:rsid w:val="00D612A4"/>
    <w:rsid w:val="00D6160D"/>
    <w:rsid w:val="00D61E1B"/>
    <w:rsid w:val="00D639D3"/>
    <w:rsid w:val="00D64769"/>
    <w:rsid w:val="00D67EDF"/>
    <w:rsid w:val="00D70AFF"/>
    <w:rsid w:val="00D70FB9"/>
    <w:rsid w:val="00D718CE"/>
    <w:rsid w:val="00D72FE2"/>
    <w:rsid w:val="00D84491"/>
    <w:rsid w:val="00D86AEB"/>
    <w:rsid w:val="00D91F53"/>
    <w:rsid w:val="00D926F7"/>
    <w:rsid w:val="00D92CA1"/>
    <w:rsid w:val="00D935B1"/>
    <w:rsid w:val="00D9365A"/>
    <w:rsid w:val="00D93AB0"/>
    <w:rsid w:val="00D93E0C"/>
    <w:rsid w:val="00DA3D45"/>
    <w:rsid w:val="00DA5C2C"/>
    <w:rsid w:val="00DA7F2A"/>
    <w:rsid w:val="00DB05C1"/>
    <w:rsid w:val="00DB2260"/>
    <w:rsid w:val="00DB3115"/>
    <w:rsid w:val="00DB6EA2"/>
    <w:rsid w:val="00DB73C3"/>
    <w:rsid w:val="00DC0BEE"/>
    <w:rsid w:val="00DC3CCA"/>
    <w:rsid w:val="00DC6558"/>
    <w:rsid w:val="00DC682C"/>
    <w:rsid w:val="00DC69FD"/>
    <w:rsid w:val="00DD0961"/>
    <w:rsid w:val="00DD0F3F"/>
    <w:rsid w:val="00DD2A83"/>
    <w:rsid w:val="00DD6A6E"/>
    <w:rsid w:val="00DE1227"/>
    <w:rsid w:val="00DE2045"/>
    <w:rsid w:val="00DE3A60"/>
    <w:rsid w:val="00DE3B9E"/>
    <w:rsid w:val="00DE551D"/>
    <w:rsid w:val="00DE584A"/>
    <w:rsid w:val="00DE592E"/>
    <w:rsid w:val="00DE646B"/>
    <w:rsid w:val="00DF12B8"/>
    <w:rsid w:val="00DF215F"/>
    <w:rsid w:val="00DF225C"/>
    <w:rsid w:val="00DF7C26"/>
    <w:rsid w:val="00DF7DE8"/>
    <w:rsid w:val="00E012B7"/>
    <w:rsid w:val="00E0168F"/>
    <w:rsid w:val="00E0220E"/>
    <w:rsid w:val="00E037E3"/>
    <w:rsid w:val="00E04E69"/>
    <w:rsid w:val="00E0693C"/>
    <w:rsid w:val="00E13F46"/>
    <w:rsid w:val="00E20F1B"/>
    <w:rsid w:val="00E23057"/>
    <w:rsid w:val="00E230E8"/>
    <w:rsid w:val="00E233C7"/>
    <w:rsid w:val="00E2353C"/>
    <w:rsid w:val="00E320A0"/>
    <w:rsid w:val="00E32A29"/>
    <w:rsid w:val="00E32C77"/>
    <w:rsid w:val="00E33C1E"/>
    <w:rsid w:val="00E34B49"/>
    <w:rsid w:val="00E41616"/>
    <w:rsid w:val="00E41892"/>
    <w:rsid w:val="00E42191"/>
    <w:rsid w:val="00E4341C"/>
    <w:rsid w:val="00E44661"/>
    <w:rsid w:val="00E45C32"/>
    <w:rsid w:val="00E50236"/>
    <w:rsid w:val="00E505E1"/>
    <w:rsid w:val="00E50711"/>
    <w:rsid w:val="00E52C1E"/>
    <w:rsid w:val="00E5358A"/>
    <w:rsid w:val="00E53625"/>
    <w:rsid w:val="00E543FC"/>
    <w:rsid w:val="00E56210"/>
    <w:rsid w:val="00E566CE"/>
    <w:rsid w:val="00E56CA3"/>
    <w:rsid w:val="00E608FD"/>
    <w:rsid w:val="00E6197E"/>
    <w:rsid w:val="00E639F0"/>
    <w:rsid w:val="00E659B3"/>
    <w:rsid w:val="00E65C48"/>
    <w:rsid w:val="00E67695"/>
    <w:rsid w:val="00E700AC"/>
    <w:rsid w:val="00E7029D"/>
    <w:rsid w:val="00E70402"/>
    <w:rsid w:val="00E70826"/>
    <w:rsid w:val="00E725CC"/>
    <w:rsid w:val="00E73261"/>
    <w:rsid w:val="00E73407"/>
    <w:rsid w:val="00E746F8"/>
    <w:rsid w:val="00E75248"/>
    <w:rsid w:val="00E762D8"/>
    <w:rsid w:val="00E77037"/>
    <w:rsid w:val="00E77A8E"/>
    <w:rsid w:val="00E80440"/>
    <w:rsid w:val="00E8243D"/>
    <w:rsid w:val="00E82DBE"/>
    <w:rsid w:val="00E82E7F"/>
    <w:rsid w:val="00E85584"/>
    <w:rsid w:val="00E901C5"/>
    <w:rsid w:val="00E92F58"/>
    <w:rsid w:val="00E93B0C"/>
    <w:rsid w:val="00E94592"/>
    <w:rsid w:val="00E95EC0"/>
    <w:rsid w:val="00E96609"/>
    <w:rsid w:val="00E967EA"/>
    <w:rsid w:val="00E96F38"/>
    <w:rsid w:val="00E97326"/>
    <w:rsid w:val="00EA0CE5"/>
    <w:rsid w:val="00EA1039"/>
    <w:rsid w:val="00EA4E46"/>
    <w:rsid w:val="00EA5FA8"/>
    <w:rsid w:val="00EA6AE2"/>
    <w:rsid w:val="00EB2723"/>
    <w:rsid w:val="00EB4391"/>
    <w:rsid w:val="00EB4BBA"/>
    <w:rsid w:val="00EB530C"/>
    <w:rsid w:val="00EB574D"/>
    <w:rsid w:val="00EB5BB2"/>
    <w:rsid w:val="00EB7625"/>
    <w:rsid w:val="00EB7979"/>
    <w:rsid w:val="00EB7BA0"/>
    <w:rsid w:val="00EC355E"/>
    <w:rsid w:val="00EC5AAE"/>
    <w:rsid w:val="00ED0DBD"/>
    <w:rsid w:val="00ED280D"/>
    <w:rsid w:val="00ED2B56"/>
    <w:rsid w:val="00ED3577"/>
    <w:rsid w:val="00ED3922"/>
    <w:rsid w:val="00ED5C6A"/>
    <w:rsid w:val="00EE005E"/>
    <w:rsid w:val="00EE0E03"/>
    <w:rsid w:val="00EE3A83"/>
    <w:rsid w:val="00EE5A35"/>
    <w:rsid w:val="00EE62A3"/>
    <w:rsid w:val="00EE689C"/>
    <w:rsid w:val="00EE710A"/>
    <w:rsid w:val="00EF2D2D"/>
    <w:rsid w:val="00EF433D"/>
    <w:rsid w:val="00EF4425"/>
    <w:rsid w:val="00EF4FD5"/>
    <w:rsid w:val="00EF69E9"/>
    <w:rsid w:val="00EF7F91"/>
    <w:rsid w:val="00F00FDA"/>
    <w:rsid w:val="00F016CB"/>
    <w:rsid w:val="00F02804"/>
    <w:rsid w:val="00F02BAD"/>
    <w:rsid w:val="00F04D26"/>
    <w:rsid w:val="00F06756"/>
    <w:rsid w:val="00F108E8"/>
    <w:rsid w:val="00F130C9"/>
    <w:rsid w:val="00F132FF"/>
    <w:rsid w:val="00F14E27"/>
    <w:rsid w:val="00F16050"/>
    <w:rsid w:val="00F160BA"/>
    <w:rsid w:val="00F1674F"/>
    <w:rsid w:val="00F224CF"/>
    <w:rsid w:val="00F2482C"/>
    <w:rsid w:val="00F254D9"/>
    <w:rsid w:val="00F25F32"/>
    <w:rsid w:val="00F30B68"/>
    <w:rsid w:val="00F310A1"/>
    <w:rsid w:val="00F3141E"/>
    <w:rsid w:val="00F31969"/>
    <w:rsid w:val="00F33D4A"/>
    <w:rsid w:val="00F34881"/>
    <w:rsid w:val="00F350F1"/>
    <w:rsid w:val="00F35178"/>
    <w:rsid w:val="00F35893"/>
    <w:rsid w:val="00F405B2"/>
    <w:rsid w:val="00F43DB1"/>
    <w:rsid w:val="00F44013"/>
    <w:rsid w:val="00F46CC2"/>
    <w:rsid w:val="00F50F33"/>
    <w:rsid w:val="00F5123B"/>
    <w:rsid w:val="00F516D3"/>
    <w:rsid w:val="00F51E70"/>
    <w:rsid w:val="00F5520A"/>
    <w:rsid w:val="00F57440"/>
    <w:rsid w:val="00F6069F"/>
    <w:rsid w:val="00F60E80"/>
    <w:rsid w:val="00F61EC8"/>
    <w:rsid w:val="00F62C1E"/>
    <w:rsid w:val="00F6354E"/>
    <w:rsid w:val="00F64A57"/>
    <w:rsid w:val="00F66A97"/>
    <w:rsid w:val="00F70319"/>
    <w:rsid w:val="00F72AD6"/>
    <w:rsid w:val="00F72C89"/>
    <w:rsid w:val="00F73212"/>
    <w:rsid w:val="00F778DE"/>
    <w:rsid w:val="00F80964"/>
    <w:rsid w:val="00F80B53"/>
    <w:rsid w:val="00F8119B"/>
    <w:rsid w:val="00F82527"/>
    <w:rsid w:val="00F83E3C"/>
    <w:rsid w:val="00F84866"/>
    <w:rsid w:val="00F85CC8"/>
    <w:rsid w:val="00F90E2E"/>
    <w:rsid w:val="00F91355"/>
    <w:rsid w:val="00F92C4B"/>
    <w:rsid w:val="00F93D8E"/>
    <w:rsid w:val="00F949D0"/>
    <w:rsid w:val="00F94B46"/>
    <w:rsid w:val="00F95502"/>
    <w:rsid w:val="00F978EA"/>
    <w:rsid w:val="00FA341E"/>
    <w:rsid w:val="00FA46DF"/>
    <w:rsid w:val="00FA47BC"/>
    <w:rsid w:val="00FA5301"/>
    <w:rsid w:val="00FA69A5"/>
    <w:rsid w:val="00FA6A2B"/>
    <w:rsid w:val="00FA6CBC"/>
    <w:rsid w:val="00FA7F26"/>
    <w:rsid w:val="00FB09EA"/>
    <w:rsid w:val="00FB30A1"/>
    <w:rsid w:val="00FB6441"/>
    <w:rsid w:val="00FB79A1"/>
    <w:rsid w:val="00FC0005"/>
    <w:rsid w:val="00FC118D"/>
    <w:rsid w:val="00FC3E9E"/>
    <w:rsid w:val="00FC5E1B"/>
    <w:rsid w:val="00FC6315"/>
    <w:rsid w:val="00FC74CC"/>
    <w:rsid w:val="00FD2023"/>
    <w:rsid w:val="00FD2880"/>
    <w:rsid w:val="00FD320A"/>
    <w:rsid w:val="00FD7306"/>
    <w:rsid w:val="00FD79DD"/>
    <w:rsid w:val="00FE0829"/>
    <w:rsid w:val="00FE08C4"/>
    <w:rsid w:val="00FE157E"/>
    <w:rsid w:val="00FE2555"/>
    <w:rsid w:val="00FE40A4"/>
    <w:rsid w:val="00FE5E82"/>
    <w:rsid w:val="00FE714E"/>
    <w:rsid w:val="00FF0E61"/>
    <w:rsid w:val="00FF1C92"/>
    <w:rsid w:val="00FF3849"/>
    <w:rsid w:val="00FF46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61A7"/>
    <w:pPr>
      <w:keepNext/>
      <w:keepLines/>
      <w:spacing w:before="480" w:after="0"/>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0761A7"/>
    <w:pPr>
      <w:keepNext/>
      <w:keepLines/>
      <w:spacing w:before="200" w:after="0"/>
      <w:outlineLvl w:val="1"/>
    </w:pPr>
    <w:rPr>
      <w:rFonts w:ascii="Times New Roman" w:eastAsiaTheme="majorEastAsia" w:hAnsi="Times New Roman" w:cstheme="majorBidi"/>
      <w:b/>
      <w:bCs/>
      <w:color w:val="4F81BD" w:themeColor="accent1"/>
      <w:sz w:val="28"/>
      <w:szCs w:val="26"/>
    </w:rPr>
  </w:style>
  <w:style w:type="paragraph" w:styleId="Heading3">
    <w:name w:val="heading 3"/>
    <w:aliases w:val="Heading three"/>
    <w:basedOn w:val="Default"/>
    <w:next w:val="Default"/>
    <w:link w:val="Heading3Char"/>
    <w:uiPriority w:val="99"/>
    <w:qFormat/>
    <w:rsid w:val="00AC277A"/>
    <w:pPr>
      <w:outlineLvl w:val="2"/>
    </w:pPr>
    <w:rPr>
      <w:color w:val="auto"/>
    </w:rPr>
  </w:style>
  <w:style w:type="paragraph" w:styleId="Heading4">
    <w:name w:val="heading 4"/>
    <w:basedOn w:val="Normal"/>
    <w:next w:val="Normal"/>
    <w:link w:val="Heading4Char"/>
    <w:uiPriority w:val="9"/>
    <w:unhideWhenUsed/>
    <w:qFormat/>
    <w:rsid w:val="000761A7"/>
    <w:pPr>
      <w:keepNext/>
      <w:keepLines/>
      <w:spacing w:before="200" w:after="0"/>
      <w:outlineLvl w:val="3"/>
    </w:pPr>
    <w:rPr>
      <w:rFonts w:ascii="Times New Roman" w:eastAsiaTheme="majorEastAsia" w:hAnsi="Times New Roman" w:cstheme="majorBidi"/>
      <w:b/>
      <w:bCs/>
      <w:i/>
      <w:iCs/>
      <w:color w:val="4F81BD" w:themeColor="accent1"/>
      <w:sz w:val="26"/>
    </w:rPr>
  </w:style>
  <w:style w:type="paragraph" w:styleId="Heading5">
    <w:name w:val="heading 5"/>
    <w:basedOn w:val="Normal"/>
    <w:next w:val="Normal"/>
    <w:link w:val="Heading5Char"/>
    <w:uiPriority w:val="9"/>
    <w:unhideWhenUsed/>
    <w:qFormat/>
    <w:rsid w:val="00886FD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B7"/>
    <w:rPr>
      <w:rFonts w:ascii="Tahoma" w:hAnsi="Tahoma" w:cs="Tahoma"/>
      <w:sz w:val="16"/>
      <w:szCs w:val="16"/>
    </w:rPr>
  </w:style>
  <w:style w:type="paragraph" w:styleId="ListParagraph">
    <w:name w:val="List Paragraph"/>
    <w:basedOn w:val="Normal"/>
    <w:uiPriority w:val="34"/>
    <w:qFormat/>
    <w:rsid w:val="00D511B7"/>
    <w:pPr>
      <w:ind w:left="720"/>
      <w:contextualSpacing/>
    </w:pPr>
  </w:style>
  <w:style w:type="character" w:customStyle="1" w:styleId="Heading3Char">
    <w:name w:val="Heading 3 Char"/>
    <w:aliases w:val="Heading three Char"/>
    <w:basedOn w:val="DefaultParagraphFont"/>
    <w:link w:val="Heading3"/>
    <w:uiPriority w:val="99"/>
    <w:rsid w:val="00AC277A"/>
    <w:rPr>
      <w:rFonts w:ascii="Times New Roman" w:hAnsi="Times New Roman" w:cs="Times New Roman"/>
      <w:sz w:val="24"/>
      <w:szCs w:val="24"/>
    </w:rPr>
  </w:style>
  <w:style w:type="paragraph" w:customStyle="1" w:styleId="Default">
    <w:name w:val="Default"/>
    <w:rsid w:val="00AC27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D1E3C"/>
  </w:style>
  <w:style w:type="character" w:customStyle="1" w:styleId="longtext">
    <w:name w:val="long_text"/>
    <w:basedOn w:val="DefaultParagraphFont"/>
    <w:rsid w:val="00DC682C"/>
  </w:style>
  <w:style w:type="character" w:customStyle="1" w:styleId="alt-edited">
    <w:name w:val="alt-edited"/>
    <w:basedOn w:val="DefaultParagraphFont"/>
    <w:rsid w:val="0079421B"/>
  </w:style>
  <w:style w:type="paragraph" w:styleId="BodyText">
    <w:name w:val="Body Text"/>
    <w:aliases w:val="bt,Body,by"/>
    <w:basedOn w:val="Default"/>
    <w:next w:val="Default"/>
    <w:link w:val="BodyTextChar"/>
    <w:uiPriority w:val="99"/>
    <w:rsid w:val="00261754"/>
    <w:rPr>
      <w:color w:val="auto"/>
      <w:lang w:val="ru-RU"/>
    </w:rPr>
  </w:style>
  <w:style w:type="character" w:customStyle="1" w:styleId="BodyTextChar">
    <w:name w:val="Body Text Char"/>
    <w:aliases w:val="bt Char,Body Char,by Char"/>
    <w:basedOn w:val="DefaultParagraphFont"/>
    <w:link w:val="BodyText"/>
    <w:uiPriority w:val="99"/>
    <w:rsid w:val="00261754"/>
    <w:rPr>
      <w:rFonts w:ascii="Times New Roman" w:hAnsi="Times New Roman" w:cs="Times New Roman"/>
      <w:sz w:val="24"/>
      <w:szCs w:val="24"/>
      <w:lang w:val="ru-RU"/>
    </w:rPr>
  </w:style>
  <w:style w:type="paragraph" w:customStyle="1" w:styleId="Subtitle1">
    <w:name w:val="Subtitle1"/>
    <w:basedOn w:val="Default"/>
    <w:next w:val="Default"/>
    <w:rsid w:val="00261754"/>
    <w:rPr>
      <w:color w:val="auto"/>
      <w:lang w:val="ru-RU"/>
    </w:rPr>
  </w:style>
  <w:style w:type="paragraph" w:styleId="Header">
    <w:name w:val="header"/>
    <w:basedOn w:val="Normal"/>
    <w:link w:val="HeaderChar"/>
    <w:uiPriority w:val="99"/>
    <w:unhideWhenUsed/>
    <w:rsid w:val="006C4C7A"/>
    <w:pPr>
      <w:tabs>
        <w:tab w:val="center" w:pos="4844"/>
        <w:tab w:val="right" w:pos="9689"/>
      </w:tabs>
      <w:spacing w:after="0" w:line="240" w:lineRule="auto"/>
    </w:pPr>
  </w:style>
  <w:style w:type="character" w:customStyle="1" w:styleId="HeaderChar">
    <w:name w:val="Header Char"/>
    <w:basedOn w:val="DefaultParagraphFont"/>
    <w:link w:val="Header"/>
    <w:uiPriority w:val="99"/>
    <w:rsid w:val="006C4C7A"/>
  </w:style>
  <w:style w:type="paragraph" w:styleId="Footer">
    <w:name w:val="footer"/>
    <w:basedOn w:val="Normal"/>
    <w:link w:val="FooterChar"/>
    <w:uiPriority w:val="99"/>
    <w:unhideWhenUsed/>
    <w:rsid w:val="006C4C7A"/>
    <w:pPr>
      <w:tabs>
        <w:tab w:val="center" w:pos="4844"/>
        <w:tab w:val="right" w:pos="9689"/>
      </w:tabs>
      <w:spacing w:after="0" w:line="240" w:lineRule="auto"/>
    </w:pPr>
  </w:style>
  <w:style w:type="character" w:customStyle="1" w:styleId="FooterChar">
    <w:name w:val="Footer Char"/>
    <w:basedOn w:val="DefaultParagraphFont"/>
    <w:link w:val="Footer"/>
    <w:uiPriority w:val="99"/>
    <w:rsid w:val="006C4C7A"/>
  </w:style>
  <w:style w:type="character" w:styleId="LineNumber">
    <w:name w:val="line number"/>
    <w:basedOn w:val="DefaultParagraphFont"/>
    <w:uiPriority w:val="99"/>
    <w:semiHidden/>
    <w:unhideWhenUsed/>
    <w:rsid w:val="00103D22"/>
  </w:style>
  <w:style w:type="paragraph" w:styleId="FootnoteText">
    <w:name w:val="footnote text"/>
    <w:basedOn w:val="Normal"/>
    <w:link w:val="FootnoteTextChar"/>
    <w:uiPriority w:val="99"/>
    <w:semiHidden/>
    <w:unhideWhenUsed/>
    <w:rsid w:val="00B32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602"/>
    <w:rPr>
      <w:sz w:val="20"/>
      <w:szCs w:val="20"/>
    </w:rPr>
  </w:style>
  <w:style w:type="character" w:styleId="FootnoteReference">
    <w:name w:val="footnote reference"/>
    <w:basedOn w:val="DefaultParagraphFont"/>
    <w:uiPriority w:val="99"/>
    <w:semiHidden/>
    <w:unhideWhenUsed/>
    <w:rsid w:val="00B32602"/>
    <w:rPr>
      <w:vertAlign w:val="superscript"/>
    </w:rPr>
  </w:style>
  <w:style w:type="character" w:styleId="Hyperlink">
    <w:name w:val="Hyperlink"/>
    <w:basedOn w:val="DefaultParagraphFont"/>
    <w:uiPriority w:val="99"/>
    <w:unhideWhenUsed/>
    <w:rsid w:val="00B32602"/>
    <w:rPr>
      <w:color w:val="0000FF"/>
      <w:u w:val="single"/>
    </w:rPr>
  </w:style>
  <w:style w:type="character" w:styleId="FollowedHyperlink">
    <w:name w:val="FollowedHyperlink"/>
    <w:basedOn w:val="DefaultParagraphFont"/>
    <w:uiPriority w:val="99"/>
    <w:semiHidden/>
    <w:unhideWhenUsed/>
    <w:rsid w:val="003E2DFA"/>
    <w:rPr>
      <w:color w:val="800080" w:themeColor="followedHyperlink"/>
      <w:u w:val="single"/>
    </w:rPr>
  </w:style>
  <w:style w:type="character" w:styleId="CommentReference">
    <w:name w:val="annotation reference"/>
    <w:basedOn w:val="DefaultParagraphFont"/>
    <w:uiPriority w:val="99"/>
    <w:semiHidden/>
    <w:unhideWhenUsed/>
    <w:rsid w:val="00786296"/>
    <w:rPr>
      <w:sz w:val="16"/>
      <w:szCs w:val="16"/>
    </w:rPr>
  </w:style>
  <w:style w:type="paragraph" w:styleId="CommentText">
    <w:name w:val="annotation text"/>
    <w:basedOn w:val="Normal"/>
    <w:link w:val="CommentTextChar"/>
    <w:uiPriority w:val="99"/>
    <w:semiHidden/>
    <w:unhideWhenUsed/>
    <w:rsid w:val="00786296"/>
    <w:pPr>
      <w:spacing w:line="240" w:lineRule="auto"/>
    </w:pPr>
    <w:rPr>
      <w:sz w:val="20"/>
      <w:szCs w:val="20"/>
    </w:rPr>
  </w:style>
  <w:style w:type="character" w:customStyle="1" w:styleId="CommentTextChar">
    <w:name w:val="Comment Text Char"/>
    <w:basedOn w:val="DefaultParagraphFont"/>
    <w:link w:val="CommentText"/>
    <w:uiPriority w:val="99"/>
    <w:semiHidden/>
    <w:rsid w:val="00786296"/>
    <w:rPr>
      <w:sz w:val="20"/>
      <w:szCs w:val="20"/>
    </w:rPr>
  </w:style>
  <w:style w:type="paragraph" w:styleId="CommentSubject">
    <w:name w:val="annotation subject"/>
    <w:basedOn w:val="CommentText"/>
    <w:next w:val="CommentText"/>
    <w:link w:val="CommentSubjectChar"/>
    <w:uiPriority w:val="99"/>
    <w:semiHidden/>
    <w:unhideWhenUsed/>
    <w:rsid w:val="00786296"/>
    <w:rPr>
      <w:b/>
      <w:bCs/>
    </w:rPr>
  </w:style>
  <w:style w:type="character" w:customStyle="1" w:styleId="CommentSubjectChar">
    <w:name w:val="Comment Subject Char"/>
    <w:basedOn w:val="CommentTextChar"/>
    <w:link w:val="CommentSubject"/>
    <w:uiPriority w:val="99"/>
    <w:semiHidden/>
    <w:rsid w:val="00786296"/>
    <w:rPr>
      <w:b/>
      <w:bCs/>
      <w:sz w:val="20"/>
      <w:szCs w:val="20"/>
    </w:rPr>
  </w:style>
  <w:style w:type="character" w:customStyle="1" w:styleId="Heading1Char">
    <w:name w:val="Heading 1 Char"/>
    <w:basedOn w:val="DefaultParagraphFont"/>
    <w:link w:val="Heading1"/>
    <w:uiPriority w:val="9"/>
    <w:rsid w:val="000761A7"/>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rsid w:val="000761A7"/>
    <w:rPr>
      <w:rFonts w:ascii="Times New Roman" w:eastAsiaTheme="majorEastAsia" w:hAnsi="Times New Roman" w:cstheme="majorBidi"/>
      <w:b/>
      <w:bCs/>
      <w:color w:val="4F81BD" w:themeColor="accent1"/>
      <w:sz w:val="28"/>
      <w:szCs w:val="26"/>
    </w:rPr>
  </w:style>
  <w:style w:type="character" w:customStyle="1" w:styleId="Heading4Char">
    <w:name w:val="Heading 4 Char"/>
    <w:basedOn w:val="DefaultParagraphFont"/>
    <w:link w:val="Heading4"/>
    <w:uiPriority w:val="9"/>
    <w:rsid w:val="000761A7"/>
    <w:rPr>
      <w:rFonts w:ascii="Times New Roman" w:eastAsiaTheme="majorEastAsia" w:hAnsi="Times New Roman" w:cstheme="majorBidi"/>
      <w:b/>
      <w:bCs/>
      <w:i/>
      <w:iCs/>
      <w:color w:val="4F81BD" w:themeColor="accent1"/>
      <w:sz w:val="26"/>
    </w:rPr>
  </w:style>
  <w:style w:type="paragraph" w:styleId="TOCHeading">
    <w:name w:val="TOC Heading"/>
    <w:basedOn w:val="Heading1"/>
    <w:next w:val="Normal"/>
    <w:uiPriority w:val="39"/>
    <w:unhideWhenUsed/>
    <w:qFormat/>
    <w:rsid w:val="00925DE7"/>
    <w:pPr>
      <w:outlineLvl w:val="9"/>
    </w:pPr>
    <w:rPr>
      <w:lang w:eastAsia="ja-JP"/>
    </w:rPr>
  </w:style>
  <w:style w:type="paragraph" w:styleId="TOC1">
    <w:name w:val="toc 1"/>
    <w:basedOn w:val="Normal"/>
    <w:next w:val="Normal"/>
    <w:autoRedefine/>
    <w:uiPriority w:val="39"/>
    <w:unhideWhenUsed/>
    <w:qFormat/>
    <w:rsid w:val="005159AC"/>
    <w:pPr>
      <w:tabs>
        <w:tab w:val="left" w:pos="440"/>
        <w:tab w:val="right" w:leader="dot" w:pos="10194"/>
      </w:tabs>
      <w:spacing w:after="0"/>
    </w:pPr>
    <w:rPr>
      <w:rFonts w:ascii="Times New Roman" w:hAnsi="Times New Roman"/>
      <w:b/>
      <w:sz w:val="24"/>
    </w:rPr>
  </w:style>
  <w:style w:type="paragraph" w:styleId="TOC2">
    <w:name w:val="toc 2"/>
    <w:basedOn w:val="Normal"/>
    <w:next w:val="Normal"/>
    <w:autoRedefine/>
    <w:uiPriority w:val="39"/>
    <w:unhideWhenUsed/>
    <w:qFormat/>
    <w:rsid w:val="005E1A8E"/>
    <w:pPr>
      <w:spacing w:after="0"/>
      <w:ind w:left="221"/>
    </w:pPr>
    <w:rPr>
      <w:rFonts w:ascii="Times New Roman" w:hAnsi="Times New Roman"/>
      <w:sz w:val="24"/>
    </w:rPr>
  </w:style>
  <w:style w:type="paragraph" w:styleId="TOC4">
    <w:name w:val="toc 4"/>
    <w:basedOn w:val="Normal"/>
    <w:next w:val="Normal"/>
    <w:autoRedefine/>
    <w:uiPriority w:val="39"/>
    <w:unhideWhenUsed/>
    <w:rsid w:val="005E1A8E"/>
    <w:pPr>
      <w:spacing w:after="0"/>
      <w:ind w:left="658"/>
    </w:pPr>
    <w:rPr>
      <w:rFonts w:ascii="Times New Roman" w:hAnsi="Times New Roman"/>
      <w:sz w:val="24"/>
    </w:rPr>
  </w:style>
  <w:style w:type="paragraph" w:styleId="NoSpacing">
    <w:name w:val="No Spacing"/>
    <w:link w:val="NoSpacingChar"/>
    <w:uiPriority w:val="1"/>
    <w:qFormat/>
    <w:rsid w:val="00B72D34"/>
    <w:pPr>
      <w:spacing w:after="0" w:line="240" w:lineRule="auto"/>
    </w:pPr>
    <w:rPr>
      <w:rFonts w:ascii="Calibri" w:eastAsia="Calibri" w:hAnsi="Calibri" w:cs="Times New Roman"/>
    </w:rPr>
  </w:style>
  <w:style w:type="paragraph" w:customStyle="1" w:styleId="CharChar5CaracterCaracterCharChar">
    <w:name w:val="Char Char5 Caracter Caracter Char Char"/>
    <w:basedOn w:val="Normal"/>
    <w:rsid w:val="009A059F"/>
    <w:pPr>
      <w:spacing w:after="160" w:line="240" w:lineRule="exact"/>
    </w:pPr>
    <w:rPr>
      <w:rFonts w:ascii="Tahoma" w:eastAsia="Times New Roman" w:hAnsi="Tahoma" w:cs="Times New Roman"/>
      <w:sz w:val="20"/>
      <w:szCs w:val="20"/>
    </w:rPr>
  </w:style>
  <w:style w:type="paragraph" w:customStyle="1" w:styleId="CharChar5CaracterCaracterCharChar4">
    <w:name w:val="Char Char5 Caracter Caracter Char Char4"/>
    <w:basedOn w:val="Normal"/>
    <w:rsid w:val="00F35893"/>
    <w:pPr>
      <w:spacing w:after="160" w:line="240" w:lineRule="exact"/>
    </w:pPr>
    <w:rPr>
      <w:rFonts w:ascii="Tahoma" w:eastAsia="Times New Roman" w:hAnsi="Tahoma" w:cs="Times New Roman"/>
      <w:sz w:val="20"/>
      <w:szCs w:val="20"/>
    </w:rPr>
  </w:style>
  <w:style w:type="paragraph" w:customStyle="1" w:styleId="CharChar5CaracterCaracterCharChar3">
    <w:name w:val="Char Char5 Caracter Caracter Char Char3"/>
    <w:basedOn w:val="Normal"/>
    <w:rsid w:val="00A84A91"/>
    <w:pPr>
      <w:spacing w:after="160" w:line="240" w:lineRule="exact"/>
    </w:pPr>
    <w:rPr>
      <w:rFonts w:ascii="Tahoma" w:eastAsia="Times New Roman" w:hAnsi="Tahoma" w:cs="Times New Roman"/>
      <w:sz w:val="20"/>
      <w:szCs w:val="20"/>
    </w:rPr>
  </w:style>
  <w:style w:type="character" w:customStyle="1" w:styleId="longtext1">
    <w:name w:val="long_text1"/>
    <w:rsid w:val="0032714B"/>
    <w:rPr>
      <w:sz w:val="20"/>
      <w:szCs w:val="20"/>
    </w:rPr>
  </w:style>
  <w:style w:type="paragraph" w:customStyle="1" w:styleId="CharChar5CaracterCaracterCharChar2">
    <w:name w:val="Char Char5 Caracter Caracter Char Char2"/>
    <w:basedOn w:val="Normal"/>
    <w:rsid w:val="00EB530C"/>
    <w:pPr>
      <w:spacing w:after="160" w:line="240" w:lineRule="exact"/>
    </w:pPr>
    <w:rPr>
      <w:rFonts w:ascii="Tahoma" w:eastAsia="Times New Roman" w:hAnsi="Tahoma" w:cs="Times New Roman"/>
      <w:sz w:val="20"/>
      <w:szCs w:val="20"/>
    </w:rPr>
  </w:style>
  <w:style w:type="character" w:customStyle="1" w:styleId="NoSpacingChar">
    <w:name w:val="No Spacing Char"/>
    <w:basedOn w:val="DefaultParagraphFont"/>
    <w:link w:val="NoSpacing"/>
    <w:uiPriority w:val="1"/>
    <w:rsid w:val="00796C60"/>
    <w:rPr>
      <w:rFonts w:ascii="Calibri" w:eastAsia="Calibri" w:hAnsi="Calibri" w:cs="Times New Roman"/>
    </w:rPr>
  </w:style>
  <w:style w:type="paragraph" w:customStyle="1" w:styleId="CharChar5CaracterCaracterCharChar1">
    <w:name w:val="Char Char5 Caracter Caracter Char Char1"/>
    <w:basedOn w:val="Normal"/>
    <w:rsid w:val="00E13F46"/>
    <w:pPr>
      <w:spacing w:after="160" w:line="240" w:lineRule="exact"/>
    </w:pPr>
    <w:rPr>
      <w:rFonts w:ascii="Tahoma" w:eastAsia="Times New Roman" w:hAnsi="Tahoma" w:cs="Times New Roman"/>
      <w:sz w:val="20"/>
      <w:szCs w:val="20"/>
    </w:rPr>
  </w:style>
  <w:style w:type="paragraph" w:customStyle="1" w:styleId="3">
    <w:name w:val="Знак Знак3 Знак Знак"/>
    <w:basedOn w:val="Normal"/>
    <w:rsid w:val="00754037"/>
    <w:pPr>
      <w:spacing w:after="160" w:line="240" w:lineRule="exact"/>
    </w:pPr>
    <w:rPr>
      <w:rFonts w:ascii="Tahoma" w:eastAsia="Times New Roman" w:hAnsi="Tahoma" w:cs="Times New Roman"/>
      <w:sz w:val="20"/>
      <w:szCs w:val="20"/>
    </w:rPr>
  </w:style>
  <w:style w:type="character" w:customStyle="1" w:styleId="Heading5Char">
    <w:name w:val="Heading 5 Char"/>
    <w:basedOn w:val="DefaultParagraphFont"/>
    <w:link w:val="Heading5"/>
    <w:uiPriority w:val="9"/>
    <w:rsid w:val="00886FD6"/>
    <w:rPr>
      <w:rFonts w:asciiTheme="majorHAnsi" w:eastAsiaTheme="majorEastAsia" w:hAnsiTheme="majorHAnsi" w:cstheme="majorBidi"/>
      <w:color w:val="243F60" w:themeColor="accent1" w:themeShade="7F"/>
    </w:rPr>
  </w:style>
  <w:style w:type="paragraph" w:customStyle="1" w:styleId="rtejustify">
    <w:name w:val="rtejustify"/>
    <w:basedOn w:val="Normal"/>
    <w:rsid w:val="00C708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EndnoteText">
    <w:name w:val="endnote text"/>
    <w:basedOn w:val="Normal"/>
    <w:link w:val="EndnoteTextChar"/>
    <w:uiPriority w:val="99"/>
    <w:semiHidden/>
    <w:unhideWhenUsed/>
    <w:rsid w:val="00C215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15A0"/>
    <w:rPr>
      <w:sz w:val="20"/>
      <w:szCs w:val="20"/>
    </w:rPr>
  </w:style>
  <w:style w:type="character" w:styleId="EndnoteReference">
    <w:name w:val="endnote reference"/>
    <w:basedOn w:val="DefaultParagraphFont"/>
    <w:uiPriority w:val="99"/>
    <w:semiHidden/>
    <w:unhideWhenUsed/>
    <w:rsid w:val="00C215A0"/>
    <w:rPr>
      <w:vertAlign w:val="superscript"/>
    </w:rPr>
  </w:style>
  <w:style w:type="paragraph" w:styleId="TOC5">
    <w:name w:val="toc 5"/>
    <w:basedOn w:val="Normal"/>
    <w:next w:val="Normal"/>
    <w:autoRedefine/>
    <w:uiPriority w:val="39"/>
    <w:unhideWhenUsed/>
    <w:rsid w:val="001648E5"/>
    <w:pPr>
      <w:spacing w:after="100"/>
      <w:ind w:left="880"/>
    </w:pPr>
  </w:style>
  <w:style w:type="character" w:customStyle="1" w:styleId="atn">
    <w:name w:val="atn"/>
    <w:basedOn w:val="DefaultParagraphFont"/>
    <w:rsid w:val="00157EB8"/>
  </w:style>
  <w:style w:type="paragraph" w:styleId="TOC3">
    <w:name w:val="toc 3"/>
    <w:basedOn w:val="Normal"/>
    <w:next w:val="Normal"/>
    <w:autoRedefine/>
    <w:uiPriority w:val="39"/>
    <w:unhideWhenUsed/>
    <w:qFormat/>
    <w:rsid w:val="00157EB8"/>
    <w:pPr>
      <w:spacing w:after="100"/>
      <w:ind w:left="440"/>
    </w:pPr>
  </w:style>
  <w:style w:type="paragraph" w:styleId="Caption">
    <w:name w:val="caption"/>
    <w:basedOn w:val="Normal"/>
    <w:next w:val="Normal"/>
    <w:qFormat/>
    <w:rsid w:val="00157EB8"/>
    <w:pPr>
      <w:widowControl w:val="0"/>
      <w:spacing w:after="0" w:line="240" w:lineRule="auto"/>
    </w:pPr>
    <w:rPr>
      <w:rFonts w:ascii="Times New Roman" w:eastAsia="Times New Roman" w:hAnsi="Times New Roman" w:cs="Times New Roman"/>
      <w:b/>
      <w:snapToGrid w:val="0"/>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61A7"/>
    <w:pPr>
      <w:keepNext/>
      <w:keepLines/>
      <w:spacing w:before="480" w:after="0"/>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0761A7"/>
    <w:pPr>
      <w:keepNext/>
      <w:keepLines/>
      <w:spacing w:before="200" w:after="0"/>
      <w:outlineLvl w:val="1"/>
    </w:pPr>
    <w:rPr>
      <w:rFonts w:ascii="Times New Roman" w:eastAsiaTheme="majorEastAsia" w:hAnsi="Times New Roman" w:cstheme="majorBidi"/>
      <w:b/>
      <w:bCs/>
      <w:color w:val="4F81BD" w:themeColor="accent1"/>
      <w:sz w:val="28"/>
      <w:szCs w:val="26"/>
    </w:rPr>
  </w:style>
  <w:style w:type="paragraph" w:styleId="Heading3">
    <w:name w:val="heading 3"/>
    <w:aliases w:val="Heading three"/>
    <w:basedOn w:val="Default"/>
    <w:next w:val="Default"/>
    <w:link w:val="Heading3Char"/>
    <w:uiPriority w:val="99"/>
    <w:qFormat/>
    <w:rsid w:val="00AC277A"/>
    <w:pPr>
      <w:outlineLvl w:val="2"/>
    </w:pPr>
    <w:rPr>
      <w:color w:val="auto"/>
    </w:rPr>
  </w:style>
  <w:style w:type="paragraph" w:styleId="Heading4">
    <w:name w:val="heading 4"/>
    <w:basedOn w:val="Normal"/>
    <w:next w:val="Normal"/>
    <w:link w:val="Heading4Char"/>
    <w:uiPriority w:val="9"/>
    <w:unhideWhenUsed/>
    <w:qFormat/>
    <w:rsid w:val="000761A7"/>
    <w:pPr>
      <w:keepNext/>
      <w:keepLines/>
      <w:spacing w:before="200" w:after="0"/>
      <w:outlineLvl w:val="3"/>
    </w:pPr>
    <w:rPr>
      <w:rFonts w:ascii="Times New Roman" w:eastAsiaTheme="majorEastAsia" w:hAnsi="Times New Roman" w:cstheme="majorBidi"/>
      <w:b/>
      <w:bCs/>
      <w:i/>
      <w:iCs/>
      <w:color w:val="4F81BD" w:themeColor="accent1"/>
      <w:sz w:val="26"/>
    </w:rPr>
  </w:style>
  <w:style w:type="paragraph" w:styleId="Heading5">
    <w:name w:val="heading 5"/>
    <w:basedOn w:val="Normal"/>
    <w:next w:val="Normal"/>
    <w:link w:val="Heading5Char"/>
    <w:uiPriority w:val="9"/>
    <w:unhideWhenUsed/>
    <w:qFormat/>
    <w:rsid w:val="00886FD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B7"/>
    <w:rPr>
      <w:rFonts w:ascii="Tahoma" w:hAnsi="Tahoma" w:cs="Tahoma"/>
      <w:sz w:val="16"/>
      <w:szCs w:val="16"/>
    </w:rPr>
  </w:style>
  <w:style w:type="paragraph" w:styleId="ListParagraph">
    <w:name w:val="List Paragraph"/>
    <w:basedOn w:val="Normal"/>
    <w:uiPriority w:val="34"/>
    <w:qFormat/>
    <w:rsid w:val="00D511B7"/>
    <w:pPr>
      <w:ind w:left="720"/>
      <w:contextualSpacing/>
    </w:pPr>
  </w:style>
  <w:style w:type="character" w:customStyle="1" w:styleId="Heading3Char">
    <w:name w:val="Heading 3 Char"/>
    <w:aliases w:val="Heading three Char"/>
    <w:basedOn w:val="DefaultParagraphFont"/>
    <w:link w:val="Heading3"/>
    <w:uiPriority w:val="99"/>
    <w:rsid w:val="00AC277A"/>
    <w:rPr>
      <w:rFonts w:ascii="Times New Roman" w:hAnsi="Times New Roman" w:cs="Times New Roman"/>
      <w:sz w:val="24"/>
      <w:szCs w:val="24"/>
    </w:rPr>
  </w:style>
  <w:style w:type="paragraph" w:customStyle="1" w:styleId="Default">
    <w:name w:val="Default"/>
    <w:rsid w:val="00AC27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D1E3C"/>
  </w:style>
  <w:style w:type="character" w:customStyle="1" w:styleId="longtext">
    <w:name w:val="long_text"/>
    <w:basedOn w:val="DefaultParagraphFont"/>
    <w:rsid w:val="00DC682C"/>
  </w:style>
  <w:style w:type="character" w:customStyle="1" w:styleId="alt-edited">
    <w:name w:val="alt-edited"/>
    <w:basedOn w:val="DefaultParagraphFont"/>
    <w:rsid w:val="0079421B"/>
  </w:style>
  <w:style w:type="paragraph" w:styleId="BodyText">
    <w:name w:val="Body Text"/>
    <w:aliases w:val="bt,Body,by"/>
    <w:basedOn w:val="Default"/>
    <w:next w:val="Default"/>
    <w:link w:val="BodyTextChar"/>
    <w:uiPriority w:val="99"/>
    <w:rsid w:val="00261754"/>
    <w:rPr>
      <w:color w:val="auto"/>
      <w:lang w:val="ru-RU"/>
    </w:rPr>
  </w:style>
  <w:style w:type="character" w:customStyle="1" w:styleId="BodyTextChar">
    <w:name w:val="Body Text Char"/>
    <w:aliases w:val="bt Char,Body Char,by Char"/>
    <w:basedOn w:val="DefaultParagraphFont"/>
    <w:link w:val="BodyText"/>
    <w:uiPriority w:val="99"/>
    <w:rsid w:val="00261754"/>
    <w:rPr>
      <w:rFonts w:ascii="Times New Roman" w:hAnsi="Times New Roman" w:cs="Times New Roman"/>
      <w:sz w:val="24"/>
      <w:szCs w:val="24"/>
      <w:lang w:val="ru-RU"/>
    </w:rPr>
  </w:style>
  <w:style w:type="paragraph" w:customStyle="1" w:styleId="Subtitle1">
    <w:name w:val="Subtitle1"/>
    <w:basedOn w:val="Default"/>
    <w:next w:val="Default"/>
    <w:rsid w:val="00261754"/>
    <w:rPr>
      <w:color w:val="auto"/>
      <w:lang w:val="ru-RU"/>
    </w:rPr>
  </w:style>
  <w:style w:type="paragraph" w:styleId="Header">
    <w:name w:val="header"/>
    <w:basedOn w:val="Normal"/>
    <w:link w:val="HeaderChar"/>
    <w:uiPriority w:val="99"/>
    <w:unhideWhenUsed/>
    <w:rsid w:val="006C4C7A"/>
    <w:pPr>
      <w:tabs>
        <w:tab w:val="center" w:pos="4844"/>
        <w:tab w:val="right" w:pos="9689"/>
      </w:tabs>
      <w:spacing w:after="0" w:line="240" w:lineRule="auto"/>
    </w:pPr>
  </w:style>
  <w:style w:type="character" w:customStyle="1" w:styleId="HeaderChar">
    <w:name w:val="Header Char"/>
    <w:basedOn w:val="DefaultParagraphFont"/>
    <w:link w:val="Header"/>
    <w:uiPriority w:val="99"/>
    <w:rsid w:val="006C4C7A"/>
  </w:style>
  <w:style w:type="paragraph" w:styleId="Footer">
    <w:name w:val="footer"/>
    <w:basedOn w:val="Normal"/>
    <w:link w:val="FooterChar"/>
    <w:uiPriority w:val="99"/>
    <w:unhideWhenUsed/>
    <w:rsid w:val="006C4C7A"/>
    <w:pPr>
      <w:tabs>
        <w:tab w:val="center" w:pos="4844"/>
        <w:tab w:val="right" w:pos="9689"/>
      </w:tabs>
      <w:spacing w:after="0" w:line="240" w:lineRule="auto"/>
    </w:pPr>
  </w:style>
  <w:style w:type="character" w:customStyle="1" w:styleId="FooterChar">
    <w:name w:val="Footer Char"/>
    <w:basedOn w:val="DefaultParagraphFont"/>
    <w:link w:val="Footer"/>
    <w:uiPriority w:val="99"/>
    <w:rsid w:val="006C4C7A"/>
  </w:style>
  <w:style w:type="character" w:styleId="LineNumber">
    <w:name w:val="line number"/>
    <w:basedOn w:val="DefaultParagraphFont"/>
    <w:uiPriority w:val="99"/>
    <w:semiHidden/>
    <w:unhideWhenUsed/>
    <w:rsid w:val="00103D22"/>
  </w:style>
  <w:style w:type="paragraph" w:styleId="FootnoteText">
    <w:name w:val="footnote text"/>
    <w:basedOn w:val="Normal"/>
    <w:link w:val="FootnoteTextChar"/>
    <w:uiPriority w:val="99"/>
    <w:semiHidden/>
    <w:unhideWhenUsed/>
    <w:rsid w:val="00B32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602"/>
    <w:rPr>
      <w:sz w:val="20"/>
      <w:szCs w:val="20"/>
    </w:rPr>
  </w:style>
  <w:style w:type="character" w:styleId="FootnoteReference">
    <w:name w:val="footnote reference"/>
    <w:basedOn w:val="DefaultParagraphFont"/>
    <w:uiPriority w:val="99"/>
    <w:semiHidden/>
    <w:unhideWhenUsed/>
    <w:rsid w:val="00B32602"/>
    <w:rPr>
      <w:vertAlign w:val="superscript"/>
    </w:rPr>
  </w:style>
  <w:style w:type="character" w:styleId="Hyperlink">
    <w:name w:val="Hyperlink"/>
    <w:basedOn w:val="DefaultParagraphFont"/>
    <w:uiPriority w:val="99"/>
    <w:unhideWhenUsed/>
    <w:rsid w:val="00B32602"/>
    <w:rPr>
      <w:color w:val="0000FF"/>
      <w:u w:val="single"/>
    </w:rPr>
  </w:style>
  <w:style w:type="character" w:styleId="FollowedHyperlink">
    <w:name w:val="FollowedHyperlink"/>
    <w:basedOn w:val="DefaultParagraphFont"/>
    <w:uiPriority w:val="99"/>
    <w:semiHidden/>
    <w:unhideWhenUsed/>
    <w:rsid w:val="003E2DFA"/>
    <w:rPr>
      <w:color w:val="800080" w:themeColor="followedHyperlink"/>
      <w:u w:val="single"/>
    </w:rPr>
  </w:style>
  <w:style w:type="character" w:styleId="CommentReference">
    <w:name w:val="annotation reference"/>
    <w:basedOn w:val="DefaultParagraphFont"/>
    <w:uiPriority w:val="99"/>
    <w:semiHidden/>
    <w:unhideWhenUsed/>
    <w:rsid w:val="00786296"/>
    <w:rPr>
      <w:sz w:val="16"/>
      <w:szCs w:val="16"/>
    </w:rPr>
  </w:style>
  <w:style w:type="paragraph" w:styleId="CommentText">
    <w:name w:val="annotation text"/>
    <w:basedOn w:val="Normal"/>
    <w:link w:val="CommentTextChar"/>
    <w:uiPriority w:val="99"/>
    <w:semiHidden/>
    <w:unhideWhenUsed/>
    <w:rsid w:val="00786296"/>
    <w:pPr>
      <w:spacing w:line="240" w:lineRule="auto"/>
    </w:pPr>
    <w:rPr>
      <w:sz w:val="20"/>
      <w:szCs w:val="20"/>
    </w:rPr>
  </w:style>
  <w:style w:type="character" w:customStyle="1" w:styleId="CommentTextChar">
    <w:name w:val="Comment Text Char"/>
    <w:basedOn w:val="DefaultParagraphFont"/>
    <w:link w:val="CommentText"/>
    <w:uiPriority w:val="99"/>
    <w:semiHidden/>
    <w:rsid w:val="00786296"/>
    <w:rPr>
      <w:sz w:val="20"/>
      <w:szCs w:val="20"/>
    </w:rPr>
  </w:style>
  <w:style w:type="paragraph" w:styleId="CommentSubject">
    <w:name w:val="annotation subject"/>
    <w:basedOn w:val="CommentText"/>
    <w:next w:val="CommentText"/>
    <w:link w:val="CommentSubjectChar"/>
    <w:uiPriority w:val="99"/>
    <w:semiHidden/>
    <w:unhideWhenUsed/>
    <w:rsid w:val="00786296"/>
    <w:rPr>
      <w:b/>
      <w:bCs/>
    </w:rPr>
  </w:style>
  <w:style w:type="character" w:customStyle="1" w:styleId="CommentSubjectChar">
    <w:name w:val="Comment Subject Char"/>
    <w:basedOn w:val="CommentTextChar"/>
    <w:link w:val="CommentSubject"/>
    <w:uiPriority w:val="99"/>
    <w:semiHidden/>
    <w:rsid w:val="00786296"/>
    <w:rPr>
      <w:b/>
      <w:bCs/>
      <w:sz w:val="20"/>
      <w:szCs w:val="20"/>
    </w:rPr>
  </w:style>
  <w:style w:type="character" w:customStyle="1" w:styleId="Heading1Char">
    <w:name w:val="Heading 1 Char"/>
    <w:basedOn w:val="DefaultParagraphFont"/>
    <w:link w:val="Heading1"/>
    <w:uiPriority w:val="9"/>
    <w:rsid w:val="000761A7"/>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rsid w:val="000761A7"/>
    <w:rPr>
      <w:rFonts w:ascii="Times New Roman" w:eastAsiaTheme="majorEastAsia" w:hAnsi="Times New Roman" w:cstheme="majorBidi"/>
      <w:b/>
      <w:bCs/>
      <w:color w:val="4F81BD" w:themeColor="accent1"/>
      <w:sz w:val="28"/>
      <w:szCs w:val="26"/>
    </w:rPr>
  </w:style>
  <w:style w:type="character" w:customStyle="1" w:styleId="Heading4Char">
    <w:name w:val="Heading 4 Char"/>
    <w:basedOn w:val="DefaultParagraphFont"/>
    <w:link w:val="Heading4"/>
    <w:uiPriority w:val="9"/>
    <w:rsid w:val="000761A7"/>
    <w:rPr>
      <w:rFonts w:ascii="Times New Roman" w:eastAsiaTheme="majorEastAsia" w:hAnsi="Times New Roman" w:cstheme="majorBidi"/>
      <w:b/>
      <w:bCs/>
      <w:i/>
      <w:iCs/>
      <w:color w:val="4F81BD" w:themeColor="accent1"/>
      <w:sz w:val="26"/>
    </w:rPr>
  </w:style>
  <w:style w:type="paragraph" w:styleId="TOCHeading">
    <w:name w:val="TOC Heading"/>
    <w:basedOn w:val="Heading1"/>
    <w:next w:val="Normal"/>
    <w:uiPriority w:val="39"/>
    <w:unhideWhenUsed/>
    <w:qFormat/>
    <w:rsid w:val="00925DE7"/>
    <w:pPr>
      <w:outlineLvl w:val="9"/>
    </w:pPr>
    <w:rPr>
      <w:lang w:eastAsia="ja-JP"/>
    </w:rPr>
  </w:style>
  <w:style w:type="paragraph" w:styleId="TOC1">
    <w:name w:val="toc 1"/>
    <w:basedOn w:val="Normal"/>
    <w:next w:val="Normal"/>
    <w:autoRedefine/>
    <w:uiPriority w:val="39"/>
    <w:unhideWhenUsed/>
    <w:qFormat/>
    <w:rsid w:val="005159AC"/>
    <w:pPr>
      <w:tabs>
        <w:tab w:val="left" w:pos="440"/>
        <w:tab w:val="right" w:leader="dot" w:pos="10194"/>
      </w:tabs>
      <w:spacing w:after="0"/>
    </w:pPr>
    <w:rPr>
      <w:rFonts w:ascii="Times New Roman" w:hAnsi="Times New Roman"/>
      <w:b/>
      <w:sz w:val="24"/>
    </w:rPr>
  </w:style>
  <w:style w:type="paragraph" w:styleId="TOC2">
    <w:name w:val="toc 2"/>
    <w:basedOn w:val="Normal"/>
    <w:next w:val="Normal"/>
    <w:autoRedefine/>
    <w:uiPriority w:val="39"/>
    <w:unhideWhenUsed/>
    <w:qFormat/>
    <w:rsid w:val="005E1A8E"/>
    <w:pPr>
      <w:spacing w:after="0"/>
      <w:ind w:left="221"/>
    </w:pPr>
    <w:rPr>
      <w:rFonts w:ascii="Times New Roman" w:hAnsi="Times New Roman"/>
      <w:sz w:val="24"/>
    </w:rPr>
  </w:style>
  <w:style w:type="paragraph" w:styleId="TOC4">
    <w:name w:val="toc 4"/>
    <w:basedOn w:val="Normal"/>
    <w:next w:val="Normal"/>
    <w:autoRedefine/>
    <w:uiPriority w:val="39"/>
    <w:unhideWhenUsed/>
    <w:rsid w:val="005E1A8E"/>
    <w:pPr>
      <w:spacing w:after="0"/>
      <w:ind w:left="658"/>
    </w:pPr>
    <w:rPr>
      <w:rFonts w:ascii="Times New Roman" w:hAnsi="Times New Roman"/>
      <w:sz w:val="24"/>
    </w:rPr>
  </w:style>
  <w:style w:type="paragraph" w:styleId="NoSpacing">
    <w:name w:val="No Spacing"/>
    <w:link w:val="NoSpacingChar"/>
    <w:uiPriority w:val="1"/>
    <w:qFormat/>
    <w:rsid w:val="00B72D34"/>
    <w:pPr>
      <w:spacing w:after="0" w:line="240" w:lineRule="auto"/>
    </w:pPr>
    <w:rPr>
      <w:rFonts w:ascii="Calibri" w:eastAsia="Calibri" w:hAnsi="Calibri" w:cs="Times New Roman"/>
    </w:rPr>
  </w:style>
  <w:style w:type="paragraph" w:customStyle="1" w:styleId="CharChar5CaracterCaracterCharChar">
    <w:name w:val="Char Char5 Caracter Caracter Char Char"/>
    <w:basedOn w:val="Normal"/>
    <w:rsid w:val="009A059F"/>
    <w:pPr>
      <w:spacing w:after="160" w:line="240" w:lineRule="exact"/>
    </w:pPr>
    <w:rPr>
      <w:rFonts w:ascii="Tahoma" w:eastAsia="Times New Roman" w:hAnsi="Tahoma" w:cs="Times New Roman"/>
      <w:sz w:val="20"/>
      <w:szCs w:val="20"/>
    </w:rPr>
  </w:style>
  <w:style w:type="paragraph" w:customStyle="1" w:styleId="CharChar5CaracterCaracterCharChar4">
    <w:name w:val="Char Char5 Caracter Caracter Char Char4"/>
    <w:basedOn w:val="Normal"/>
    <w:rsid w:val="00F35893"/>
    <w:pPr>
      <w:spacing w:after="160" w:line="240" w:lineRule="exact"/>
    </w:pPr>
    <w:rPr>
      <w:rFonts w:ascii="Tahoma" w:eastAsia="Times New Roman" w:hAnsi="Tahoma" w:cs="Times New Roman"/>
      <w:sz w:val="20"/>
      <w:szCs w:val="20"/>
    </w:rPr>
  </w:style>
  <w:style w:type="paragraph" w:customStyle="1" w:styleId="CharChar5CaracterCaracterCharChar3">
    <w:name w:val="Char Char5 Caracter Caracter Char Char3"/>
    <w:basedOn w:val="Normal"/>
    <w:rsid w:val="00A84A91"/>
    <w:pPr>
      <w:spacing w:after="160" w:line="240" w:lineRule="exact"/>
    </w:pPr>
    <w:rPr>
      <w:rFonts w:ascii="Tahoma" w:eastAsia="Times New Roman" w:hAnsi="Tahoma" w:cs="Times New Roman"/>
      <w:sz w:val="20"/>
      <w:szCs w:val="20"/>
    </w:rPr>
  </w:style>
  <w:style w:type="character" w:customStyle="1" w:styleId="longtext1">
    <w:name w:val="long_text1"/>
    <w:rsid w:val="0032714B"/>
    <w:rPr>
      <w:sz w:val="20"/>
      <w:szCs w:val="20"/>
    </w:rPr>
  </w:style>
  <w:style w:type="paragraph" w:customStyle="1" w:styleId="CharChar5CaracterCaracterCharChar2">
    <w:name w:val="Char Char5 Caracter Caracter Char Char2"/>
    <w:basedOn w:val="Normal"/>
    <w:rsid w:val="00EB530C"/>
    <w:pPr>
      <w:spacing w:after="160" w:line="240" w:lineRule="exact"/>
    </w:pPr>
    <w:rPr>
      <w:rFonts w:ascii="Tahoma" w:eastAsia="Times New Roman" w:hAnsi="Tahoma" w:cs="Times New Roman"/>
      <w:sz w:val="20"/>
      <w:szCs w:val="20"/>
    </w:rPr>
  </w:style>
  <w:style w:type="character" w:customStyle="1" w:styleId="NoSpacingChar">
    <w:name w:val="No Spacing Char"/>
    <w:basedOn w:val="DefaultParagraphFont"/>
    <w:link w:val="NoSpacing"/>
    <w:uiPriority w:val="1"/>
    <w:rsid w:val="00796C60"/>
    <w:rPr>
      <w:rFonts w:ascii="Calibri" w:eastAsia="Calibri" w:hAnsi="Calibri" w:cs="Times New Roman"/>
    </w:rPr>
  </w:style>
  <w:style w:type="paragraph" w:customStyle="1" w:styleId="CharChar5CaracterCaracterCharChar1">
    <w:name w:val="Char Char5 Caracter Caracter Char Char1"/>
    <w:basedOn w:val="Normal"/>
    <w:rsid w:val="00E13F46"/>
    <w:pPr>
      <w:spacing w:after="160" w:line="240" w:lineRule="exact"/>
    </w:pPr>
    <w:rPr>
      <w:rFonts w:ascii="Tahoma" w:eastAsia="Times New Roman" w:hAnsi="Tahoma" w:cs="Times New Roman"/>
      <w:sz w:val="20"/>
      <w:szCs w:val="20"/>
    </w:rPr>
  </w:style>
  <w:style w:type="paragraph" w:customStyle="1" w:styleId="3">
    <w:name w:val="Знак Знак3 Знак Знак"/>
    <w:basedOn w:val="Normal"/>
    <w:rsid w:val="00754037"/>
    <w:pPr>
      <w:spacing w:after="160" w:line="240" w:lineRule="exact"/>
    </w:pPr>
    <w:rPr>
      <w:rFonts w:ascii="Tahoma" w:eastAsia="Times New Roman" w:hAnsi="Tahoma" w:cs="Times New Roman"/>
      <w:sz w:val="20"/>
      <w:szCs w:val="20"/>
    </w:rPr>
  </w:style>
  <w:style w:type="character" w:customStyle="1" w:styleId="Heading5Char">
    <w:name w:val="Heading 5 Char"/>
    <w:basedOn w:val="DefaultParagraphFont"/>
    <w:link w:val="Heading5"/>
    <w:uiPriority w:val="9"/>
    <w:rsid w:val="00886FD6"/>
    <w:rPr>
      <w:rFonts w:asciiTheme="majorHAnsi" w:eastAsiaTheme="majorEastAsia" w:hAnsiTheme="majorHAnsi" w:cstheme="majorBidi"/>
      <w:color w:val="243F60" w:themeColor="accent1" w:themeShade="7F"/>
    </w:rPr>
  </w:style>
  <w:style w:type="paragraph" w:customStyle="1" w:styleId="rtejustify">
    <w:name w:val="rtejustify"/>
    <w:basedOn w:val="Normal"/>
    <w:rsid w:val="00C708B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EndnoteText">
    <w:name w:val="endnote text"/>
    <w:basedOn w:val="Normal"/>
    <w:link w:val="EndnoteTextChar"/>
    <w:uiPriority w:val="99"/>
    <w:semiHidden/>
    <w:unhideWhenUsed/>
    <w:rsid w:val="00C215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15A0"/>
    <w:rPr>
      <w:sz w:val="20"/>
      <w:szCs w:val="20"/>
    </w:rPr>
  </w:style>
  <w:style w:type="character" w:styleId="EndnoteReference">
    <w:name w:val="endnote reference"/>
    <w:basedOn w:val="DefaultParagraphFont"/>
    <w:uiPriority w:val="99"/>
    <w:semiHidden/>
    <w:unhideWhenUsed/>
    <w:rsid w:val="00C215A0"/>
    <w:rPr>
      <w:vertAlign w:val="superscript"/>
    </w:rPr>
  </w:style>
  <w:style w:type="paragraph" w:styleId="TOC5">
    <w:name w:val="toc 5"/>
    <w:basedOn w:val="Normal"/>
    <w:next w:val="Normal"/>
    <w:autoRedefine/>
    <w:uiPriority w:val="39"/>
    <w:unhideWhenUsed/>
    <w:rsid w:val="001648E5"/>
    <w:pPr>
      <w:spacing w:after="100"/>
      <w:ind w:left="880"/>
    </w:pPr>
  </w:style>
  <w:style w:type="character" w:customStyle="1" w:styleId="atn">
    <w:name w:val="atn"/>
    <w:basedOn w:val="DefaultParagraphFont"/>
    <w:rsid w:val="00157EB8"/>
  </w:style>
  <w:style w:type="paragraph" w:styleId="TOC3">
    <w:name w:val="toc 3"/>
    <w:basedOn w:val="Normal"/>
    <w:next w:val="Normal"/>
    <w:autoRedefine/>
    <w:uiPriority w:val="39"/>
    <w:unhideWhenUsed/>
    <w:qFormat/>
    <w:rsid w:val="00157EB8"/>
    <w:pPr>
      <w:spacing w:after="100"/>
      <w:ind w:left="440"/>
    </w:pPr>
  </w:style>
  <w:style w:type="paragraph" w:styleId="Caption">
    <w:name w:val="caption"/>
    <w:basedOn w:val="Normal"/>
    <w:next w:val="Normal"/>
    <w:qFormat/>
    <w:rsid w:val="00157EB8"/>
    <w:pPr>
      <w:widowControl w:val="0"/>
      <w:spacing w:after="0" w:line="240" w:lineRule="auto"/>
    </w:pPr>
    <w:rPr>
      <w:rFonts w:ascii="Times New Roman" w:eastAsia="Times New Roman" w:hAnsi="Times New Roman" w:cs="Times New Roman"/>
      <w:b/>
      <w:snapToGrid w:val="0"/>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9768">
      <w:bodyDiv w:val="1"/>
      <w:marLeft w:val="0"/>
      <w:marRight w:val="0"/>
      <w:marTop w:val="0"/>
      <w:marBottom w:val="0"/>
      <w:divBdr>
        <w:top w:val="none" w:sz="0" w:space="0" w:color="auto"/>
        <w:left w:val="none" w:sz="0" w:space="0" w:color="auto"/>
        <w:bottom w:val="none" w:sz="0" w:space="0" w:color="auto"/>
        <w:right w:val="none" w:sz="0" w:space="0" w:color="auto"/>
      </w:divBdr>
    </w:div>
    <w:div w:id="1170371068">
      <w:bodyDiv w:val="1"/>
      <w:marLeft w:val="0"/>
      <w:marRight w:val="0"/>
      <w:marTop w:val="0"/>
      <w:marBottom w:val="0"/>
      <w:divBdr>
        <w:top w:val="none" w:sz="0" w:space="0" w:color="auto"/>
        <w:left w:val="none" w:sz="0" w:space="0" w:color="auto"/>
        <w:bottom w:val="none" w:sz="0" w:space="0" w:color="auto"/>
        <w:right w:val="none" w:sz="0" w:space="0" w:color="auto"/>
      </w:divBdr>
      <w:divsChild>
        <w:div w:id="580022832">
          <w:marLeft w:val="0"/>
          <w:marRight w:val="0"/>
          <w:marTop w:val="0"/>
          <w:marBottom w:val="0"/>
          <w:divBdr>
            <w:top w:val="none" w:sz="0" w:space="0" w:color="auto"/>
            <w:left w:val="none" w:sz="0" w:space="0" w:color="auto"/>
            <w:bottom w:val="none" w:sz="0" w:space="0" w:color="auto"/>
            <w:right w:val="none" w:sz="0" w:space="0" w:color="auto"/>
          </w:divBdr>
          <w:divsChild>
            <w:div w:id="3922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6715">
      <w:bodyDiv w:val="1"/>
      <w:marLeft w:val="0"/>
      <w:marRight w:val="0"/>
      <w:marTop w:val="0"/>
      <w:marBottom w:val="0"/>
      <w:divBdr>
        <w:top w:val="none" w:sz="0" w:space="0" w:color="auto"/>
        <w:left w:val="none" w:sz="0" w:space="0" w:color="auto"/>
        <w:bottom w:val="none" w:sz="0" w:space="0" w:color="auto"/>
        <w:right w:val="none" w:sz="0" w:space="0" w:color="auto"/>
      </w:divBdr>
      <w:divsChild>
        <w:div w:id="243416220">
          <w:marLeft w:val="0"/>
          <w:marRight w:val="0"/>
          <w:marTop w:val="0"/>
          <w:marBottom w:val="0"/>
          <w:divBdr>
            <w:top w:val="none" w:sz="0" w:space="0" w:color="auto"/>
            <w:left w:val="none" w:sz="0" w:space="0" w:color="auto"/>
            <w:bottom w:val="none" w:sz="0" w:space="0" w:color="auto"/>
            <w:right w:val="none" w:sz="0" w:space="0" w:color="auto"/>
          </w:divBdr>
          <w:divsChild>
            <w:div w:id="9899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2293">
      <w:bodyDiv w:val="1"/>
      <w:marLeft w:val="0"/>
      <w:marRight w:val="0"/>
      <w:marTop w:val="0"/>
      <w:marBottom w:val="0"/>
      <w:divBdr>
        <w:top w:val="none" w:sz="0" w:space="0" w:color="auto"/>
        <w:left w:val="none" w:sz="0" w:space="0" w:color="auto"/>
        <w:bottom w:val="none" w:sz="0" w:space="0" w:color="auto"/>
        <w:right w:val="none" w:sz="0" w:space="0" w:color="auto"/>
      </w:divBdr>
    </w:div>
    <w:div w:id="2083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7.xml"/><Relationship Id="rId10" Type="http://schemas.openxmlformats.org/officeDocument/2006/relationships/hyperlink" Target="mailto:office@anrceti.md" TargetMode="Externa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image" Target="media/image7.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future-electronic-communications-markets-subject-ex-ante-regulation" TargetMode="External"/><Relationship Id="rId2" Type="http://schemas.openxmlformats.org/officeDocument/2006/relationships/hyperlink" Target="http://eur-lex.europa.eu/legal-content/RO/TXT/PDF/?uri=CELEX:32014H0710&amp;from=EN" TargetMode="External"/><Relationship Id="rId1" Type="http://schemas.openxmlformats.org/officeDocument/2006/relationships/hyperlink" Target="http://eur-lex.europa.eu/LexUriServ/LexUriServ.do?uri=OJ:L:2007:344:0065:0069:ro:PDF" TargetMode="External"/><Relationship Id="rId5" Type="http://schemas.openxmlformats.org/officeDocument/2006/relationships/hyperlink" Target="https://www.comreg.ie/media/dlm_uploads/2016/11/ComReg-1696b-1.pdf" TargetMode="External"/><Relationship Id="rId4" Type="http://schemas.openxmlformats.org/officeDocument/2006/relationships/hyperlink" Target="http://www.moldtelecom.md/news/1375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tru\Desktop\piata%204%20si%205\2017\statistica\Anexa%202%20-%20Retele%20fix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etru\Desktop\piata%204%20si%205\2017\statistica\Anexa%202%20-%20Retele%20fix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etru\Desktop\piata%204%20si%205\2017\statistica\Anexa%202%20-%20Retele%20fix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etru\Desktop\piata%204%20si%205\2017\statistica\Anexa%202%20-%20Retele%20fix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etru\Desktop\piata%204%20si%205\2017\statistica\Anexa%202%20-%20Retele%20fix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etru\Desktop\piata%204%20si%205\2017\statistica\Anexa%202%20-%20Retele%20fix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etru\Desktop\piata%204%20si%205\2017\statistica\Calcule%20piata%204%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ANALIZA!$B$64</c:f>
              <c:strCache>
                <c:ptCount val="1"/>
                <c:pt idx="0">
                  <c:v>Sun communications</c:v>
                </c:pt>
              </c:strCache>
            </c:strRef>
          </c:tx>
          <c:spPr>
            <a:solidFill>
              <a:schemeClr val="accent6">
                <a:lumMod val="75000"/>
              </a:schemeClr>
            </a:solidFill>
          </c:spPr>
          <c:invertIfNegative val="0"/>
          <c:dLbls>
            <c:numFmt formatCode="#,##0.00" sourceLinked="0"/>
            <c:spPr>
              <a:noFill/>
              <a:ln>
                <a:noFill/>
              </a:ln>
              <a:effectLst/>
            </c:spPr>
            <c:txPr>
              <a:bodyPr rot="-5400000" vert="horz"/>
              <a:lstStyle/>
              <a:p>
                <a:pPr>
                  <a:defRPr sz="1200"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Internet'!$B$108:$F$108</c:f>
              <c:strCache>
                <c:ptCount val="5"/>
                <c:pt idx="0">
                  <c:v>2012</c:v>
                </c:pt>
                <c:pt idx="1">
                  <c:v>2013</c:v>
                </c:pt>
                <c:pt idx="2">
                  <c:v>2014</c:v>
                </c:pt>
                <c:pt idx="3">
                  <c:v>2015</c:v>
                </c:pt>
                <c:pt idx="4">
                  <c:v>2016</c:v>
                </c:pt>
              </c:strCache>
            </c:strRef>
          </c:cat>
          <c:val>
            <c:numRef>
              <c:f>ANALIZA!$C$64:$G$64</c:f>
              <c:numCache>
                <c:formatCode>#,##0</c:formatCode>
                <c:ptCount val="5"/>
                <c:pt idx="0">
                  <c:v>23750000</c:v>
                </c:pt>
                <c:pt idx="1">
                  <c:v>27963000</c:v>
                </c:pt>
                <c:pt idx="2">
                  <c:v>32792000</c:v>
                </c:pt>
                <c:pt idx="3">
                  <c:v>35169000</c:v>
                </c:pt>
                <c:pt idx="4">
                  <c:v>37553000</c:v>
                </c:pt>
              </c:numCache>
            </c:numRef>
          </c:val>
        </c:ser>
        <c:ser>
          <c:idx val="1"/>
          <c:order val="1"/>
          <c:tx>
            <c:strRef>
              <c:f>ANALIZA!$B$65</c:f>
              <c:strCache>
                <c:ptCount val="1"/>
                <c:pt idx="0">
                  <c:v>Alți furnizori</c:v>
                </c:pt>
              </c:strCache>
            </c:strRef>
          </c:tx>
          <c:spPr>
            <a:pattFill prst="pct90">
              <a:fgClr>
                <a:srgbClr val="00B050"/>
              </a:fgClr>
              <a:bgClr>
                <a:schemeClr val="bg1"/>
              </a:bgClr>
            </a:pattFill>
          </c:spPr>
          <c:invertIfNegative val="0"/>
          <c:dLbls>
            <c:numFmt formatCode="#,##0.0" sourceLinked="0"/>
            <c:spPr>
              <a:noFill/>
              <a:ln>
                <a:noFill/>
              </a:ln>
              <a:effectLst/>
            </c:spPr>
            <c:txPr>
              <a:bodyPr rot="-5400000" vert="horz"/>
              <a:lstStyle/>
              <a:p>
                <a:pPr>
                  <a:defRPr sz="1200"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Internet'!$B$108:$F$108</c:f>
              <c:strCache>
                <c:ptCount val="5"/>
                <c:pt idx="0">
                  <c:v>2012</c:v>
                </c:pt>
                <c:pt idx="1">
                  <c:v>2013</c:v>
                </c:pt>
                <c:pt idx="2">
                  <c:v>2014</c:v>
                </c:pt>
                <c:pt idx="3">
                  <c:v>2015</c:v>
                </c:pt>
                <c:pt idx="4">
                  <c:v>2016</c:v>
                </c:pt>
              </c:strCache>
            </c:strRef>
          </c:cat>
          <c:val>
            <c:numRef>
              <c:f>ANALIZA!$C$65:$G$65</c:f>
              <c:numCache>
                <c:formatCode>#,##0</c:formatCode>
                <c:ptCount val="5"/>
                <c:pt idx="0">
                  <c:v>34869000</c:v>
                </c:pt>
                <c:pt idx="1">
                  <c:v>35243000</c:v>
                </c:pt>
                <c:pt idx="2">
                  <c:v>35795000</c:v>
                </c:pt>
                <c:pt idx="3">
                  <c:v>39567000</c:v>
                </c:pt>
                <c:pt idx="4">
                  <c:v>44021000</c:v>
                </c:pt>
              </c:numCache>
            </c:numRef>
          </c:val>
        </c:ser>
        <c:ser>
          <c:idx val="2"/>
          <c:order val="2"/>
          <c:tx>
            <c:strRef>
              <c:f>ANALIZA!$B$63</c:f>
              <c:strCache>
                <c:ptCount val="1"/>
                <c:pt idx="0">
                  <c:v>StarNet*</c:v>
                </c:pt>
              </c:strCache>
            </c:strRef>
          </c:tx>
          <c:spPr>
            <a:pattFill prst="pct90">
              <a:fgClr>
                <a:srgbClr val="FFFF00"/>
              </a:fgClr>
              <a:bgClr>
                <a:schemeClr val="bg1">
                  <a:lumMod val="50000"/>
                </a:schemeClr>
              </a:bgClr>
            </a:pattFill>
          </c:spPr>
          <c:invertIfNegative val="0"/>
          <c:dLbls>
            <c:numFmt formatCode="#,##0.0" sourceLinked="0"/>
            <c:spPr>
              <a:noFill/>
              <a:ln>
                <a:noFill/>
              </a:ln>
              <a:effectLst/>
            </c:spPr>
            <c:txPr>
              <a:bodyPr rot="-5400000" vert="horz"/>
              <a:lstStyle/>
              <a:p>
                <a:pPr>
                  <a:defRPr sz="1200"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Internet'!$B$108:$F$108</c:f>
              <c:strCache>
                <c:ptCount val="5"/>
                <c:pt idx="0">
                  <c:v>2012</c:v>
                </c:pt>
                <c:pt idx="1">
                  <c:v>2013</c:v>
                </c:pt>
                <c:pt idx="2">
                  <c:v>2014</c:v>
                </c:pt>
                <c:pt idx="3">
                  <c:v>2015</c:v>
                </c:pt>
                <c:pt idx="4">
                  <c:v>2016</c:v>
                </c:pt>
              </c:strCache>
            </c:strRef>
          </c:cat>
          <c:val>
            <c:numRef>
              <c:f>ANALIZA!$C$63:$G$63</c:f>
              <c:numCache>
                <c:formatCode>#,##0</c:formatCode>
                <c:ptCount val="5"/>
                <c:pt idx="0">
                  <c:v>73234000</c:v>
                </c:pt>
                <c:pt idx="1">
                  <c:v>85961000</c:v>
                </c:pt>
                <c:pt idx="2">
                  <c:v>101242000</c:v>
                </c:pt>
                <c:pt idx="3">
                  <c:v>110448000</c:v>
                </c:pt>
                <c:pt idx="4">
                  <c:v>111686000</c:v>
                </c:pt>
              </c:numCache>
            </c:numRef>
          </c:val>
        </c:ser>
        <c:ser>
          <c:idx val="3"/>
          <c:order val="3"/>
          <c:tx>
            <c:strRef>
              <c:f>ANALIZA!$B$62</c:f>
              <c:strCache>
                <c:ptCount val="1"/>
                <c:pt idx="0">
                  <c:v>Moldtelecom</c:v>
                </c:pt>
              </c:strCache>
            </c:strRef>
          </c:tx>
          <c:spPr>
            <a:solidFill>
              <a:srgbClr val="0070C0"/>
            </a:solidFill>
          </c:spPr>
          <c:invertIfNegative val="0"/>
          <c:dLbls>
            <c:numFmt formatCode="#,##0.0" sourceLinked="0"/>
            <c:spPr>
              <a:noFill/>
              <a:ln>
                <a:noFill/>
              </a:ln>
              <a:effectLst/>
            </c:spPr>
            <c:txPr>
              <a:bodyPr rot="-5400000" vert="horz"/>
              <a:lstStyle/>
              <a:p>
                <a:pPr algn="ctr">
                  <a:defRPr lang="ro-RO" sz="12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Internet'!$B$108:$F$108</c:f>
              <c:strCache>
                <c:ptCount val="5"/>
                <c:pt idx="0">
                  <c:v>2012</c:v>
                </c:pt>
                <c:pt idx="1">
                  <c:v>2013</c:v>
                </c:pt>
                <c:pt idx="2">
                  <c:v>2014</c:v>
                </c:pt>
                <c:pt idx="3">
                  <c:v>2015</c:v>
                </c:pt>
                <c:pt idx="4">
                  <c:v>2016</c:v>
                </c:pt>
              </c:strCache>
            </c:strRef>
          </c:cat>
          <c:val>
            <c:numRef>
              <c:f>ANALIZA!$C$62:$G$62</c:f>
              <c:numCache>
                <c:formatCode>#,##0</c:formatCode>
                <c:ptCount val="5"/>
                <c:pt idx="0">
                  <c:v>285324000</c:v>
                </c:pt>
                <c:pt idx="1">
                  <c:v>317905000</c:v>
                </c:pt>
                <c:pt idx="2">
                  <c:v>339366000</c:v>
                </c:pt>
                <c:pt idx="3">
                  <c:v>349209000</c:v>
                </c:pt>
                <c:pt idx="4">
                  <c:v>364143000</c:v>
                </c:pt>
              </c:numCache>
            </c:numRef>
          </c:val>
        </c:ser>
        <c:dLbls>
          <c:dLblPos val="ctr"/>
          <c:showLegendKey val="0"/>
          <c:showVal val="1"/>
          <c:showCatName val="0"/>
          <c:showSerName val="0"/>
          <c:showPercent val="0"/>
          <c:showBubbleSize val="0"/>
        </c:dLbls>
        <c:gapWidth val="50"/>
        <c:axId val="281659392"/>
        <c:axId val="260727360"/>
      </c:barChart>
      <c:lineChart>
        <c:grouping val="standard"/>
        <c:varyColors val="0"/>
        <c:ser>
          <c:idx val="4"/>
          <c:order val="4"/>
          <c:tx>
            <c:strRef>
              <c:f>ANALIZA!$B$66</c:f>
              <c:strCache>
                <c:ptCount val="1"/>
                <c:pt idx="0">
                  <c:v>Total </c:v>
                </c:pt>
              </c:strCache>
            </c:strRef>
          </c:tx>
          <c:spPr>
            <a:ln w="28575"/>
          </c:spPr>
          <c:marker>
            <c:symbol val="triangle"/>
            <c:size val="5"/>
            <c:spPr>
              <a:solidFill>
                <a:schemeClr val="accent6">
                  <a:lumMod val="75000"/>
                </a:schemeClr>
              </a:solidFill>
              <a:ln w="28575"/>
            </c:spPr>
          </c:marker>
          <c:dLbls>
            <c:numFmt formatCode="#,##0.0" sourceLinked="0"/>
            <c:spPr>
              <a:noFill/>
              <a:ln>
                <a:noFill/>
              </a:ln>
              <a:effectLst/>
            </c:spPr>
            <c:txPr>
              <a:bodyPr/>
              <a:lstStyle/>
              <a:p>
                <a:pPr>
                  <a:defRPr sz="1300" b="1" u="sng"/>
                </a:pPr>
                <a:endParaRPr lang="en-US"/>
              </a:p>
            </c:txPr>
            <c:dLblPos val="t"/>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val>
            <c:numRef>
              <c:f>ANALIZA!$C$66:$G$66</c:f>
              <c:numCache>
                <c:formatCode>#,##0</c:formatCode>
                <c:ptCount val="5"/>
                <c:pt idx="0">
                  <c:v>417177000</c:v>
                </c:pt>
                <c:pt idx="1">
                  <c:v>467072000</c:v>
                </c:pt>
                <c:pt idx="2">
                  <c:v>509195000</c:v>
                </c:pt>
                <c:pt idx="3">
                  <c:v>534393000</c:v>
                </c:pt>
                <c:pt idx="4">
                  <c:v>557403000</c:v>
                </c:pt>
              </c:numCache>
            </c:numRef>
          </c:val>
          <c:smooth val="0"/>
        </c:ser>
        <c:dLbls>
          <c:showLegendKey val="0"/>
          <c:showVal val="0"/>
          <c:showCatName val="0"/>
          <c:showSerName val="0"/>
          <c:showPercent val="0"/>
          <c:showBubbleSize val="0"/>
        </c:dLbls>
        <c:marker val="1"/>
        <c:smooth val="0"/>
        <c:axId val="287680000"/>
        <c:axId val="260727936"/>
      </c:lineChart>
      <c:catAx>
        <c:axId val="281659392"/>
        <c:scaling>
          <c:orientation val="minMax"/>
        </c:scaling>
        <c:delete val="0"/>
        <c:axPos val="b"/>
        <c:numFmt formatCode="General" sourceLinked="0"/>
        <c:majorTickMark val="out"/>
        <c:minorTickMark val="none"/>
        <c:tickLblPos val="nextTo"/>
        <c:txPr>
          <a:bodyPr/>
          <a:lstStyle/>
          <a:p>
            <a:pPr>
              <a:defRPr b="1"/>
            </a:pPr>
            <a:endParaRPr lang="en-US"/>
          </a:p>
        </c:txPr>
        <c:crossAx val="260727360"/>
        <c:crosses val="autoZero"/>
        <c:auto val="1"/>
        <c:lblAlgn val="ctr"/>
        <c:lblOffset val="100"/>
        <c:noMultiLvlLbl val="0"/>
      </c:catAx>
      <c:valAx>
        <c:axId val="260727360"/>
        <c:scaling>
          <c:orientation val="minMax"/>
          <c:max val="400010000"/>
          <c:min val="10000"/>
        </c:scaling>
        <c:delete val="0"/>
        <c:axPos val="l"/>
        <c:numFmt formatCode="#,##0" sourceLinked="1"/>
        <c:majorTickMark val="out"/>
        <c:minorTickMark val="none"/>
        <c:tickLblPos val="nextTo"/>
        <c:crossAx val="281659392"/>
        <c:crosses val="autoZero"/>
        <c:crossBetween val="between"/>
        <c:dispUnits>
          <c:builtInUnit val="millions"/>
        </c:dispUnits>
      </c:valAx>
      <c:valAx>
        <c:axId val="260727936"/>
        <c:scaling>
          <c:orientation val="minMax"/>
        </c:scaling>
        <c:delete val="0"/>
        <c:axPos val="r"/>
        <c:numFmt formatCode="#,##0" sourceLinked="1"/>
        <c:majorTickMark val="out"/>
        <c:minorTickMark val="none"/>
        <c:tickLblPos val="nextTo"/>
        <c:crossAx val="287680000"/>
        <c:crosses val="max"/>
        <c:crossBetween val="between"/>
        <c:dispUnits>
          <c:builtInUnit val="millions"/>
        </c:dispUnits>
      </c:valAx>
      <c:catAx>
        <c:axId val="287680000"/>
        <c:scaling>
          <c:orientation val="minMax"/>
        </c:scaling>
        <c:delete val="1"/>
        <c:axPos val="b"/>
        <c:majorTickMark val="out"/>
        <c:minorTickMark val="none"/>
        <c:tickLblPos val="nextTo"/>
        <c:crossAx val="260727936"/>
        <c:crosses val="autoZero"/>
        <c:auto val="1"/>
        <c:lblAlgn val="ctr"/>
        <c:lblOffset val="100"/>
        <c:noMultiLvlLbl val="0"/>
      </c:catAx>
      <c:spPr>
        <a:noFill/>
        <a:ln w="25400">
          <a:noFill/>
        </a:ln>
      </c:spPr>
    </c:plotArea>
    <c:legend>
      <c:legendPos val="b"/>
      <c:overlay val="0"/>
      <c:txPr>
        <a:bodyPr/>
        <a:lstStyle/>
        <a:p>
          <a:pPr>
            <a:defRPr b="1"/>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138071895424836E-2"/>
          <c:y val="6.0501079135147198E-2"/>
          <c:w val="0.89803513071895424"/>
          <c:h val="0.72079319651415752"/>
        </c:manualLayout>
      </c:layout>
      <c:barChart>
        <c:barDir val="col"/>
        <c:grouping val="stacked"/>
        <c:varyColors val="0"/>
        <c:ser>
          <c:idx val="0"/>
          <c:order val="0"/>
          <c:tx>
            <c:strRef>
              <c:f>ANALIZA!$B$68</c:f>
              <c:strCache>
                <c:ptCount val="1"/>
                <c:pt idx="0">
                  <c:v>Moldtelecom</c:v>
                </c:pt>
              </c:strCache>
            </c:strRef>
          </c:tx>
          <c:invertIfNegative val="0"/>
          <c:dLbls>
            <c:numFmt formatCode="0.0%" sourceLinked="0"/>
            <c:spPr>
              <a:noFill/>
              <a:ln>
                <a:noFill/>
              </a:ln>
              <a:effectLst/>
            </c:spPr>
            <c:txPr>
              <a:bodyPr rot="-5400000" vert="horz"/>
              <a:lstStyle/>
              <a:p>
                <a:pPr>
                  <a:defRPr sz="14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Internet'!$B$404:$F$404</c:f>
              <c:strCache>
                <c:ptCount val="5"/>
                <c:pt idx="0">
                  <c:v>2012</c:v>
                </c:pt>
                <c:pt idx="1">
                  <c:v>2013</c:v>
                </c:pt>
                <c:pt idx="2">
                  <c:v>2014</c:v>
                </c:pt>
                <c:pt idx="3">
                  <c:v>2015</c:v>
                </c:pt>
                <c:pt idx="4">
                  <c:v>2016</c:v>
                </c:pt>
              </c:strCache>
            </c:strRef>
          </c:cat>
          <c:val>
            <c:numRef>
              <c:f>ANALIZA!$C$68:$G$68</c:f>
              <c:numCache>
                <c:formatCode>0.00%</c:formatCode>
                <c:ptCount val="5"/>
                <c:pt idx="0">
                  <c:v>0.68393991039774482</c:v>
                </c:pt>
                <c:pt idx="1">
                  <c:v>0.68063382090983826</c:v>
                </c:pt>
                <c:pt idx="2">
                  <c:v>0.66647551527410909</c:v>
                </c:pt>
                <c:pt idx="3">
                  <c:v>0.65346851474476653</c:v>
                </c:pt>
                <c:pt idx="4">
                  <c:v>0.65328496617348664</c:v>
                </c:pt>
              </c:numCache>
            </c:numRef>
          </c:val>
        </c:ser>
        <c:ser>
          <c:idx val="1"/>
          <c:order val="1"/>
          <c:tx>
            <c:strRef>
              <c:f>ANALIZA!$B$69</c:f>
              <c:strCache>
                <c:ptCount val="1"/>
                <c:pt idx="0">
                  <c:v>StarNet*</c:v>
                </c:pt>
              </c:strCache>
            </c:strRef>
          </c:tx>
          <c:spPr>
            <a:pattFill prst="pct90">
              <a:fgClr>
                <a:srgbClr val="FFFF00"/>
              </a:fgClr>
              <a:bgClr>
                <a:schemeClr val="bg1">
                  <a:lumMod val="50000"/>
                </a:schemeClr>
              </a:bgClr>
            </a:pattFill>
          </c:spPr>
          <c:invertIfNegative val="0"/>
          <c:dLbls>
            <c:numFmt formatCode="0.0%" sourceLinked="0"/>
            <c:spPr>
              <a:noFill/>
              <a:ln>
                <a:noFill/>
              </a:ln>
              <a:effectLst/>
            </c:spPr>
            <c:txPr>
              <a:bodyPr/>
              <a:lstStyle/>
              <a:p>
                <a:pPr>
                  <a:defRPr sz="12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Internet'!$B$404:$F$404</c:f>
              <c:strCache>
                <c:ptCount val="5"/>
                <c:pt idx="0">
                  <c:v>2012</c:v>
                </c:pt>
                <c:pt idx="1">
                  <c:v>2013</c:v>
                </c:pt>
                <c:pt idx="2">
                  <c:v>2014</c:v>
                </c:pt>
                <c:pt idx="3">
                  <c:v>2015</c:v>
                </c:pt>
                <c:pt idx="4">
                  <c:v>2016</c:v>
                </c:pt>
              </c:strCache>
            </c:strRef>
          </c:cat>
          <c:val>
            <c:numRef>
              <c:f>ANALIZA!$C$69:$G$69</c:f>
              <c:numCache>
                <c:formatCode>0.00%</c:formatCode>
                <c:ptCount val="5"/>
                <c:pt idx="0">
                  <c:v>0.17554659053591162</c:v>
                </c:pt>
                <c:pt idx="1">
                  <c:v>0.18404228898328309</c:v>
                </c:pt>
                <c:pt idx="2">
                  <c:v>0.19882756115044334</c:v>
                </c:pt>
                <c:pt idx="3">
                  <c:v>0.20667935395860351</c:v>
                </c:pt>
                <c:pt idx="4">
                  <c:v>0.20036849460803047</c:v>
                </c:pt>
              </c:numCache>
            </c:numRef>
          </c:val>
        </c:ser>
        <c:ser>
          <c:idx val="2"/>
          <c:order val="2"/>
          <c:tx>
            <c:strRef>
              <c:f>ANALIZA!$B$70</c:f>
              <c:strCache>
                <c:ptCount val="1"/>
                <c:pt idx="0">
                  <c:v>Sun Communications</c:v>
                </c:pt>
              </c:strCache>
            </c:strRef>
          </c:tx>
          <c:spPr>
            <a:pattFill prst="pct90">
              <a:fgClr>
                <a:schemeClr val="accent6">
                  <a:lumMod val="75000"/>
                </a:schemeClr>
              </a:fgClr>
              <a:bgClr>
                <a:schemeClr val="bg1">
                  <a:lumMod val="50000"/>
                </a:schemeClr>
              </a:bgClr>
            </a:pattFill>
          </c:spPr>
          <c:invertIfNegative val="0"/>
          <c:dLbls>
            <c:numFmt formatCode="0.0%" sourceLinked="0"/>
            <c:spPr>
              <a:noFill/>
              <a:ln>
                <a:noFill/>
              </a:ln>
              <a:effectLst/>
            </c:spPr>
            <c:txPr>
              <a:bodyPr/>
              <a:lstStyle/>
              <a:p>
                <a:pPr>
                  <a:defRPr sz="10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Internet'!$B$404:$F$404</c:f>
              <c:strCache>
                <c:ptCount val="5"/>
                <c:pt idx="0">
                  <c:v>2012</c:v>
                </c:pt>
                <c:pt idx="1">
                  <c:v>2013</c:v>
                </c:pt>
                <c:pt idx="2">
                  <c:v>2014</c:v>
                </c:pt>
                <c:pt idx="3">
                  <c:v>2015</c:v>
                </c:pt>
                <c:pt idx="4">
                  <c:v>2016</c:v>
                </c:pt>
              </c:strCache>
            </c:strRef>
          </c:cat>
          <c:val>
            <c:numRef>
              <c:f>ANALIZA!$C$70:$G$70</c:f>
              <c:numCache>
                <c:formatCode>0.00%</c:formatCode>
                <c:ptCount val="5"/>
                <c:pt idx="0">
                  <c:v>5.6930271803095567E-2</c:v>
                </c:pt>
                <c:pt idx="1">
                  <c:v>5.9868714031241436E-2</c:v>
                </c:pt>
                <c:pt idx="2">
                  <c:v>6.4399689706301125E-2</c:v>
                </c:pt>
                <c:pt idx="3">
                  <c:v>6.5811116537828895E-2</c:v>
                </c:pt>
                <c:pt idx="4">
                  <c:v>6.7371363268586643E-2</c:v>
                </c:pt>
              </c:numCache>
            </c:numRef>
          </c:val>
        </c:ser>
        <c:ser>
          <c:idx val="3"/>
          <c:order val="3"/>
          <c:tx>
            <c:strRef>
              <c:f>ANALIZA!$B$71</c:f>
              <c:strCache>
                <c:ptCount val="1"/>
                <c:pt idx="0">
                  <c:v>Alţi furnizori</c:v>
                </c:pt>
              </c:strCache>
            </c:strRef>
          </c:tx>
          <c:invertIfNegative val="0"/>
          <c:dLbls>
            <c:numFmt formatCode="0.0%" sourceLinked="0"/>
            <c:spPr>
              <a:noFill/>
              <a:ln>
                <a:noFill/>
              </a:ln>
              <a:effectLst/>
            </c:spPr>
            <c:txPr>
              <a:bodyPr/>
              <a:lstStyle/>
              <a:p>
                <a:pPr>
                  <a:defRPr sz="12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Internet'!$B$404:$F$404</c:f>
              <c:strCache>
                <c:ptCount val="5"/>
                <c:pt idx="0">
                  <c:v>2012</c:v>
                </c:pt>
                <c:pt idx="1">
                  <c:v>2013</c:v>
                </c:pt>
                <c:pt idx="2">
                  <c:v>2014</c:v>
                </c:pt>
                <c:pt idx="3">
                  <c:v>2015</c:v>
                </c:pt>
                <c:pt idx="4">
                  <c:v>2016</c:v>
                </c:pt>
              </c:strCache>
            </c:strRef>
          </c:cat>
          <c:val>
            <c:numRef>
              <c:f>ANALIZA!$C$71:$G$71</c:f>
              <c:numCache>
                <c:formatCode>0.00%</c:formatCode>
                <c:ptCount val="5"/>
                <c:pt idx="0">
                  <c:v>8.3583227263247975E-2</c:v>
                </c:pt>
                <c:pt idx="1">
                  <c:v>7.5455176075637162E-2</c:v>
                </c:pt>
                <c:pt idx="2">
                  <c:v>7.0297233869146394E-2</c:v>
                </c:pt>
                <c:pt idx="3">
                  <c:v>7.4041014758801107E-2</c:v>
                </c:pt>
                <c:pt idx="4">
                  <c:v>7.8975175949896212E-2</c:v>
                </c:pt>
              </c:numCache>
            </c:numRef>
          </c:val>
        </c:ser>
        <c:dLbls>
          <c:dLblPos val="ctr"/>
          <c:showLegendKey val="0"/>
          <c:showVal val="1"/>
          <c:showCatName val="0"/>
          <c:showSerName val="0"/>
          <c:showPercent val="0"/>
          <c:showBubbleSize val="0"/>
        </c:dLbls>
        <c:gapWidth val="100"/>
        <c:overlap val="100"/>
        <c:axId val="280716800"/>
        <c:axId val="260729664"/>
      </c:barChart>
      <c:catAx>
        <c:axId val="280716800"/>
        <c:scaling>
          <c:orientation val="minMax"/>
        </c:scaling>
        <c:delete val="0"/>
        <c:axPos val="b"/>
        <c:numFmt formatCode="General" sourceLinked="0"/>
        <c:majorTickMark val="out"/>
        <c:minorTickMark val="none"/>
        <c:tickLblPos val="nextTo"/>
        <c:txPr>
          <a:bodyPr/>
          <a:lstStyle/>
          <a:p>
            <a:pPr>
              <a:defRPr sz="1000" b="1"/>
            </a:pPr>
            <a:endParaRPr lang="en-US"/>
          </a:p>
        </c:txPr>
        <c:crossAx val="260729664"/>
        <c:crosses val="autoZero"/>
        <c:auto val="1"/>
        <c:lblAlgn val="ctr"/>
        <c:lblOffset val="100"/>
        <c:noMultiLvlLbl val="0"/>
      </c:catAx>
      <c:valAx>
        <c:axId val="260729664"/>
        <c:scaling>
          <c:orientation val="minMax"/>
          <c:max val="1"/>
        </c:scaling>
        <c:delete val="0"/>
        <c:axPos val="l"/>
        <c:numFmt formatCode="0%" sourceLinked="0"/>
        <c:majorTickMark val="out"/>
        <c:minorTickMark val="none"/>
        <c:tickLblPos val="nextTo"/>
        <c:crossAx val="280716800"/>
        <c:crosses val="autoZero"/>
        <c:crossBetween val="between"/>
        <c:majorUnit val="0.2"/>
      </c:valAx>
    </c:plotArea>
    <c:legend>
      <c:legendPos val="b"/>
      <c:overlay val="0"/>
      <c:txPr>
        <a:bodyPr/>
        <a:lstStyle/>
        <a:p>
          <a:pPr>
            <a:defRPr sz="1000" b="1"/>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0.10110375816993464"/>
          <c:y val="4.8959027777777775E-2"/>
          <c:w val="0.79779248366013067"/>
          <c:h val="0.76964895833333336"/>
        </c:manualLayout>
      </c:layout>
      <c:barChart>
        <c:barDir val="col"/>
        <c:grouping val="clustered"/>
        <c:varyColors val="0"/>
        <c:ser>
          <c:idx val="0"/>
          <c:order val="0"/>
          <c:tx>
            <c:v>DOCSIS</c:v>
          </c:tx>
          <c:invertIfNegative val="0"/>
          <c:dLbls>
            <c:numFmt formatCode="#,##0" sourceLinked="0"/>
            <c:spPr>
              <a:noFill/>
              <a:ln>
                <a:noFill/>
              </a:ln>
              <a:effectLst/>
            </c:spPr>
            <c:txPr>
              <a:bodyPr rot="-5400000" vert="horz"/>
              <a:lstStyle/>
              <a:p>
                <a:pPr>
                  <a:defRPr sz="1200"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Internet'!$B$283:$F$283</c:f>
              <c:strCache>
                <c:ptCount val="5"/>
                <c:pt idx="0">
                  <c:v>2012</c:v>
                </c:pt>
                <c:pt idx="1">
                  <c:v>2013</c:v>
                </c:pt>
                <c:pt idx="2">
                  <c:v>2014</c:v>
                </c:pt>
                <c:pt idx="3">
                  <c:v>2015</c:v>
                </c:pt>
                <c:pt idx="4">
                  <c:v>2016</c:v>
                </c:pt>
              </c:strCache>
            </c:strRef>
          </c:cat>
          <c:val>
            <c:numRef>
              <c:f>'A - Pivot Internet'!$B$288:$F$288</c:f>
              <c:numCache>
                <c:formatCode>#,##0</c:formatCode>
                <c:ptCount val="5"/>
                <c:pt idx="0">
                  <c:v>23482</c:v>
                </c:pt>
                <c:pt idx="1">
                  <c:v>28259</c:v>
                </c:pt>
                <c:pt idx="2">
                  <c:v>35838</c:v>
                </c:pt>
                <c:pt idx="3">
                  <c:v>39396</c:v>
                </c:pt>
                <c:pt idx="4">
                  <c:v>38521</c:v>
                </c:pt>
              </c:numCache>
            </c:numRef>
          </c:val>
        </c:ser>
        <c:ser>
          <c:idx val="2"/>
          <c:order val="1"/>
          <c:tx>
            <c:v>xDSL</c:v>
          </c:tx>
          <c:invertIfNegative val="0"/>
          <c:dLbls>
            <c:dLbl>
              <c:idx val="0"/>
              <c:layout>
                <c:manualLayout>
                  <c:x val="-2.0751633986928106E-3"/>
                  <c:y val="0.3513888888888888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0751633986928106E-3"/>
                  <c:y val="0.3381597222222222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0751633986928106E-3"/>
                  <c:y val="0.31148090277777779"/>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rot="-5400000" vert="horz"/>
              <a:lstStyle/>
              <a:p>
                <a:pPr>
                  <a:defRPr sz="12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Internet'!$B$283:$F$283</c:f>
              <c:strCache>
                <c:ptCount val="5"/>
                <c:pt idx="0">
                  <c:v>2012</c:v>
                </c:pt>
                <c:pt idx="1">
                  <c:v>2013</c:v>
                </c:pt>
                <c:pt idx="2">
                  <c:v>2014</c:v>
                </c:pt>
                <c:pt idx="3">
                  <c:v>2015</c:v>
                </c:pt>
                <c:pt idx="4">
                  <c:v>2016</c:v>
                </c:pt>
              </c:strCache>
            </c:strRef>
          </c:cat>
          <c:val>
            <c:numRef>
              <c:f>'A - Pivot Internet'!$B$286:$F$286</c:f>
              <c:numCache>
                <c:formatCode>#,##0</c:formatCode>
                <c:ptCount val="5"/>
                <c:pt idx="0">
                  <c:v>203032</c:v>
                </c:pt>
                <c:pt idx="1">
                  <c:v>207737</c:v>
                </c:pt>
                <c:pt idx="2">
                  <c:v>211832</c:v>
                </c:pt>
                <c:pt idx="3">
                  <c:v>203510</c:v>
                </c:pt>
                <c:pt idx="4">
                  <c:v>201492</c:v>
                </c:pt>
              </c:numCache>
            </c:numRef>
          </c:val>
        </c:ser>
        <c:ser>
          <c:idx val="1"/>
          <c:order val="2"/>
          <c:tx>
            <c:v>FTTx</c:v>
          </c:tx>
          <c:invertIfNegative val="0"/>
          <c:dLbls>
            <c:numFmt formatCode="#,##0" sourceLinked="0"/>
            <c:spPr>
              <a:noFill/>
              <a:ln>
                <a:noFill/>
              </a:ln>
              <a:effectLst/>
            </c:spPr>
            <c:txPr>
              <a:bodyPr rot="-5400000" vert="horz"/>
              <a:lstStyle/>
              <a:p>
                <a:pPr>
                  <a:defRPr sz="12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Internet'!$B$283:$F$283</c:f>
              <c:strCache>
                <c:ptCount val="5"/>
                <c:pt idx="0">
                  <c:v>2012</c:v>
                </c:pt>
                <c:pt idx="1">
                  <c:v>2013</c:v>
                </c:pt>
                <c:pt idx="2">
                  <c:v>2014</c:v>
                </c:pt>
                <c:pt idx="3">
                  <c:v>2015</c:v>
                </c:pt>
                <c:pt idx="4">
                  <c:v>2016</c:v>
                </c:pt>
              </c:strCache>
            </c:strRef>
          </c:cat>
          <c:val>
            <c:numRef>
              <c:f>'A - Pivot Internet'!$B$287:$F$287</c:f>
              <c:numCache>
                <c:formatCode>#,##0</c:formatCode>
                <c:ptCount val="5"/>
                <c:pt idx="0">
                  <c:v>189321</c:v>
                </c:pt>
                <c:pt idx="1">
                  <c:v>228781</c:v>
                </c:pt>
                <c:pt idx="2">
                  <c:v>259890</c:v>
                </c:pt>
                <c:pt idx="3">
                  <c:v>289202</c:v>
                </c:pt>
                <c:pt idx="4">
                  <c:v>315085</c:v>
                </c:pt>
              </c:numCache>
            </c:numRef>
          </c:val>
        </c:ser>
        <c:dLbls>
          <c:dLblPos val="outEnd"/>
          <c:showLegendKey val="0"/>
          <c:showVal val="1"/>
          <c:showCatName val="0"/>
          <c:showSerName val="0"/>
          <c:showPercent val="0"/>
          <c:showBubbleSize val="0"/>
        </c:dLbls>
        <c:gapWidth val="50"/>
        <c:axId val="280717824"/>
        <c:axId val="260731392"/>
      </c:barChart>
      <c:catAx>
        <c:axId val="280717824"/>
        <c:scaling>
          <c:orientation val="minMax"/>
        </c:scaling>
        <c:delete val="0"/>
        <c:axPos val="b"/>
        <c:numFmt formatCode="General" sourceLinked="0"/>
        <c:majorTickMark val="out"/>
        <c:minorTickMark val="none"/>
        <c:tickLblPos val="nextTo"/>
        <c:txPr>
          <a:bodyPr/>
          <a:lstStyle/>
          <a:p>
            <a:pPr>
              <a:defRPr sz="1000" b="1"/>
            </a:pPr>
            <a:endParaRPr lang="en-US"/>
          </a:p>
        </c:txPr>
        <c:crossAx val="260731392"/>
        <c:crosses val="autoZero"/>
        <c:auto val="1"/>
        <c:lblAlgn val="ctr"/>
        <c:lblOffset val="100"/>
        <c:noMultiLvlLbl val="0"/>
      </c:catAx>
      <c:valAx>
        <c:axId val="260731392"/>
        <c:scaling>
          <c:orientation val="minMax"/>
        </c:scaling>
        <c:delete val="0"/>
        <c:axPos val="l"/>
        <c:numFmt formatCode="#,##0" sourceLinked="0"/>
        <c:majorTickMark val="out"/>
        <c:minorTickMark val="none"/>
        <c:tickLblPos val="nextTo"/>
        <c:crossAx val="280717824"/>
        <c:crosses val="autoZero"/>
        <c:crossBetween val="between"/>
      </c:valAx>
    </c:plotArea>
    <c:legend>
      <c:legendPos val="b"/>
      <c:layout>
        <c:manualLayout>
          <c:xMode val="edge"/>
          <c:yMode val="edge"/>
          <c:x val="0.26766405228758167"/>
          <c:y val="0.92025937499999999"/>
          <c:w val="0.46467189542483661"/>
          <c:h val="7.9740624999999996E-2"/>
        </c:manualLayout>
      </c:layout>
      <c:overlay val="0"/>
      <c:txPr>
        <a:bodyPr/>
        <a:lstStyle/>
        <a:p>
          <a:pPr>
            <a:defRPr sz="1000" b="1"/>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ANALIZA!$B$20</c:f>
              <c:strCache>
                <c:ptCount val="1"/>
                <c:pt idx="0">
                  <c:v>Sun Communications</c:v>
                </c:pt>
              </c:strCache>
            </c:strRef>
          </c:tx>
          <c:spPr>
            <a:solidFill>
              <a:schemeClr val="accent6">
                <a:lumMod val="75000"/>
              </a:schemeClr>
            </a:solidFill>
          </c:spPr>
          <c:invertIfNegative val="0"/>
          <c:dLbls>
            <c:numFmt formatCode="#,##0.00" sourceLinked="0"/>
            <c:spPr>
              <a:noFill/>
              <a:ln>
                <a:noFill/>
              </a:ln>
              <a:effectLst/>
            </c:spPr>
            <c:txPr>
              <a:bodyPr rot="-5400000" vert="horz"/>
              <a:lstStyle/>
              <a:p>
                <a:pPr>
                  <a:defRPr sz="1200"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Internet'!$B$108:$F$108</c:f>
              <c:strCache>
                <c:ptCount val="5"/>
                <c:pt idx="0">
                  <c:v>2012</c:v>
                </c:pt>
                <c:pt idx="1">
                  <c:v>2013</c:v>
                </c:pt>
                <c:pt idx="2">
                  <c:v>2014</c:v>
                </c:pt>
                <c:pt idx="3">
                  <c:v>2015</c:v>
                </c:pt>
                <c:pt idx="4">
                  <c:v>2016</c:v>
                </c:pt>
              </c:strCache>
            </c:strRef>
          </c:cat>
          <c:val>
            <c:numRef>
              <c:f>ANALIZA!$C$20:$G$20</c:f>
              <c:numCache>
                <c:formatCode>#,##0</c:formatCode>
                <c:ptCount val="5"/>
                <c:pt idx="0">
                  <c:v>21601102.100000001</c:v>
                </c:pt>
                <c:pt idx="1">
                  <c:v>29259714.049999997</c:v>
                </c:pt>
                <c:pt idx="2">
                  <c:v>36143725.509999998</c:v>
                </c:pt>
                <c:pt idx="3">
                  <c:v>48648422.410000004</c:v>
                </c:pt>
                <c:pt idx="4">
                  <c:v>58380716.18</c:v>
                </c:pt>
              </c:numCache>
            </c:numRef>
          </c:val>
        </c:ser>
        <c:ser>
          <c:idx val="1"/>
          <c:order val="1"/>
          <c:tx>
            <c:strRef>
              <c:f>ANALIZA!$B$21</c:f>
              <c:strCache>
                <c:ptCount val="1"/>
                <c:pt idx="0">
                  <c:v>Alți furnizori</c:v>
                </c:pt>
              </c:strCache>
            </c:strRef>
          </c:tx>
          <c:spPr>
            <a:pattFill prst="pct90">
              <a:fgClr>
                <a:srgbClr val="00B050"/>
              </a:fgClr>
              <a:bgClr>
                <a:schemeClr val="bg1"/>
              </a:bgClr>
            </a:pattFill>
          </c:spPr>
          <c:invertIfNegative val="0"/>
          <c:dLbls>
            <c:numFmt formatCode="#,##0.00" sourceLinked="0"/>
            <c:spPr>
              <a:noFill/>
              <a:ln>
                <a:noFill/>
              </a:ln>
              <a:effectLst/>
            </c:spPr>
            <c:txPr>
              <a:bodyPr rot="-5400000" vert="horz"/>
              <a:lstStyle/>
              <a:p>
                <a:pPr>
                  <a:defRPr sz="1200"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Internet'!$B$108:$F$108</c:f>
              <c:strCache>
                <c:ptCount val="5"/>
                <c:pt idx="0">
                  <c:v>2012</c:v>
                </c:pt>
                <c:pt idx="1">
                  <c:v>2013</c:v>
                </c:pt>
                <c:pt idx="2">
                  <c:v>2014</c:v>
                </c:pt>
                <c:pt idx="3">
                  <c:v>2015</c:v>
                </c:pt>
                <c:pt idx="4">
                  <c:v>2016</c:v>
                </c:pt>
              </c:strCache>
            </c:strRef>
          </c:cat>
          <c:val>
            <c:numRef>
              <c:f>ANALIZA!$C$21:$G$21</c:f>
              <c:numCache>
                <c:formatCode>#,##0</c:formatCode>
                <c:ptCount val="5"/>
                <c:pt idx="0">
                  <c:v>73647012.729999989</c:v>
                </c:pt>
                <c:pt idx="1">
                  <c:v>87475119.280000046</c:v>
                </c:pt>
                <c:pt idx="2">
                  <c:v>92298973.210000038</c:v>
                </c:pt>
                <c:pt idx="3">
                  <c:v>95162209.449999988</c:v>
                </c:pt>
                <c:pt idx="4">
                  <c:v>106991305.32000005</c:v>
                </c:pt>
              </c:numCache>
            </c:numRef>
          </c:val>
        </c:ser>
        <c:ser>
          <c:idx val="2"/>
          <c:order val="2"/>
          <c:tx>
            <c:strRef>
              <c:f>ANALIZA!$B$19</c:f>
              <c:strCache>
                <c:ptCount val="1"/>
                <c:pt idx="0">
                  <c:v>StarNet*</c:v>
                </c:pt>
              </c:strCache>
            </c:strRef>
          </c:tx>
          <c:spPr>
            <a:pattFill prst="pct90">
              <a:fgClr>
                <a:srgbClr val="FFFF00"/>
              </a:fgClr>
              <a:bgClr>
                <a:schemeClr val="bg1">
                  <a:lumMod val="50000"/>
                </a:schemeClr>
              </a:bgClr>
            </a:pattFill>
          </c:spPr>
          <c:invertIfNegative val="0"/>
          <c:dLbls>
            <c:numFmt formatCode="#,##0.00" sourceLinked="0"/>
            <c:spPr>
              <a:noFill/>
              <a:ln>
                <a:noFill/>
              </a:ln>
              <a:effectLst/>
            </c:spPr>
            <c:txPr>
              <a:bodyPr rot="-5400000" vert="horz"/>
              <a:lstStyle/>
              <a:p>
                <a:pPr>
                  <a:defRPr sz="1200"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Internet'!$B$108:$F$108</c:f>
              <c:strCache>
                <c:ptCount val="5"/>
                <c:pt idx="0">
                  <c:v>2012</c:v>
                </c:pt>
                <c:pt idx="1">
                  <c:v>2013</c:v>
                </c:pt>
                <c:pt idx="2">
                  <c:v>2014</c:v>
                </c:pt>
                <c:pt idx="3">
                  <c:v>2015</c:v>
                </c:pt>
                <c:pt idx="4">
                  <c:v>2016</c:v>
                </c:pt>
              </c:strCache>
            </c:strRef>
          </c:cat>
          <c:val>
            <c:numRef>
              <c:f>ANALIZA!$C$19:$G$19</c:f>
              <c:numCache>
                <c:formatCode>#,##0</c:formatCode>
                <c:ptCount val="5"/>
                <c:pt idx="0">
                  <c:v>120018661</c:v>
                </c:pt>
                <c:pt idx="1">
                  <c:v>153403376</c:v>
                </c:pt>
                <c:pt idx="2">
                  <c:v>208068146</c:v>
                </c:pt>
                <c:pt idx="3">
                  <c:v>236816219.28999999</c:v>
                </c:pt>
                <c:pt idx="4">
                  <c:v>225715217.94999999</c:v>
                </c:pt>
              </c:numCache>
            </c:numRef>
          </c:val>
        </c:ser>
        <c:ser>
          <c:idx val="3"/>
          <c:order val="3"/>
          <c:tx>
            <c:strRef>
              <c:f>ANALIZA!$B$18</c:f>
              <c:strCache>
                <c:ptCount val="1"/>
                <c:pt idx="0">
                  <c:v>Moldtelecom</c:v>
                </c:pt>
              </c:strCache>
            </c:strRef>
          </c:tx>
          <c:spPr>
            <a:solidFill>
              <a:srgbClr val="0070C0"/>
            </a:solidFill>
          </c:spPr>
          <c:invertIfNegative val="0"/>
          <c:dLbls>
            <c:numFmt formatCode="#,##0.00" sourceLinked="0"/>
            <c:spPr>
              <a:noFill/>
              <a:ln>
                <a:noFill/>
              </a:ln>
              <a:effectLst/>
            </c:spPr>
            <c:txPr>
              <a:bodyPr rot="-5400000" vert="horz"/>
              <a:lstStyle/>
              <a:p>
                <a:pPr algn="ctr">
                  <a:defRPr lang="ro-RO" sz="12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Internet'!$B$108:$F$108</c:f>
              <c:strCache>
                <c:ptCount val="5"/>
                <c:pt idx="0">
                  <c:v>2012</c:v>
                </c:pt>
                <c:pt idx="1">
                  <c:v>2013</c:v>
                </c:pt>
                <c:pt idx="2">
                  <c:v>2014</c:v>
                </c:pt>
                <c:pt idx="3">
                  <c:v>2015</c:v>
                </c:pt>
                <c:pt idx="4">
                  <c:v>2016</c:v>
                </c:pt>
              </c:strCache>
            </c:strRef>
          </c:cat>
          <c:val>
            <c:numRef>
              <c:f>ANALIZA!$C$18:$G$18</c:f>
              <c:numCache>
                <c:formatCode>#,##0</c:formatCode>
                <c:ptCount val="5"/>
                <c:pt idx="0">
                  <c:v>431983224.17000002</c:v>
                </c:pt>
                <c:pt idx="1">
                  <c:v>524751790.66999996</c:v>
                </c:pt>
                <c:pt idx="2">
                  <c:v>603339155.27999997</c:v>
                </c:pt>
                <c:pt idx="3">
                  <c:v>669823148.85000002</c:v>
                </c:pt>
                <c:pt idx="4">
                  <c:v>714142760.54999995</c:v>
                </c:pt>
              </c:numCache>
            </c:numRef>
          </c:val>
        </c:ser>
        <c:dLbls>
          <c:dLblPos val="ctr"/>
          <c:showLegendKey val="0"/>
          <c:showVal val="1"/>
          <c:showCatName val="0"/>
          <c:showSerName val="0"/>
          <c:showPercent val="0"/>
          <c:showBubbleSize val="0"/>
        </c:dLbls>
        <c:gapWidth val="50"/>
        <c:axId val="294467584"/>
        <c:axId val="260733696"/>
      </c:barChart>
      <c:lineChart>
        <c:grouping val="standard"/>
        <c:varyColors val="0"/>
        <c:ser>
          <c:idx val="4"/>
          <c:order val="4"/>
          <c:tx>
            <c:strRef>
              <c:f>ANALIZA!$B$22</c:f>
              <c:strCache>
                <c:ptCount val="1"/>
                <c:pt idx="0">
                  <c:v>Total</c:v>
                </c:pt>
              </c:strCache>
            </c:strRef>
          </c:tx>
          <c:spPr>
            <a:ln w="28575"/>
          </c:spPr>
          <c:marker>
            <c:symbol val="triangle"/>
            <c:size val="5"/>
            <c:spPr>
              <a:solidFill>
                <a:schemeClr val="accent6">
                  <a:lumMod val="75000"/>
                </a:schemeClr>
              </a:solidFill>
              <a:ln w="28575"/>
            </c:spPr>
          </c:marker>
          <c:dLbls>
            <c:numFmt formatCode="#,##0.00" sourceLinked="0"/>
            <c:spPr>
              <a:noFill/>
              <a:ln>
                <a:noFill/>
              </a:ln>
              <a:effectLst/>
            </c:spPr>
            <c:txPr>
              <a:bodyPr/>
              <a:lstStyle/>
              <a:p>
                <a:pPr>
                  <a:defRPr sz="1300" b="1" u="sng"/>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 - Pivot Internet'!$B$232:$F$232</c:f>
              <c:numCache>
                <c:formatCode>#,##0</c:formatCode>
                <c:ptCount val="5"/>
                <c:pt idx="0">
                  <c:v>647247988.028</c:v>
                </c:pt>
                <c:pt idx="1">
                  <c:v>794893404.14407396</c:v>
                </c:pt>
                <c:pt idx="2">
                  <c:v>939854268.25999999</c:v>
                </c:pt>
                <c:pt idx="3">
                  <c:v>1050454288.8700001</c:v>
                </c:pt>
                <c:pt idx="4">
                  <c:v>1105230398.2</c:v>
                </c:pt>
              </c:numCache>
            </c:numRef>
          </c:val>
          <c:smooth val="0"/>
        </c:ser>
        <c:dLbls>
          <c:showLegendKey val="0"/>
          <c:showVal val="0"/>
          <c:showCatName val="0"/>
          <c:showSerName val="0"/>
          <c:showPercent val="0"/>
          <c:showBubbleSize val="0"/>
        </c:dLbls>
        <c:marker val="1"/>
        <c:smooth val="0"/>
        <c:axId val="294468096"/>
        <c:axId val="260734272"/>
      </c:lineChart>
      <c:catAx>
        <c:axId val="294467584"/>
        <c:scaling>
          <c:orientation val="minMax"/>
        </c:scaling>
        <c:delete val="0"/>
        <c:axPos val="b"/>
        <c:numFmt formatCode="General" sourceLinked="0"/>
        <c:majorTickMark val="out"/>
        <c:minorTickMark val="none"/>
        <c:tickLblPos val="nextTo"/>
        <c:txPr>
          <a:bodyPr/>
          <a:lstStyle/>
          <a:p>
            <a:pPr>
              <a:defRPr b="1"/>
            </a:pPr>
            <a:endParaRPr lang="en-US"/>
          </a:p>
        </c:txPr>
        <c:crossAx val="260733696"/>
        <c:crosses val="autoZero"/>
        <c:auto val="1"/>
        <c:lblAlgn val="ctr"/>
        <c:lblOffset val="100"/>
        <c:noMultiLvlLbl val="0"/>
      </c:catAx>
      <c:valAx>
        <c:axId val="260733696"/>
        <c:scaling>
          <c:orientation val="minMax"/>
        </c:scaling>
        <c:delete val="0"/>
        <c:axPos val="l"/>
        <c:numFmt formatCode="#,##0" sourceLinked="1"/>
        <c:majorTickMark val="out"/>
        <c:minorTickMark val="none"/>
        <c:tickLblPos val="nextTo"/>
        <c:crossAx val="294467584"/>
        <c:crosses val="autoZero"/>
        <c:crossBetween val="between"/>
        <c:dispUnits>
          <c:builtInUnit val="millions"/>
        </c:dispUnits>
      </c:valAx>
      <c:valAx>
        <c:axId val="260734272"/>
        <c:scaling>
          <c:orientation val="minMax"/>
        </c:scaling>
        <c:delete val="0"/>
        <c:axPos val="r"/>
        <c:numFmt formatCode="#,##0" sourceLinked="1"/>
        <c:majorTickMark val="out"/>
        <c:minorTickMark val="none"/>
        <c:tickLblPos val="nextTo"/>
        <c:crossAx val="294468096"/>
        <c:crosses val="max"/>
        <c:crossBetween val="between"/>
        <c:dispUnits>
          <c:builtInUnit val="millions"/>
        </c:dispUnits>
      </c:valAx>
      <c:catAx>
        <c:axId val="294468096"/>
        <c:scaling>
          <c:orientation val="minMax"/>
        </c:scaling>
        <c:delete val="1"/>
        <c:axPos val="b"/>
        <c:majorTickMark val="out"/>
        <c:minorTickMark val="none"/>
        <c:tickLblPos val="nextTo"/>
        <c:crossAx val="260734272"/>
        <c:crosses val="autoZero"/>
        <c:auto val="1"/>
        <c:lblAlgn val="ctr"/>
        <c:lblOffset val="100"/>
        <c:noMultiLvlLbl val="0"/>
      </c:catAx>
      <c:spPr>
        <a:noFill/>
        <a:ln w="25400">
          <a:noFill/>
        </a:ln>
      </c:spPr>
    </c:plotArea>
    <c:legend>
      <c:legendPos val="b"/>
      <c:overlay val="0"/>
      <c:txPr>
        <a:bodyPr/>
        <a:lstStyle/>
        <a:p>
          <a:pPr>
            <a:defRPr b="1"/>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stacked"/>
        <c:varyColors val="0"/>
        <c:ser>
          <c:idx val="1"/>
          <c:order val="0"/>
          <c:tx>
            <c:strRef>
              <c:f>ANALIZA!$D$26</c:f>
              <c:strCache>
                <c:ptCount val="1"/>
                <c:pt idx="0">
                  <c:v>Moldtelecom</c:v>
                </c:pt>
              </c:strCache>
            </c:strRef>
          </c:tx>
          <c:spPr>
            <a:solidFill>
              <a:schemeClr val="accent1"/>
            </a:solidFill>
          </c:spPr>
          <c:invertIfNegative val="0"/>
          <c:dLbls>
            <c:numFmt formatCode="0.0%" sourceLinked="0"/>
            <c:spPr>
              <a:noFill/>
              <a:ln>
                <a:noFill/>
              </a:ln>
              <a:effectLst/>
            </c:spPr>
            <c:txPr>
              <a:bodyPr rot="-5400000" vert="horz"/>
              <a:lstStyle/>
              <a:p>
                <a:pPr>
                  <a:defRPr sz="12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ANALIZA!$E$25:$I$25</c:f>
              <c:numCache>
                <c:formatCode>General</c:formatCode>
                <c:ptCount val="5"/>
                <c:pt idx="0">
                  <c:v>2012</c:v>
                </c:pt>
                <c:pt idx="1">
                  <c:v>2013</c:v>
                </c:pt>
                <c:pt idx="2">
                  <c:v>2014</c:v>
                </c:pt>
                <c:pt idx="3">
                  <c:v>2015</c:v>
                </c:pt>
                <c:pt idx="4">
                  <c:v>2016</c:v>
                </c:pt>
              </c:numCache>
            </c:numRef>
          </c:cat>
          <c:val>
            <c:numRef>
              <c:f>ANALIZA!$E$26:$I$26</c:f>
              <c:numCache>
                <c:formatCode>0.00%</c:formatCode>
                <c:ptCount val="5"/>
                <c:pt idx="0">
                  <c:v>0.66741324707609118</c:v>
                </c:pt>
                <c:pt idx="1">
                  <c:v>0.66015648790398662</c:v>
                </c:pt>
                <c:pt idx="2">
                  <c:v>0.64195260443687818</c:v>
                </c:pt>
                <c:pt idx="3">
                  <c:v>0.637653528344995</c:v>
                </c:pt>
                <c:pt idx="4">
                  <c:v>0.64614854876360572</c:v>
                </c:pt>
              </c:numCache>
            </c:numRef>
          </c:val>
        </c:ser>
        <c:ser>
          <c:idx val="2"/>
          <c:order val="1"/>
          <c:tx>
            <c:strRef>
              <c:f>ANALIZA!$D$27</c:f>
              <c:strCache>
                <c:ptCount val="1"/>
                <c:pt idx="0">
                  <c:v>StarNet*</c:v>
                </c:pt>
              </c:strCache>
            </c:strRef>
          </c:tx>
          <c:spPr>
            <a:pattFill prst="pct90">
              <a:fgClr>
                <a:srgbClr val="FFFF00"/>
              </a:fgClr>
              <a:bgClr>
                <a:schemeClr val="bg1">
                  <a:lumMod val="50000"/>
                </a:schemeClr>
              </a:bgClr>
            </a:pattFill>
          </c:spPr>
          <c:invertIfNegative val="0"/>
          <c:dLbls>
            <c:spPr>
              <a:noFill/>
              <a:ln>
                <a:noFill/>
              </a:ln>
              <a:effectLst/>
            </c:spPr>
            <c:txPr>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ANALIZA!$E$25:$I$25</c:f>
              <c:numCache>
                <c:formatCode>General</c:formatCode>
                <c:ptCount val="5"/>
                <c:pt idx="0">
                  <c:v>2012</c:v>
                </c:pt>
                <c:pt idx="1">
                  <c:v>2013</c:v>
                </c:pt>
                <c:pt idx="2">
                  <c:v>2014</c:v>
                </c:pt>
                <c:pt idx="3">
                  <c:v>2015</c:v>
                </c:pt>
                <c:pt idx="4">
                  <c:v>2016</c:v>
                </c:pt>
              </c:numCache>
            </c:numRef>
          </c:cat>
          <c:val>
            <c:numRef>
              <c:f>ANALIZA!$E$27:$I$27</c:f>
              <c:numCache>
                <c:formatCode>0.00%</c:formatCode>
                <c:ptCount val="5"/>
                <c:pt idx="0">
                  <c:v>0.18542859945925066</c:v>
                </c:pt>
                <c:pt idx="1">
                  <c:v>0.19298692397690245</c:v>
                </c:pt>
                <c:pt idx="2">
                  <c:v>0.22138441879023249</c:v>
                </c:pt>
                <c:pt idx="3">
                  <c:v>0.2254426381931553</c:v>
                </c:pt>
                <c:pt idx="4">
                  <c:v>0.20422465726590844</c:v>
                </c:pt>
              </c:numCache>
            </c:numRef>
          </c:val>
        </c:ser>
        <c:ser>
          <c:idx val="4"/>
          <c:order val="2"/>
          <c:tx>
            <c:strRef>
              <c:f>ANALIZA!$D$29</c:f>
              <c:strCache>
                <c:ptCount val="1"/>
                <c:pt idx="0">
                  <c:v>Alți furnizori</c:v>
                </c:pt>
              </c:strCache>
            </c:strRef>
          </c:tx>
          <c:spPr>
            <a:solidFill>
              <a:srgbClr val="00B050"/>
            </a:solidFill>
          </c:spPr>
          <c:invertIfNegative val="0"/>
          <c:dLbls>
            <c:numFmt formatCode="0.0%" sourceLinked="0"/>
            <c:spPr>
              <a:noFill/>
              <a:ln>
                <a:noFill/>
              </a:ln>
              <a:effectLst/>
            </c:spPr>
            <c:txPr>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ANALIZA!$E$25:$I$25</c:f>
              <c:numCache>
                <c:formatCode>General</c:formatCode>
                <c:ptCount val="5"/>
                <c:pt idx="0">
                  <c:v>2012</c:v>
                </c:pt>
                <c:pt idx="1">
                  <c:v>2013</c:v>
                </c:pt>
                <c:pt idx="2">
                  <c:v>2014</c:v>
                </c:pt>
                <c:pt idx="3">
                  <c:v>2015</c:v>
                </c:pt>
                <c:pt idx="4">
                  <c:v>2016</c:v>
                </c:pt>
              </c:numCache>
            </c:numRef>
          </c:cat>
          <c:val>
            <c:numRef>
              <c:f>ANALIZA!$E$29:$I$29</c:f>
              <c:numCache>
                <c:formatCode>0.00%</c:formatCode>
                <c:ptCount val="5"/>
                <c:pt idx="0">
                  <c:v>0.11378449243723443</c:v>
                </c:pt>
                <c:pt idx="1">
                  <c:v>0.110046823183082</c:v>
                </c:pt>
                <c:pt idx="2">
                  <c:v>9.8206068213012754E-2</c:v>
                </c:pt>
                <c:pt idx="3">
                  <c:v>9.0591850587843289E-2</c:v>
                </c:pt>
                <c:pt idx="4">
                  <c:v>9.6804561331125694E-2</c:v>
                </c:pt>
              </c:numCache>
            </c:numRef>
          </c:val>
        </c:ser>
        <c:ser>
          <c:idx val="3"/>
          <c:order val="3"/>
          <c:tx>
            <c:strRef>
              <c:f>ANALIZA!$D$28</c:f>
              <c:strCache>
                <c:ptCount val="1"/>
                <c:pt idx="0">
                  <c:v>Sun Communications</c:v>
                </c:pt>
              </c:strCache>
            </c:strRef>
          </c:tx>
          <c:spPr>
            <a:pattFill prst="pct90">
              <a:fgClr>
                <a:schemeClr val="accent6">
                  <a:lumMod val="75000"/>
                </a:schemeClr>
              </a:fgClr>
              <a:bgClr>
                <a:schemeClr val="bg1"/>
              </a:bgClr>
            </a:pattFill>
          </c:spPr>
          <c:invertIfNegative val="0"/>
          <c:dLbls>
            <c:numFmt formatCode="0.0%" sourceLinked="0"/>
            <c:spPr>
              <a:noFill/>
              <a:ln>
                <a:noFill/>
              </a:ln>
              <a:effectLst/>
            </c:spPr>
            <c:txPr>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ANALIZA!$E$25:$I$25</c:f>
              <c:numCache>
                <c:formatCode>General</c:formatCode>
                <c:ptCount val="5"/>
                <c:pt idx="0">
                  <c:v>2012</c:v>
                </c:pt>
                <c:pt idx="1">
                  <c:v>2013</c:v>
                </c:pt>
                <c:pt idx="2">
                  <c:v>2014</c:v>
                </c:pt>
                <c:pt idx="3">
                  <c:v>2015</c:v>
                </c:pt>
                <c:pt idx="4">
                  <c:v>2016</c:v>
                </c:pt>
              </c:numCache>
            </c:numRef>
          </c:cat>
          <c:val>
            <c:numRef>
              <c:f>ANALIZA!$E$28:$I$28</c:f>
              <c:numCache>
                <c:formatCode>0.00%</c:formatCode>
                <c:ptCount val="5"/>
                <c:pt idx="0">
                  <c:v>3.3373661027423715E-2</c:v>
                </c:pt>
                <c:pt idx="1">
                  <c:v>3.6809764936028881E-2</c:v>
                </c:pt>
                <c:pt idx="2">
                  <c:v>3.8456908559876574E-2</c:v>
                </c:pt>
                <c:pt idx="3">
                  <c:v>4.6311982874006383E-2</c:v>
                </c:pt>
                <c:pt idx="4">
                  <c:v>5.2822232639360131E-2</c:v>
                </c:pt>
              </c:numCache>
            </c:numRef>
          </c:val>
        </c:ser>
        <c:dLbls>
          <c:dLblPos val="ctr"/>
          <c:showLegendKey val="0"/>
          <c:showVal val="1"/>
          <c:showCatName val="0"/>
          <c:showSerName val="0"/>
          <c:showPercent val="0"/>
          <c:showBubbleSize val="0"/>
        </c:dLbls>
        <c:gapWidth val="50"/>
        <c:overlap val="100"/>
        <c:axId val="260648960"/>
        <c:axId val="297062336"/>
      </c:barChart>
      <c:catAx>
        <c:axId val="260648960"/>
        <c:scaling>
          <c:orientation val="minMax"/>
        </c:scaling>
        <c:delete val="0"/>
        <c:axPos val="b"/>
        <c:numFmt formatCode="General" sourceLinked="0"/>
        <c:majorTickMark val="out"/>
        <c:minorTickMark val="none"/>
        <c:tickLblPos val="nextTo"/>
        <c:txPr>
          <a:bodyPr/>
          <a:lstStyle/>
          <a:p>
            <a:pPr>
              <a:defRPr sz="1000" b="1"/>
            </a:pPr>
            <a:endParaRPr lang="en-US"/>
          </a:p>
        </c:txPr>
        <c:crossAx val="297062336"/>
        <c:crosses val="autoZero"/>
        <c:auto val="1"/>
        <c:lblAlgn val="ctr"/>
        <c:lblOffset val="100"/>
        <c:noMultiLvlLbl val="0"/>
      </c:catAx>
      <c:valAx>
        <c:axId val="297062336"/>
        <c:scaling>
          <c:orientation val="minMax"/>
          <c:max val="1"/>
        </c:scaling>
        <c:delete val="0"/>
        <c:axPos val="l"/>
        <c:numFmt formatCode="0%" sourceLinked="0"/>
        <c:majorTickMark val="out"/>
        <c:minorTickMark val="none"/>
        <c:tickLblPos val="nextTo"/>
        <c:crossAx val="260648960"/>
        <c:crosses val="autoZero"/>
        <c:crossBetween val="between"/>
        <c:majorUnit val="0.2"/>
      </c:valAx>
    </c:plotArea>
    <c:legend>
      <c:legendPos val="b"/>
      <c:overlay val="0"/>
      <c:txPr>
        <a:bodyPr/>
        <a:lstStyle/>
        <a:p>
          <a:pPr>
            <a:defRPr sz="1000" b="1"/>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areaChart>
        <c:grouping val="stacked"/>
        <c:varyColors val="0"/>
        <c:ser>
          <c:idx val="0"/>
          <c:order val="0"/>
          <c:tx>
            <c:strRef>
              <c:f>'A - Pivot Internet'!$B$497</c:f>
              <c:strCache>
                <c:ptCount val="1"/>
                <c:pt idx="0">
                  <c:v>până la 2 Mbps</c:v>
                </c:pt>
              </c:strCache>
            </c:strRef>
          </c:tx>
          <c:dLbls>
            <c:dLbl>
              <c:idx val="0"/>
              <c:delete val="1"/>
              <c:extLst>
                <c:ext xmlns:c15="http://schemas.microsoft.com/office/drawing/2012/chart" uri="{CE6537A1-D6FC-4f65-9D91-7224C49458BB}"/>
              </c:extLst>
            </c:dLbl>
            <c:dLbl>
              <c:idx val="2"/>
              <c:layout>
                <c:manualLayout>
                  <c:x val="-3.7296037296037296E-2"/>
                  <c:y val="0"/>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Internet'!$A$498:$A$502</c:f>
              <c:strCache>
                <c:ptCount val="5"/>
                <c:pt idx="0">
                  <c:v>2012</c:v>
                </c:pt>
                <c:pt idx="1">
                  <c:v>2013</c:v>
                </c:pt>
                <c:pt idx="2">
                  <c:v>2014</c:v>
                </c:pt>
                <c:pt idx="3">
                  <c:v>2015</c:v>
                </c:pt>
                <c:pt idx="4">
                  <c:v>2016</c:v>
                </c:pt>
              </c:strCache>
            </c:strRef>
          </c:cat>
          <c:val>
            <c:numRef>
              <c:f>'A - Pivot Internet'!$I$498:$I$502</c:f>
              <c:numCache>
                <c:formatCode>0.00%</c:formatCode>
                <c:ptCount val="5"/>
                <c:pt idx="0">
                  <c:v>0.134170646683239</c:v>
                </c:pt>
                <c:pt idx="1">
                  <c:v>0.12260254303709189</c:v>
                </c:pt>
                <c:pt idx="2">
                  <c:v>8.1242055132160831E-2</c:v>
                </c:pt>
                <c:pt idx="3">
                  <c:v>4.4798042084460005E-2</c:v>
                </c:pt>
                <c:pt idx="4">
                  <c:v>4.2749395974387476E-2</c:v>
                </c:pt>
              </c:numCache>
            </c:numRef>
          </c:val>
        </c:ser>
        <c:ser>
          <c:idx val="1"/>
          <c:order val="1"/>
          <c:tx>
            <c:strRef>
              <c:f>'A - Pivot Internet'!$C$497</c:f>
              <c:strCache>
                <c:ptCount val="1"/>
                <c:pt idx="0">
                  <c:v>2 - 10 Mbps</c:v>
                </c:pt>
              </c:strCache>
            </c:strRef>
          </c:tx>
          <c:dLbls>
            <c:dLbl>
              <c:idx val="0"/>
              <c:delete val="1"/>
              <c:extLst>
                <c:ext xmlns:c15="http://schemas.microsoft.com/office/drawing/2012/chart" uri="{CE6537A1-D6FC-4f65-9D91-7224C49458BB}"/>
              </c:extLst>
            </c:dLbl>
            <c:dLbl>
              <c:idx val="2"/>
              <c:layout>
                <c:manualLayout>
                  <c:x val="-4.195804195804196E-2"/>
                  <c:y val="0"/>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Internet'!$A$498:$A$502</c:f>
              <c:strCache>
                <c:ptCount val="5"/>
                <c:pt idx="0">
                  <c:v>2012</c:v>
                </c:pt>
                <c:pt idx="1">
                  <c:v>2013</c:v>
                </c:pt>
                <c:pt idx="2">
                  <c:v>2014</c:v>
                </c:pt>
                <c:pt idx="3">
                  <c:v>2015</c:v>
                </c:pt>
                <c:pt idx="4">
                  <c:v>2016</c:v>
                </c:pt>
              </c:strCache>
            </c:strRef>
          </c:cat>
          <c:val>
            <c:numRef>
              <c:f>'A - Pivot Internet'!$J$498:$J$502</c:f>
              <c:numCache>
                <c:formatCode>0.00%</c:formatCode>
                <c:ptCount val="5"/>
                <c:pt idx="0">
                  <c:v>0.44173473159348026</c:v>
                </c:pt>
                <c:pt idx="1">
                  <c:v>0.39476019492731251</c:v>
                </c:pt>
                <c:pt idx="2">
                  <c:v>0.32490058346910478</c:v>
                </c:pt>
                <c:pt idx="3">
                  <c:v>0.10063425432985822</c:v>
                </c:pt>
                <c:pt idx="4">
                  <c:v>5.8616666513554981E-2</c:v>
                </c:pt>
              </c:numCache>
            </c:numRef>
          </c:val>
        </c:ser>
        <c:ser>
          <c:idx val="2"/>
          <c:order val="2"/>
          <c:tx>
            <c:strRef>
              <c:f>'A - Pivot Internet'!$D$497</c:f>
              <c:strCache>
                <c:ptCount val="1"/>
                <c:pt idx="0">
                  <c:v>10 - 30 Mbps</c:v>
                </c:pt>
              </c:strCache>
            </c:strRef>
          </c:tx>
          <c:dLbls>
            <c:dLbl>
              <c:idx val="0"/>
              <c:delete val="1"/>
              <c:extLst>
                <c:ext xmlns:c15="http://schemas.microsoft.com/office/drawing/2012/chart" uri="{CE6537A1-D6FC-4f65-9D91-7224C49458BB}"/>
              </c:extLst>
            </c:dLbl>
            <c:dLbl>
              <c:idx val="2"/>
              <c:layout>
                <c:manualLayout>
                  <c:x val="-4.195804195804196E-2"/>
                  <c:y val="-4.8134777376654635E-3"/>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nchor="ctr" anchorCtr="0"/>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Internet'!$A$498:$A$502</c:f>
              <c:strCache>
                <c:ptCount val="5"/>
                <c:pt idx="0">
                  <c:v>2012</c:v>
                </c:pt>
                <c:pt idx="1">
                  <c:v>2013</c:v>
                </c:pt>
                <c:pt idx="2">
                  <c:v>2014</c:v>
                </c:pt>
                <c:pt idx="3">
                  <c:v>2015</c:v>
                </c:pt>
                <c:pt idx="4">
                  <c:v>2016</c:v>
                </c:pt>
              </c:strCache>
            </c:strRef>
          </c:cat>
          <c:val>
            <c:numRef>
              <c:f>'A - Pivot Internet'!$K$498:$K$502</c:f>
              <c:numCache>
                <c:formatCode>0.00%</c:formatCode>
                <c:ptCount val="5"/>
                <c:pt idx="0">
                  <c:v>0.14721108944951358</c:v>
                </c:pt>
                <c:pt idx="1">
                  <c:v>0.18556365473596936</c:v>
                </c:pt>
                <c:pt idx="2">
                  <c:v>0.18845475180183138</c:v>
                </c:pt>
                <c:pt idx="3">
                  <c:v>0.33743402759159535</c:v>
                </c:pt>
                <c:pt idx="4">
                  <c:v>0.3527160482485554</c:v>
                </c:pt>
              </c:numCache>
            </c:numRef>
          </c:val>
        </c:ser>
        <c:ser>
          <c:idx val="3"/>
          <c:order val="3"/>
          <c:tx>
            <c:strRef>
              <c:f>'A - Pivot Internet'!$E$497</c:f>
              <c:strCache>
                <c:ptCount val="1"/>
                <c:pt idx="0">
                  <c:v>30 - 100 Mbps</c:v>
                </c:pt>
              </c:strCache>
            </c:strRef>
          </c:tx>
          <c:dLbls>
            <c:dLbl>
              <c:idx val="0"/>
              <c:delete val="1"/>
              <c:extLst>
                <c:ext xmlns:c15="http://schemas.microsoft.com/office/drawing/2012/chart" uri="{CE6537A1-D6FC-4f65-9D91-7224C49458BB}"/>
              </c:extLst>
            </c:dLbl>
            <c:dLbl>
              <c:idx val="2"/>
              <c:layout>
                <c:manualLayout>
                  <c:x val="-4.4289044289044288E-2"/>
                  <c:y val="0"/>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w="0">
                <a:noFill/>
              </a:ln>
              <a:effectLst/>
            </c:spPr>
            <c:txPr>
              <a:bodyPr/>
              <a:lstStyle/>
              <a:p>
                <a:pPr>
                  <a:defRPr sz="1200" b="1">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Internet'!$A$498:$A$502</c:f>
              <c:strCache>
                <c:ptCount val="5"/>
                <c:pt idx="0">
                  <c:v>2012</c:v>
                </c:pt>
                <c:pt idx="1">
                  <c:v>2013</c:v>
                </c:pt>
                <c:pt idx="2">
                  <c:v>2014</c:v>
                </c:pt>
                <c:pt idx="3">
                  <c:v>2015</c:v>
                </c:pt>
                <c:pt idx="4">
                  <c:v>2016</c:v>
                </c:pt>
              </c:strCache>
            </c:strRef>
          </c:cat>
          <c:val>
            <c:numRef>
              <c:f>'A - Pivot Internet'!$L$498:$L$502</c:f>
              <c:numCache>
                <c:formatCode>0.00%</c:formatCode>
                <c:ptCount val="5"/>
                <c:pt idx="0">
                  <c:v>0.27262449177785347</c:v>
                </c:pt>
                <c:pt idx="1">
                  <c:v>0.27722245852828581</c:v>
                </c:pt>
                <c:pt idx="2">
                  <c:v>0.36503124235353096</c:v>
                </c:pt>
                <c:pt idx="3">
                  <c:v>0.45963522715956706</c:v>
                </c:pt>
                <c:pt idx="4">
                  <c:v>0.48959238606193672</c:v>
                </c:pt>
              </c:numCache>
            </c:numRef>
          </c:val>
        </c:ser>
        <c:ser>
          <c:idx val="4"/>
          <c:order val="4"/>
          <c:tx>
            <c:strRef>
              <c:f>'A - Pivot Internet'!$F$497</c:f>
              <c:strCache>
                <c:ptCount val="1"/>
                <c:pt idx="0">
                  <c:v>peste 100 Mbps</c:v>
                </c:pt>
              </c:strCache>
            </c:strRef>
          </c:tx>
          <c:dLbls>
            <c:dLbl>
              <c:idx val="0"/>
              <c:delete val="1"/>
              <c:extLst>
                <c:ext xmlns:c15="http://schemas.microsoft.com/office/drawing/2012/chart" uri="{CE6537A1-D6FC-4f65-9D91-7224C49458BB}"/>
              </c:extLst>
            </c:dLbl>
            <c:dLbl>
              <c:idx val="2"/>
              <c:layout>
                <c:manualLayout>
                  <c:x val="-3.7296037296037296E-2"/>
                  <c:y val="1.1023622047244094E-2"/>
                </c:manualLayout>
              </c:layout>
              <c:numFmt formatCode="0%" sourceLinked="0"/>
              <c:spPr>
                <a:noFill/>
                <a:ln w="0">
                  <a:noFill/>
                </a:ln>
                <a:effectLst/>
              </c:spPr>
              <c:txPr>
                <a:bodyPr/>
                <a:lstStyle/>
                <a:p>
                  <a:pPr>
                    <a:defRPr sz="1200" b="1"/>
                  </a:pPr>
                  <a:endParaRPr lang="en-US"/>
                </a:p>
              </c:txPr>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 - Pivot Internet'!$A$498:$A$502</c:f>
              <c:strCache>
                <c:ptCount val="5"/>
                <c:pt idx="0">
                  <c:v>2012</c:v>
                </c:pt>
                <c:pt idx="1">
                  <c:v>2013</c:v>
                </c:pt>
                <c:pt idx="2">
                  <c:v>2014</c:v>
                </c:pt>
                <c:pt idx="3">
                  <c:v>2015</c:v>
                </c:pt>
                <c:pt idx="4">
                  <c:v>2016</c:v>
                </c:pt>
              </c:strCache>
            </c:strRef>
          </c:cat>
          <c:val>
            <c:numRef>
              <c:f>'A - Pivot Internet'!$M$498:$M$502</c:f>
              <c:numCache>
                <c:formatCode>0.00%</c:formatCode>
                <c:ptCount val="5"/>
                <c:pt idx="0">
                  <c:v>4.259040495913689E-3</c:v>
                </c:pt>
                <c:pt idx="1">
                  <c:v>1.9851148771340418E-2</c:v>
                </c:pt>
                <c:pt idx="2">
                  <c:v>4.0371367243372064E-2</c:v>
                </c:pt>
                <c:pt idx="3">
                  <c:v>5.7498448834519371E-2</c:v>
                </c:pt>
                <c:pt idx="4">
                  <c:v>5.6325503201565416E-2</c:v>
                </c:pt>
              </c:numCache>
            </c:numRef>
          </c:val>
        </c:ser>
        <c:dLbls>
          <c:showLegendKey val="0"/>
          <c:showVal val="1"/>
          <c:showCatName val="0"/>
          <c:showSerName val="0"/>
          <c:showPercent val="0"/>
          <c:showBubbleSize val="0"/>
        </c:dLbls>
        <c:axId val="261976576"/>
        <c:axId val="297064064"/>
      </c:areaChart>
      <c:catAx>
        <c:axId val="261976576"/>
        <c:scaling>
          <c:orientation val="minMax"/>
        </c:scaling>
        <c:delete val="0"/>
        <c:axPos val="b"/>
        <c:numFmt formatCode="General" sourceLinked="1"/>
        <c:majorTickMark val="out"/>
        <c:minorTickMark val="none"/>
        <c:tickLblPos val="nextTo"/>
        <c:txPr>
          <a:bodyPr/>
          <a:lstStyle/>
          <a:p>
            <a:pPr>
              <a:defRPr b="1"/>
            </a:pPr>
            <a:endParaRPr lang="en-US"/>
          </a:p>
        </c:txPr>
        <c:crossAx val="297064064"/>
        <c:crosses val="autoZero"/>
        <c:auto val="1"/>
        <c:lblAlgn val="ctr"/>
        <c:lblOffset val="100"/>
        <c:noMultiLvlLbl val="0"/>
      </c:catAx>
      <c:valAx>
        <c:axId val="297064064"/>
        <c:scaling>
          <c:orientation val="minMax"/>
          <c:max val="1"/>
        </c:scaling>
        <c:delete val="0"/>
        <c:axPos val="l"/>
        <c:majorGridlines>
          <c:spPr>
            <a:ln>
              <a:noFill/>
            </a:ln>
          </c:spPr>
        </c:majorGridlines>
        <c:numFmt formatCode="0%" sourceLinked="0"/>
        <c:majorTickMark val="out"/>
        <c:minorTickMark val="none"/>
        <c:tickLblPos val="nextTo"/>
        <c:crossAx val="261976576"/>
        <c:crosses val="autoZero"/>
        <c:crossBetween val="midCat"/>
        <c:majorUnit val="0.2"/>
      </c:valAx>
      <c:spPr>
        <a:ln>
          <a:solidFill>
            <a:schemeClr val="accent1"/>
          </a:solidFill>
        </a:ln>
      </c:spPr>
    </c:plotArea>
    <c:legend>
      <c:legendPos val="b"/>
      <c:overlay val="0"/>
      <c:txPr>
        <a:bodyPr/>
        <a:lstStyle/>
        <a:p>
          <a:pPr>
            <a:defRPr sz="1000" b="1" baseline="0">
              <a:latin typeface="Calibri" panose="020F0502020204030204" pitchFamily="34" charset="0"/>
            </a:defRPr>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Sheet1!$B$19</c:f>
              <c:strCache>
                <c:ptCount val="1"/>
                <c:pt idx="0">
                  <c:v>Moldtelecom </c:v>
                </c:pt>
              </c:strCache>
            </c:strRef>
          </c:tx>
          <c:invertIfNegative val="0"/>
          <c:dPt>
            <c:idx val="1"/>
            <c:invertIfNegative val="0"/>
            <c:bubble3D val="0"/>
          </c:dPt>
          <c:dLbls>
            <c:dLbl>
              <c:idx val="0"/>
              <c:layout>
                <c:manualLayout>
                  <c:x val="-2.1915651477625375E-7"/>
                  <c:y val="9.2592592592592587E-3"/>
                </c:manualLayout>
              </c:layout>
              <c:showLegendKey val="0"/>
              <c:showVal val="1"/>
              <c:showCatName val="0"/>
              <c:showSerName val="0"/>
              <c:showPercent val="0"/>
              <c:showBubbleSize val="0"/>
            </c:dLbl>
            <c:dLbl>
              <c:idx val="1"/>
              <c:layout>
                <c:manualLayout>
                  <c:x val="-2.7835068943352715E-3"/>
                  <c:y val="1.3888524351122776E-2"/>
                </c:manualLayout>
              </c:layout>
              <c:showLegendKey val="0"/>
              <c:showVal val="1"/>
              <c:showCatName val="0"/>
              <c:showSerName val="0"/>
              <c:showPercent val="0"/>
              <c:showBubbleSize val="0"/>
            </c:dLbl>
            <c:dLbl>
              <c:idx val="2"/>
              <c:layout>
                <c:manualLayout>
                  <c:x val="-5.1026352399264081E-17"/>
                  <c:y val="1.8518518518518517E-2"/>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Sheet1!$C$18:$E$18</c:f>
              <c:numCache>
                <c:formatCode>General</c:formatCode>
                <c:ptCount val="3"/>
                <c:pt idx="0">
                  <c:v>2014</c:v>
                </c:pt>
                <c:pt idx="1">
                  <c:v>2015</c:v>
                </c:pt>
                <c:pt idx="2">
                  <c:v>2016</c:v>
                </c:pt>
              </c:numCache>
            </c:numRef>
          </c:cat>
          <c:val>
            <c:numRef>
              <c:f>Sheet1!$C$19:$E$19</c:f>
              <c:numCache>
                <c:formatCode>0.00%</c:formatCode>
                <c:ptCount val="3"/>
                <c:pt idx="0">
                  <c:v>0.9000603864734299</c:v>
                </c:pt>
                <c:pt idx="1">
                  <c:v>0.89407593440685473</c:v>
                </c:pt>
                <c:pt idx="2">
                  <c:v>0.88951718138321001</c:v>
                </c:pt>
              </c:numCache>
            </c:numRef>
          </c:val>
        </c:ser>
        <c:ser>
          <c:idx val="1"/>
          <c:order val="1"/>
          <c:tx>
            <c:strRef>
              <c:f>Sheet1!$B$20</c:f>
              <c:strCache>
                <c:ptCount val="1"/>
                <c:pt idx="0">
                  <c:v>StarNet</c:v>
                </c:pt>
              </c:strCache>
            </c:strRef>
          </c:tx>
          <c:invertIfNegative val="0"/>
          <c:dLbls>
            <c:dLbl>
              <c:idx val="0"/>
              <c:layout>
                <c:manualLayout>
                  <c:x val="2.5049589640383882E-2"/>
                  <c:y val="-7.8703703703703706E-2"/>
                </c:manualLayout>
              </c:layout>
              <c:showLegendKey val="0"/>
              <c:showVal val="1"/>
              <c:showCatName val="0"/>
              <c:showSerName val="0"/>
              <c:showPercent val="0"/>
              <c:showBubbleSize val="0"/>
            </c:dLbl>
            <c:dLbl>
              <c:idx val="1"/>
              <c:layout>
                <c:manualLayout>
                  <c:x val="2.7832877378204314E-2"/>
                  <c:y val="-4.1666666666666581E-2"/>
                </c:manualLayout>
              </c:layout>
              <c:showLegendKey val="0"/>
              <c:showVal val="1"/>
              <c:showCatName val="0"/>
              <c:showSerName val="0"/>
              <c:showPercent val="0"/>
              <c:showBubbleSize val="0"/>
            </c:dLbl>
            <c:dLbl>
              <c:idx val="2"/>
              <c:layout>
                <c:manualLayout>
                  <c:x val="2.2266301902563349E-2"/>
                  <c:y val="-3.7037037037037125E-2"/>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Sheet1!$C$18:$E$18</c:f>
              <c:numCache>
                <c:formatCode>General</c:formatCode>
                <c:ptCount val="3"/>
                <c:pt idx="0">
                  <c:v>2014</c:v>
                </c:pt>
                <c:pt idx="1">
                  <c:v>2015</c:v>
                </c:pt>
                <c:pt idx="2">
                  <c:v>2016</c:v>
                </c:pt>
              </c:numCache>
            </c:numRef>
          </c:cat>
          <c:val>
            <c:numRef>
              <c:f>Sheet1!$C$20:$E$20</c:f>
              <c:numCache>
                <c:formatCode>0.00%</c:formatCode>
                <c:ptCount val="3"/>
                <c:pt idx="0">
                  <c:v>7.6388888888888881E-2</c:v>
                </c:pt>
                <c:pt idx="1">
                  <c:v>8.1548234598906769E-2</c:v>
                </c:pt>
                <c:pt idx="2">
                  <c:v>8.0977236479628817E-2</c:v>
                </c:pt>
              </c:numCache>
            </c:numRef>
          </c:val>
        </c:ser>
        <c:ser>
          <c:idx val="2"/>
          <c:order val="2"/>
          <c:tx>
            <c:strRef>
              <c:f>Sheet1!$B$21</c:f>
              <c:strCache>
                <c:ptCount val="1"/>
                <c:pt idx="0">
                  <c:v>Alți furnizori</c:v>
                </c:pt>
              </c:strCache>
            </c:strRef>
          </c:tx>
          <c:invertIfNegative val="0"/>
          <c:dLbls>
            <c:dLbl>
              <c:idx val="0"/>
              <c:layout>
                <c:manualLayout>
                  <c:x val="2.5049589640383882E-2"/>
                  <c:y val="1.3888888888888805E-2"/>
                </c:manualLayout>
              </c:layout>
              <c:showLegendKey val="0"/>
              <c:showVal val="1"/>
              <c:showCatName val="0"/>
              <c:showSerName val="0"/>
              <c:showPercent val="0"/>
              <c:showBubbleSize val="0"/>
            </c:dLbl>
            <c:dLbl>
              <c:idx val="1"/>
              <c:layout>
                <c:manualLayout>
                  <c:x val="2.5049589640383934E-2"/>
                  <c:y val="9.2588947214931466E-3"/>
                </c:manualLayout>
              </c:layout>
              <c:showLegendKey val="0"/>
              <c:showVal val="1"/>
              <c:showCatName val="0"/>
              <c:showSerName val="0"/>
              <c:showPercent val="0"/>
              <c:showBubbleSize val="0"/>
            </c:dLbl>
            <c:dLbl>
              <c:idx val="2"/>
              <c:layout>
                <c:manualLayout>
                  <c:x val="2.2266301902563453E-2"/>
                  <c:y val="1.3888888888888888E-2"/>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Sheet1!$C$18:$E$18</c:f>
              <c:numCache>
                <c:formatCode>General</c:formatCode>
                <c:ptCount val="3"/>
                <c:pt idx="0">
                  <c:v>2014</c:v>
                </c:pt>
                <c:pt idx="1">
                  <c:v>2015</c:v>
                </c:pt>
                <c:pt idx="2">
                  <c:v>2016</c:v>
                </c:pt>
              </c:numCache>
            </c:numRef>
          </c:cat>
          <c:val>
            <c:numRef>
              <c:f>Sheet1!$C$21:$E$21</c:f>
              <c:numCache>
                <c:formatCode>0.00%</c:formatCode>
                <c:ptCount val="3"/>
                <c:pt idx="0">
                  <c:v>2.3550724637681115E-2</c:v>
                </c:pt>
                <c:pt idx="1">
                  <c:v>2.4375830994238436E-2</c:v>
                </c:pt>
                <c:pt idx="2">
                  <c:v>2.9505582137161104E-2</c:v>
                </c:pt>
              </c:numCache>
            </c:numRef>
          </c:val>
        </c:ser>
        <c:dLbls>
          <c:showLegendKey val="0"/>
          <c:showVal val="0"/>
          <c:showCatName val="0"/>
          <c:showSerName val="0"/>
          <c:showPercent val="0"/>
          <c:showBubbleSize val="0"/>
        </c:dLbls>
        <c:gapWidth val="150"/>
        <c:axId val="261252096"/>
        <c:axId val="297065792"/>
      </c:barChart>
      <c:catAx>
        <c:axId val="261252096"/>
        <c:scaling>
          <c:orientation val="minMax"/>
        </c:scaling>
        <c:delete val="0"/>
        <c:axPos val="b"/>
        <c:numFmt formatCode="General" sourceLinked="1"/>
        <c:majorTickMark val="out"/>
        <c:minorTickMark val="none"/>
        <c:tickLblPos val="nextTo"/>
        <c:txPr>
          <a:bodyPr/>
          <a:lstStyle/>
          <a:p>
            <a:pPr>
              <a:defRPr b="1"/>
            </a:pPr>
            <a:endParaRPr lang="en-US"/>
          </a:p>
        </c:txPr>
        <c:crossAx val="297065792"/>
        <c:crosses val="autoZero"/>
        <c:auto val="1"/>
        <c:lblAlgn val="ctr"/>
        <c:lblOffset val="100"/>
        <c:noMultiLvlLbl val="0"/>
      </c:catAx>
      <c:valAx>
        <c:axId val="297065792"/>
        <c:scaling>
          <c:orientation val="minMax"/>
        </c:scaling>
        <c:delete val="0"/>
        <c:axPos val="l"/>
        <c:numFmt formatCode="0%" sourceLinked="0"/>
        <c:majorTickMark val="out"/>
        <c:minorTickMark val="none"/>
        <c:tickLblPos val="nextTo"/>
        <c:txPr>
          <a:bodyPr/>
          <a:lstStyle/>
          <a:p>
            <a:pPr>
              <a:defRPr b="1"/>
            </a:pPr>
            <a:endParaRPr lang="en-US"/>
          </a:p>
        </c:txPr>
        <c:crossAx val="261252096"/>
        <c:crosses val="autoZero"/>
        <c:crossBetween val="between"/>
        <c:majorUnit val="0.2"/>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8C532-9274-4C46-A633-86ED2EB8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32727</Words>
  <Characters>186546</Characters>
  <Application>Microsoft Office Word</Application>
  <DocSecurity>0</DocSecurity>
  <Lines>1554</Lines>
  <Paragraphs>437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Sergiu Copacean</cp:lastModifiedBy>
  <cp:revision>3</cp:revision>
  <cp:lastPrinted>2017-11-10T09:31:00Z</cp:lastPrinted>
  <dcterms:created xsi:type="dcterms:W3CDTF">2017-11-10T09:30:00Z</dcterms:created>
  <dcterms:modified xsi:type="dcterms:W3CDTF">2017-11-10T09:32:00Z</dcterms:modified>
</cp:coreProperties>
</file>