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C1" w:rsidRDefault="00205DC1" w:rsidP="00194911">
      <w:pPr>
        <w:keepNext/>
        <w:spacing w:after="0"/>
        <w:ind w:firstLine="720"/>
        <w:jc w:val="center"/>
        <w:outlineLvl w:val="0"/>
        <w:rPr>
          <w:rFonts w:ascii="Times New Roman" w:hAnsi="Times New Roman" w:cs="Times New Roman"/>
          <w:b/>
          <w:sz w:val="26"/>
          <w:szCs w:val="26"/>
        </w:rPr>
      </w:pPr>
      <w:r w:rsidRPr="009910C7">
        <w:rPr>
          <w:rFonts w:ascii="Times New Roman" w:hAnsi="Times New Roman" w:cs="Times New Roman"/>
          <w:b/>
          <w:sz w:val="26"/>
          <w:szCs w:val="26"/>
        </w:rPr>
        <w:t>NOTĂ INFORMATIVĂ</w:t>
      </w:r>
    </w:p>
    <w:p w:rsidR="00E356A0" w:rsidRPr="006802CD" w:rsidRDefault="00197E7C" w:rsidP="00155967">
      <w:pPr>
        <w:pStyle w:val="tt"/>
        <w:rPr>
          <w:b w:val="0"/>
          <w:sz w:val="26"/>
          <w:szCs w:val="26"/>
          <w:lang w:val="ro-RO"/>
        </w:rPr>
      </w:pPr>
      <w:r w:rsidRPr="006802CD">
        <w:rPr>
          <w:b w:val="0"/>
          <w:sz w:val="26"/>
          <w:szCs w:val="26"/>
          <w:lang w:val="ro-RO"/>
        </w:rPr>
        <w:t xml:space="preserve">la proiectul </w:t>
      </w:r>
      <w:r w:rsidR="00D649E3" w:rsidRPr="00D649E3">
        <w:rPr>
          <w:b w:val="0"/>
          <w:sz w:val="26"/>
          <w:szCs w:val="26"/>
          <w:lang w:val="ro-RO"/>
        </w:rPr>
        <w:t xml:space="preserve">analizei </w:t>
      </w:r>
      <w:r w:rsidR="00492953" w:rsidRPr="00492953">
        <w:rPr>
          <w:b w:val="0"/>
          <w:sz w:val="26"/>
          <w:szCs w:val="26"/>
          <w:lang w:val="ro-RO"/>
        </w:rPr>
        <w:t>pieţei de terminare a apelurilor voce în reţelele proprii de telefonie fixă</w:t>
      </w:r>
      <w:r w:rsidR="00D649E3" w:rsidRPr="006802CD">
        <w:rPr>
          <w:b w:val="0"/>
          <w:sz w:val="26"/>
          <w:szCs w:val="26"/>
          <w:lang w:val="ro-RO"/>
        </w:rPr>
        <w:t xml:space="preserve"> </w:t>
      </w:r>
      <w:r w:rsidR="00D649E3">
        <w:rPr>
          <w:b w:val="0"/>
          <w:sz w:val="26"/>
          <w:szCs w:val="26"/>
          <w:lang w:val="ro-RO"/>
        </w:rPr>
        <w:t xml:space="preserve">și la </w:t>
      </w:r>
      <w:r w:rsidRPr="006802CD">
        <w:rPr>
          <w:b w:val="0"/>
          <w:sz w:val="26"/>
          <w:szCs w:val="26"/>
          <w:lang w:val="ro-RO"/>
        </w:rPr>
        <w:t>hotărâr</w:t>
      </w:r>
      <w:r w:rsidR="00492953">
        <w:rPr>
          <w:b w:val="0"/>
          <w:sz w:val="26"/>
          <w:szCs w:val="26"/>
          <w:lang w:val="ro-RO"/>
        </w:rPr>
        <w:t>ile</w:t>
      </w:r>
      <w:r w:rsidRPr="006802CD">
        <w:rPr>
          <w:b w:val="0"/>
          <w:sz w:val="26"/>
          <w:szCs w:val="26"/>
          <w:lang w:val="ro-RO"/>
        </w:rPr>
        <w:t xml:space="preserve"> Consiliului de Administraţie </w:t>
      </w:r>
      <w:r w:rsidR="00DF7EEC" w:rsidRPr="006802CD">
        <w:rPr>
          <w:b w:val="0"/>
          <w:sz w:val="26"/>
          <w:szCs w:val="26"/>
          <w:lang w:val="ro-RO"/>
        </w:rPr>
        <w:t xml:space="preserve">al Agenției Naționale pentru Reglementare în Comunicaţii Electronice şi Tehnologia Informaţiei </w:t>
      </w:r>
      <w:r w:rsidR="00D649E3" w:rsidRPr="00D649E3">
        <w:rPr>
          <w:b w:val="0"/>
          <w:sz w:val="26"/>
          <w:szCs w:val="26"/>
          <w:lang w:val="ro-RO"/>
        </w:rPr>
        <w:t>privind măsurile de reglementare preventivă a pieței date</w:t>
      </w:r>
    </w:p>
    <w:p w:rsidR="001A3A0C" w:rsidRPr="004D6EFB" w:rsidRDefault="001A3A0C" w:rsidP="00AD31A6">
      <w:pPr>
        <w:pStyle w:val="tt"/>
        <w:spacing w:line="276" w:lineRule="auto"/>
        <w:rPr>
          <w:b w:val="0"/>
          <w:bCs w:val="0"/>
          <w:sz w:val="26"/>
          <w:szCs w:val="26"/>
          <w:lang w:val="en-US"/>
        </w:rPr>
      </w:pPr>
    </w:p>
    <w:tbl>
      <w:tblPr>
        <w:tblStyle w:val="TableGrid"/>
        <w:tblW w:w="0" w:type="auto"/>
        <w:tblLook w:val="04A0" w:firstRow="1" w:lastRow="0" w:firstColumn="1" w:lastColumn="0" w:noHBand="0" w:noVBand="1"/>
      </w:tblPr>
      <w:tblGrid>
        <w:gridCol w:w="10206"/>
      </w:tblGrid>
      <w:tr w:rsidR="004D6EFB" w:rsidTr="0042254B">
        <w:tc>
          <w:tcPr>
            <w:tcW w:w="10206" w:type="dxa"/>
            <w:shd w:val="clear" w:color="auto" w:fill="BFBFBF" w:themeFill="background1" w:themeFillShade="BF"/>
          </w:tcPr>
          <w:p w:rsidR="004D6EFB" w:rsidRPr="004D6EFB" w:rsidRDefault="004D6EFB" w:rsidP="00F43B25">
            <w:pPr>
              <w:pStyle w:val="ListParagraph"/>
              <w:numPr>
                <w:ilvl w:val="0"/>
                <w:numId w:val="21"/>
              </w:numPr>
              <w:ind w:left="284" w:hanging="284"/>
              <w:jc w:val="both"/>
              <w:rPr>
                <w:sz w:val="26"/>
                <w:szCs w:val="26"/>
              </w:rPr>
            </w:pPr>
            <w:r w:rsidRPr="004D6EFB">
              <w:rPr>
                <w:rFonts w:ascii="Times New Roman" w:eastAsia="Times New Roman" w:hAnsi="Times New Roman" w:cs="Times New Roman"/>
                <w:b/>
                <w:bCs/>
                <w:sz w:val="26"/>
                <w:szCs w:val="26"/>
                <w:lang w:eastAsia="ru-RU"/>
              </w:rPr>
              <w:t>Condițiile ce au impus elaborarea proiect</w:t>
            </w:r>
            <w:r w:rsidR="00D649E3">
              <w:rPr>
                <w:rFonts w:ascii="Times New Roman" w:eastAsia="Times New Roman" w:hAnsi="Times New Roman" w:cs="Times New Roman"/>
                <w:b/>
                <w:bCs/>
                <w:sz w:val="26"/>
                <w:szCs w:val="26"/>
                <w:lang w:eastAsia="ru-RU"/>
              </w:rPr>
              <w:t>elor</w:t>
            </w:r>
            <w:r w:rsidRPr="004D6EFB">
              <w:rPr>
                <w:rFonts w:ascii="Times New Roman" w:eastAsia="Times New Roman" w:hAnsi="Times New Roman" w:cs="Times New Roman"/>
                <w:b/>
                <w:bCs/>
                <w:sz w:val="26"/>
                <w:szCs w:val="26"/>
                <w:lang w:eastAsia="ru-RU"/>
              </w:rPr>
              <w:t xml:space="preserve"> și finalitățile urmărite</w:t>
            </w:r>
          </w:p>
          <w:p w:rsidR="004D6EFB" w:rsidRDefault="004D6EFB" w:rsidP="00F43B25">
            <w:pPr>
              <w:keepNext/>
              <w:outlineLvl w:val="0"/>
              <w:rPr>
                <w:rFonts w:ascii="Times New Roman" w:eastAsia="Times New Roman" w:hAnsi="Times New Roman" w:cs="Times New Roman"/>
                <w:sz w:val="26"/>
                <w:szCs w:val="26"/>
                <w:lang w:eastAsia="ru-RU"/>
              </w:rPr>
            </w:pPr>
          </w:p>
        </w:tc>
      </w:tr>
      <w:tr w:rsidR="004D6EFB" w:rsidTr="004D6EFB">
        <w:tc>
          <w:tcPr>
            <w:tcW w:w="10206" w:type="dxa"/>
          </w:tcPr>
          <w:p w:rsidR="00B4160F" w:rsidRDefault="00B4160F" w:rsidP="00F43B25">
            <w:pPr>
              <w:pStyle w:val="tt"/>
              <w:ind w:firstLine="567"/>
              <w:jc w:val="both"/>
              <w:rPr>
                <w:rFonts w:eastAsiaTheme="minorHAnsi"/>
                <w:b w:val="0"/>
                <w:bCs w:val="0"/>
                <w:sz w:val="26"/>
                <w:szCs w:val="26"/>
                <w:lang w:val="ro-RO" w:eastAsia="en-US"/>
              </w:rPr>
            </w:pPr>
          </w:p>
          <w:p w:rsidR="00155967" w:rsidRDefault="00D649E3" w:rsidP="00F43B25">
            <w:pPr>
              <w:pStyle w:val="tt"/>
              <w:ind w:firstLine="567"/>
              <w:jc w:val="both"/>
              <w:rPr>
                <w:rFonts w:eastAsiaTheme="minorHAnsi"/>
                <w:b w:val="0"/>
                <w:bCs w:val="0"/>
                <w:sz w:val="26"/>
                <w:szCs w:val="26"/>
                <w:lang w:val="ro-RO" w:eastAsia="en-US"/>
              </w:rPr>
            </w:pPr>
            <w:r w:rsidRPr="00D649E3">
              <w:rPr>
                <w:rFonts w:eastAsiaTheme="minorHAnsi"/>
                <w:b w:val="0"/>
                <w:bCs w:val="0"/>
                <w:sz w:val="26"/>
                <w:szCs w:val="26"/>
                <w:lang w:val="ro-RO" w:eastAsia="en-US"/>
              </w:rPr>
              <w:t>În conformitate cu art</w:t>
            </w:r>
            <w:r w:rsidR="00B557BD">
              <w:rPr>
                <w:rFonts w:eastAsiaTheme="minorHAnsi"/>
                <w:b w:val="0"/>
                <w:bCs w:val="0"/>
                <w:sz w:val="26"/>
                <w:szCs w:val="26"/>
                <w:lang w:val="ro-RO" w:eastAsia="en-US"/>
              </w:rPr>
              <w:t>.</w:t>
            </w:r>
            <w:r w:rsidRPr="00D649E3">
              <w:rPr>
                <w:rFonts w:eastAsiaTheme="minorHAnsi"/>
                <w:b w:val="0"/>
                <w:bCs w:val="0"/>
                <w:sz w:val="26"/>
                <w:szCs w:val="26"/>
                <w:lang w:val="ro-RO" w:eastAsia="en-US"/>
              </w:rPr>
              <w:t xml:space="preserve"> 57 din Legea comunicaţiilor electronice nr.241 din 15.11.2007, Agenţia Naţională pentru Reglementare în Comunicaţii Electronice şi Tehnologia Informaţiei (ANRCETI), identifică pieţele relevante şi efectuează analize de piaţă pe aceste pieţe în scopul determinării faptului dacă piaţa relevantă este suficient de competitivă</w:t>
            </w:r>
            <w:r w:rsidR="00B557BD">
              <w:rPr>
                <w:rFonts w:eastAsiaTheme="minorHAnsi"/>
                <w:b w:val="0"/>
                <w:bCs w:val="0"/>
                <w:sz w:val="26"/>
                <w:szCs w:val="26"/>
                <w:lang w:val="ro-RO" w:eastAsia="en-US"/>
              </w:rPr>
              <w:t>.</w:t>
            </w:r>
            <w:r w:rsidRPr="00D649E3">
              <w:rPr>
                <w:rFonts w:eastAsiaTheme="minorHAnsi"/>
                <w:b w:val="0"/>
                <w:bCs w:val="0"/>
                <w:sz w:val="26"/>
                <w:szCs w:val="26"/>
                <w:lang w:val="ro-RO" w:eastAsia="en-US"/>
              </w:rPr>
              <w:t xml:space="preserve"> </w:t>
            </w:r>
            <w:r w:rsidR="00B557BD" w:rsidRPr="00B557BD">
              <w:rPr>
                <w:rFonts w:eastAsiaTheme="minorHAnsi"/>
                <w:b w:val="0"/>
                <w:bCs w:val="0"/>
                <w:sz w:val="26"/>
                <w:szCs w:val="26"/>
                <w:lang w:val="ro-RO" w:eastAsia="en-US"/>
              </w:rPr>
              <w:t xml:space="preserve">În urma unei asemenea analize, </w:t>
            </w:r>
            <w:r w:rsidR="00B557BD">
              <w:rPr>
                <w:rFonts w:eastAsiaTheme="minorHAnsi"/>
                <w:b w:val="0"/>
                <w:bCs w:val="0"/>
                <w:sz w:val="26"/>
                <w:szCs w:val="26"/>
                <w:lang w:val="ro-RO" w:eastAsia="en-US"/>
              </w:rPr>
              <w:t>ANRCETI</w:t>
            </w:r>
            <w:r w:rsidR="00B557BD" w:rsidRPr="00B557BD">
              <w:rPr>
                <w:rFonts w:eastAsiaTheme="minorHAnsi"/>
                <w:b w:val="0"/>
                <w:bCs w:val="0"/>
                <w:sz w:val="26"/>
                <w:szCs w:val="26"/>
                <w:lang w:val="ro-RO" w:eastAsia="en-US"/>
              </w:rPr>
              <w:t xml:space="preserve"> are dreptul să impună, să menţină, să modifice sau să revoce obligaţiile faţă de furnizorii de reţele şi/sau servicii de comunicaţii electronice</w:t>
            </w:r>
            <w:r w:rsidRPr="00D649E3">
              <w:rPr>
                <w:rFonts w:eastAsiaTheme="minorHAnsi"/>
                <w:b w:val="0"/>
                <w:bCs w:val="0"/>
                <w:sz w:val="26"/>
                <w:szCs w:val="26"/>
                <w:lang w:val="ro-RO" w:eastAsia="en-US"/>
              </w:rPr>
              <w:t>.</w:t>
            </w:r>
          </w:p>
          <w:p w:rsidR="00D649E3" w:rsidRDefault="00D649E3" w:rsidP="00B557BD">
            <w:pPr>
              <w:pStyle w:val="tt"/>
              <w:ind w:firstLine="567"/>
              <w:jc w:val="both"/>
              <w:rPr>
                <w:rFonts w:eastAsiaTheme="minorHAnsi"/>
                <w:b w:val="0"/>
                <w:bCs w:val="0"/>
                <w:sz w:val="26"/>
                <w:szCs w:val="26"/>
                <w:lang w:val="ro-RO" w:eastAsia="en-US"/>
              </w:rPr>
            </w:pPr>
            <w:r>
              <w:rPr>
                <w:rFonts w:eastAsiaTheme="minorHAnsi"/>
                <w:b w:val="0"/>
                <w:bCs w:val="0"/>
                <w:sz w:val="26"/>
                <w:szCs w:val="26"/>
                <w:lang w:val="ro-RO" w:eastAsia="en-US"/>
              </w:rPr>
              <w:t>De asemenea, art</w:t>
            </w:r>
            <w:r w:rsidR="00B557BD">
              <w:rPr>
                <w:rFonts w:eastAsiaTheme="minorHAnsi"/>
                <w:b w:val="0"/>
                <w:bCs w:val="0"/>
                <w:sz w:val="26"/>
                <w:szCs w:val="26"/>
                <w:lang w:val="ro-RO" w:eastAsia="en-US"/>
              </w:rPr>
              <w:t>.</w:t>
            </w:r>
            <w:r>
              <w:rPr>
                <w:rFonts w:eastAsiaTheme="minorHAnsi"/>
                <w:b w:val="0"/>
                <w:bCs w:val="0"/>
                <w:sz w:val="26"/>
                <w:szCs w:val="26"/>
                <w:lang w:val="ro-RO" w:eastAsia="en-US"/>
              </w:rPr>
              <w:t xml:space="preserve"> 61 alin. (1) </w:t>
            </w:r>
            <w:r w:rsidR="00B557BD">
              <w:rPr>
                <w:rFonts w:eastAsiaTheme="minorHAnsi"/>
                <w:b w:val="0"/>
                <w:bCs w:val="0"/>
                <w:sz w:val="26"/>
                <w:szCs w:val="26"/>
                <w:lang w:val="ro-RO" w:eastAsia="en-US"/>
              </w:rPr>
              <w:t xml:space="preserve">al aceleiași legi prevede că ANRCETI </w:t>
            </w:r>
            <w:r w:rsidR="00B557BD" w:rsidRPr="00B557BD">
              <w:rPr>
                <w:rFonts w:eastAsiaTheme="minorHAnsi"/>
                <w:b w:val="0"/>
                <w:bCs w:val="0"/>
                <w:sz w:val="26"/>
                <w:szCs w:val="26"/>
                <w:lang w:val="ro-RO" w:eastAsia="en-US"/>
              </w:rPr>
              <w:t>efectuează analiza pieţelor relevante în termen de 3 ani de la stabilirea unei măsuri anterioare privind pieţele respective</w:t>
            </w:r>
            <w:r w:rsidR="00B557BD">
              <w:rPr>
                <w:rFonts w:eastAsiaTheme="minorHAnsi"/>
                <w:b w:val="0"/>
                <w:bCs w:val="0"/>
                <w:sz w:val="26"/>
                <w:szCs w:val="26"/>
                <w:lang w:val="ro-RO" w:eastAsia="en-US"/>
              </w:rPr>
              <w:t xml:space="preserve">. </w:t>
            </w:r>
          </w:p>
          <w:p w:rsidR="00B4160F" w:rsidRPr="00B557BD" w:rsidRDefault="00B4160F" w:rsidP="00B557BD">
            <w:pPr>
              <w:pStyle w:val="tt"/>
              <w:ind w:firstLine="567"/>
              <w:jc w:val="both"/>
              <w:rPr>
                <w:b w:val="0"/>
                <w:sz w:val="26"/>
                <w:szCs w:val="26"/>
                <w:lang w:val="en-US"/>
              </w:rPr>
            </w:pPr>
          </w:p>
        </w:tc>
      </w:tr>
      <w:tr w:rsidR="004D6EFB" w:rsidTr="0042254B">
        <w:tc>
          <w:tcPr>
            <w:tcW w:w="10206" w:type="dxa"/>
            <w:shd w:val="clear" w:color="auto" w:fill="BFBFBF" w:themeFill="background1" w:themeFillShade="BF"/>
          </w:tcPr>
          <w:p w:rsidR="004D6EFB" w:rsidRPr="00F43B25" w:rsidRDefault="004D6EFB" w:rsidP="00D649E3">
            <w:pPr>
              <w:pStyle w:val="ListParagraph"/>
              <w:numPr>
                <w:ilvl w:val="0"/>
                <w:numId w:val="21"/>
              </w:numPr>
              <w:ind w:left="284" w:hanging="284"/>
              <w:jc w:val="both"/>
              <w:rPr>
                <w:sz w:val="26"/>
                <w:szCs w:val="26"/>
              </w:rPr>
            </w:pPr>
            <w:r>
              <w:rPr>
                <w:rFonts w:ascii="Times New Roman" w:eastAsia="Times New Roman" w:hAnsi="Times New Roman" w:cs="Times New Roman"/>
                <w:b/>
                <w:bCs/>
                <w:sz w:val="26"/>
                <w:szCs w:val="26"/>
                <w:lang w:eastAsia="ru-RU"/>
              </w:rPr>
              <w:t>Principalele prevederi ale proiect</w:t>
            </w:r>
            <w:r w:rsidR="00D649E3">
              <w:rPr>
                <w:rFonts w:ascii="Times New Roman" w:eastAsia="Times New Roman" w:hAnsi="Times New Roman" w:cs="Times New Roman"/>
                <w:b/>
                <w:bCs/>
                <w:sz w:val="26"/>
                <w:szCs w:val="26"/>
                <w:lang w:eastAsia="ru-RU"/>
              </w:rPr>
              <w:t>elor</w:t>
            </w:r>
            <w:r>
              <w:rPr>
                <w:rFonts w:ascii="Times New Roman" w:eastAsia="Times New Roman" w:hAnsi="Times New Roman" w:cs="Times New Roman"/>
                <w:b/>
                <w:bCs/>
                <w:sz w:val="26"/>
                <w:szCs w:val="26"/>
                <w:lang w:eastAsia="ru-RU"/>
              </w:rPr>
              <w:t xml:space="preserve"> și evidențierea elementelor noi</w:t>
            </w:r>
          </w:p>
        </w:tc>
      </w:tr>
      <w:tr w:rsidR="004D6EFB" w:rsidTr="004D6EFB">
        <w:tc>
          <w:tcPr>
            <w:tcW w:w="10206" w:type="dxa"/>
          </w:tcPr>
          <w:p w:rsidR="00B4160F" w:rsidRDefault="00B4160F" w:rsidP="00B557BD">
            <w:pPr>
              <w:ind w:firstLine="720"/>
              <w:jc w:val="both"/>
              <w:rPr>
                <w:rFonts w:ascii="Times New Roman" w:hAnsi="Times New Roman"/>
                <w:sz w:val="26"/>
                <w:szCs w:val="26"/>
              </w:rPr>
            </w:pPr>
          </w:p>
          <w:p w:rsidR="00B557BD" w:rsidRDefault="00B557BD" w:rsidP="00B557BD">
            <w:pPr>
              <w:ind w:firstLine="720"/>
              <w:jc w:val="both"/>
              <w:rPr>
                <w:rFonts w:ascii="Times New Roman" w:hAnsi="Times New Roman"/>
                <w:sz w:val="26"/>
                <w:szCs w:val="26"/>
              </w:rPr>
            </w:pPr>
            <w:r>
              <w:rPr>
                <w:rFonts w:ascii="Times New Roman" w:hAnsi="Times New Roman"/>
                <w:sz w:val="26"/>
                <w:szCs w:val="26"/>
              </w:rPr>
              <w:t xml:space="preserve">ANRCETI a </w:t>
            </w:r>
            <w:r w:rsidR="00492953">
              <w:rPr>
                <w:rFonts w:ascii="Times New Roman" w:hAnsi="Times New Roman"/>
                <w:sz w:val="26"/>
                <w:szCs w:val="26"/>
              </w:rPr>
              <w:t>elaborat</w:t>
            </w:r>
            <w:r w:rsidR="003139C4">
              <w:rPr>
                <w:rFonts w:ascii="Times New Roman" w:hAnsi="Times New Roman"/>
                <w:sz w:val="26"/>
                <w:szCs w:val="26"/>
              </w:rPr>
              <w:t xml:space="preserve"> </w:t>
            </w:r>
            <w:r>
              <w:rPr>
                <w:rFonts w:ascii="Times New Roman" w:hAnsi="Times New Roman"/>
                <w:sz w:val="26"/>
                <w:szCs w:val="26"/>
              </w:rPr>
              <w:t xml:space="preserve">a 5-a iterație a analizei </w:t>
            </w:r>
            <w:r w:rsidR="00492953" w:rsidRPr="00492953">
              <w:rPr>
                <w:rFonts w:ascii="Times New Roman" w:hAnsi="Times New Roman"/>
                <w:sz w:val="26"/>
                <w:szCs w:val="26"/>
              </w:rPr>
              <w:t>pieţei de terminare a apelurilor voce în reţelele proprii de telefonie fixă</w:t>
            </w:r>
            <w:r w:rsidRPr="00492953">
              <w:rPr>
                <w:rFonts w:ascii="Times New Roman" w:hAnsi="Times New Roman"/>
                <w:sz w:val="26"/>
                <w:szCs w:val="26"/>
              </w:rPr>
              <w:t xml:space="preserve"> (Piața </w:t>
            </w:r>
            <w:r w:rsidR="00492953">
              <w:rPr>
                <w:rFonts w:ascii="Times New Roman" w:hAnsi="Times New Roman"/>
                <w:sz w:val="26"/>
                <w:szCs w:val="26"/>
              </w:rPr>
              <w:t>3</w:t>
            </w:r>
            <w:r w:rsidRPr="00492953">
              <w:rPr>
                <w:rFonts w:ascii="Times New Roman" w:hAnsi="Times New Roman"/>
                <w:sz w:val="26"/>
                <w:szCs w:val="26"/>
              </w:rPr>
              <w:t>)</w:t>
            </w:r>
            <w:r>
              <w:rPr>
                <w:rFonts w:ascii="Times New Roman" w:hAnsi="Times New Roman"/>
                <w:sz w:val="26"/>
                <w:szCs w:val="26"/>
              </w:rPr>
              <w:t xml:space="preserve">. </w:t>
            </w:r>
          </w:p>
          <w:p w:rsidR="00B557BD" w:rsidRDefault="00B557BD" w:rsidP="00B557BD">
            <w:pPr>
              <w:ind w:firstLine="720"/>
              <w:jc w:val="both"/>
              <w:rPr>
                <w:rFonts w:ascii="Times New Roman" w:hAnsi="Times New Roman"/>
                <w:sz w:val="26"/>
                <w:szCs w:val="26"/>
              </w:rPr>
            </w:pPr>
            <w:r>
              <w:rPr>
                <w:rFonts w:ascii="Times New Roman" w:hAnsi="Times New Roman"/>
                <w:sz w:val="26"/>
                <w:szCs w:val="26"/>
              </w:rPr>
              <w:t>Procesul de analiză a piețelor presupune parcurgerea a 3 etape: identificarea piețelor relevante, analiza în detaliu a piețelor și determinarea obligațiilor preventive care urmează a fi impuse/menținute.</w:t>
            </w:r>
          </w:p>
          <w:p w:rsidR="00B557BD" w:rsidRDefault="00B557BD" w:rsidP="00B557BD">
            <w:pPr>
              <w:ind w:firstLine="720"/>
              <w:jc w:val="both"/>
              <w:rPr>
                <w:rFonts w:ascii="Times New Roman" w:hAnsi="Times New Roman"/>
                <w:sz w:val="26"/>
                <w:szCs w:val="26"/>
              </w:rPr>
            </w:pPr>
          </w:p>
          <w:p w:rsidR="00B557BD" w:rsidRPr="003139C4" w:rsidRDefault="00B557BD" w:rsidP="003139C4">
            <w:pPr>
              <w:pStyle w:val="ListParagraph"/>
              <w:numPr>
                <w:ilvl w:val="0"/>
                <w:numId w:val="26"/>
              </w:numPr>
              <w:tabs>
                <w:tab w:val="left" w:pos="1083"/>
              </w:tabs>
              <w:ind w:left="0" w:firstLine="720"/>
              <w:jc w:val="both"/>
              <w:rPr>
                <w:rFonts w:ascii="Times New Roman" w:hAnsi="Times New Roman"/>
                <w:i/>
                <w:sz w:val="26"/>
                <w:szCs w:val="26"/>
              </w:rPr>
            </w:pPr>
            <w:r w:rsidRPr="00B557BD">
              <w:rPr>
                <w:rFonts w:ascii="Times New Roman" w:hAnsi="Times New Roman"/>
                <w:i/>
                <w:sz w:val="26"/>
                <w:szCs w:val="26"/>
              </w:rPr>
              <w:t xml:space="preserve">Identificarea </w:t>
            </w:r>
            <w:r w:rsidR="003139C4" w:rsidRPr="003139C4">
              <w:rPr>
                <w:rFonts w:ascii="Times New Roman" w:hAnsi="Times New Roman"/>
                <w:i/>
                <w:sz w:val="26"/>
                <w:szCs w:val="26"/>
              </w:rPr>
              <w:t>pieţei de terminare a apelurilor voce în reţelele proprii de telefonie fixă</w:t>
            </w:r>
            <w:r w:rsidRPr="003139C4">
              <w:rPr>
                <w:rFonts w:ascii="Times New Roman" w:hAnsi="Times New Roman"/>
                <w:i/>
                <w:sz w:val="26"/>
                <w:szCs w:val="26"/>
              </w:rPr>
              <w:t xml:space="preserve"> </w:t>
            </w:r>
          </w:p>
          <w:p w:rsidR="00B557BD" w:rsidRDefault="00B557BD" w:rsidP="00B557BD">
            <w:pPr>
              <w:ind w:firstLine="720"/>
              <w:jc w:val="both"/>
              <w:rPr>
                <w:rFonts w:ascii="Times New Roman" w:hAnsi="Times New Roman"/>
                <w:sz w:val="26"/>
                <w:szCs w:val="26"/>
              </w:rPr>
            </w:pPr>
            <w:r>
              <w:rPr>
                <w:rFonts w:ascii="Times New Roman" w:hAnsi="Times New Roman"/>
                <w:sz w:val="26"/>
                <w:szCs w:val="26"/>
              </w:rPr>
              <w:t xml:space="preserve">Urmare a efectuării analizei privind identificarea Pieței </w:t>
            </w:r>
            <w:r w:rsidR="003139C4">
              <w:rPr>
                <w:rFonts w:ascii="Times New Roman" w:hAnsi="Times New Roman"/>
                <w:sz w:val="26"/>
                <w:szCs w:val="26"/>
              </w:rPr>
              <w:t>3</w:t>
            </w:r>
            <w:r>
              <w:rPr>
                <w:rFonts w:ascii="Times New Roman" w:hAnsi="Times New Roman"/>
                <w:sz w:val="26"/>
                <w:szCs w:val="26"/>
              </w:rPr>
              <w:t xml:space="preserve">, concluzia ANRCETI privind definirea pieţei de </w:t>
            </w:r>
            <w:r w:rsidR="003139C4" w:rsidRPr="00492953">
              <w:rPr>
                <w:rFonts w:ascii="Times New Roman" w:hAnsi="Times New Roman"/>
                <w:sz w:val="26"/>
                <w:szCs w:val="26"/>
              </w:rPr>
              <w:t>terminare a apelurilor voce în reţelele proprii de telefonie fixă</w:t>
            </w:r>
            <w:r>
              <w:rPr>
                <w:rFonts w:ascii="Times New Roman" w:hAnsi="Times New Roman"/>
                <w:sz w:val="26"/>
                <w:szCs w:val="26"/>
              </w:rPr>
              <w:t xml:space="preserve"> nu diferă de cea anterioară în ceea ce priveşte limitele pieţei. </w:t>
            </w:r>
          </w:p>
          <w:p w:rsidR="00B557BD" w:rsidRDefault="00B557BD" w:rsidP="00B557BD">
            <w:pPr>
              <w:ind w:firstLine="720"/>
              <w:jc w:val="both"/>
            </w:pPr>
            <w:r>
              <w:rPr>
                <w:rFonts w:ascii="Times New Roman" w:hAnsi="Times New Roman"/>
                <w:sz w:val="26"/>
                <w:szCs w:val="26"/>
              </w:rPr>
              <w:t>De asemenea, au fost determinate limitele geografice ale pieței în cauză drept teritoriul naţional, iar Testul celor trei criterii a demonstrat că această piaţă este în continuare susceptibilă reglementării preventive.</w:t>
            </w:r>
            <w:r>
              <w:t xml:space="preserve"> </w:t>
            </w:r>
          </w:p>
          <w:p w:rsidR="00B557BD" w:rsidRDefault="00B557BD" w:rsidP="00B557BD">
            <w:pPr>
              <w:ind w:firstLine="720"/>
              <w:jc w:val="both"/>
            </w:pPr>
          </w:p>
          <w:p w:rsidR="00B557BD" w:rsidRDefault="00B557BD" w:rsidP="003139C4">
            <w:pPr>
              <w:pStyle w:val="ListParagraph"/>
              <w:numPr>
                <w:ilvl w:val="0"/>
                <w:numId w:val="26"/>
              </w:numPr>
              <w:tabs>
                <w:tab w:val="left" w:pos="1083"/>
              </w:tabs>
              <w:ind w:left="0" w:firstLine="720"/>
              <w:jc w:val="both"/>
              <w:rPr>
                <w:rFonts w:ascii="Times New Roman" w:hAnsi="Times New Roman"/>
                <w:i/>
                <w:sz w:val="26"/>
                <w:szCs w:val="26"/>
              </w:rPr>
            </w:pPr>
            <w:r>
              <w:rPr>
                <w:rFonts w:ascii="Times New Roman" w:hAnsi="Times New Roman"/>
                <w:i/>
                <w:sz w:val="26"/>
                <w:szCs w:val="26"/>
              </w:rPr>
              <w:t xml:space="preserve">Analiza în detaliu a </w:t>
            </w:r>
            <w:r w:rsidR="003139C4" w:rsidRPr="003139C4">
              <w:rPr>
                <w:rFonts w:ascii="Times New Roman" w:hAnsi="Times New Roman"/>
                <w:i/>
                <w:sz w:val="26"/>
                <w:szCs w:val="26"/>
              </w:rPr>
              <w:t>pieţei de terminare a apelurilor voce în reţelele proprii de telefonie fixă</w:t>
            </w:r>
          </w:p>
          <w:p w:rsidR="00B557BD" w:rsidRPr="004C30BC" w:rsidRDefault="004C30BC" w:rsidP="00B557BD">
            <w:pPr>
              <w:ind w:firstLine="720"/>
              <w:jc w:val="both"/>
              <w:rPr>
                <w:rFonts w:ascii="Times New Roman" w:hAnsi="Times New Roman"/>
                <w:sz w:val="26"/>
                <w:szCs w:val="26"/>
              </w:rPr>
            </w:pPr>
            <w:r w:rsidRPr="004C30BC">
              <w:rPr>
                <w:rFonts w:ascii="Times New Roman" w:hAnsi="Times New Roman"/>
                <w:sz w:val="26"/>
                <w:szCs w:val="26"/>
              </w:rPr>
              <w:t xml:space="preserve">Analiza detaliată, în care au fost examinate o serie de criterii pe care ANRCETI le consideră corespunzătoare pentru piața dată, a arătat că toţi furnizorii au putere semnificativă pe pieţele relevante de terminare a apelurilor în reţele proprii de telefonie fixă, însă puterea S.A.”Moldtelecom” de influenţă a pieţelor din aval este substanţial mai mare ca a celorlalţi furnizori de telefonie fixă. Acestea au fost reflectate în riscurile identificate ale concurenţei. </w:t>
            </w:r>
          </w:p>
          <w:p w:rsidR="004C30BC" w:rsidRDefault="004C30BC" w:rsidP="00B557BD">
            <w:pPr>
              <w:ind w:firstLine="720"/>
              <w:jc w:val="both"/>
              <w:rPr>
                <w:rFonts w:ascii="Times New Roman" w:hAnsi="Times New Roman"/>
                <w:sz w:val="26"/>
                <w:szCs w:val="26"/>
              </w:rPr>
            </w:pPr>
            <w:r w:rsidRPr="004C30BC">
              <w:rPr>
                <w:rFonts w:ascii="Times New Roman" w:hAnsi="Times New Roman"/>
                <w:sz w:val="26"/>
                <w:szCs w:val="26"/>
              </w:rPr>
              <w:t>Prin urmare, concluzia ANRCETI este că toţi furnizorii de reţele de telefonie fixă de pe piaţă deţin puterea semnificativă pe pieţele de terminare a apelurilor voce în reţelele proprii de telefonie fixă şi urmează a fi desemnaţi de către Consiliul de Administraţie al ANRCETI drept furnizori cu putere semnificativă pe pieţele date.</w:t>
            </w:r>
          </w:p>
          <w:p w:rsidR="004C30BC" w:rsidRDefault="004C30BC" w:rsidP="00B557BD">
            <w:pPr>
              <w:ind w:firstLine="720"/>
              <w:jc w:val="both"/>
              <w:rPr>
                <w:rFonts w:ascii="Times New Roman" w:hAnsi="Times New Roman"/>
                <w:sz w:val="26"/>
                <w:szCs w:val="26"/>
              </w:rPr>
            </w:pPr>
          </w:p>
          <w:p w:rsidR="00B557BD" w:rsidRDefault="00B557BD" w:rsidP="004C30BC">
            <w:pPr>
              <w:pStyle w:val="ListParagraph"/>
              <w:numPr>
                <w:ilvl w:val="0"/>
                <w:numId w:val="26"/>
              </w:numPr>
              <w:tabs>
                <w:tab w:val="left" w:pos="1083"/>
              </w:tabs>
              <w:ind w:left="0" w:firstLine="720"/>
              <w:jc w:val="both"/>
              <w:rPr>
                <w:rFonts w:ascii="Times New Roman" w:hAnsi="Times New Roman"/>
                <w:i/>
                <w:sz w:val="26"/>
                <w:szCs w:val="26"/>
              </w:rPr>
            </w:pPr>
            <w:r>
              <w:rPr>
                <w:rFonts w:ascii="Times New Roman" w:hAnsi="Times New Roman"/>
                <w:i/>
                <w:sz w:val="26"/>
                <w:szCs w:val="26"/>
              </w:rPr>
              <w:t>Determinarea obligațiilor preventive care urmează a fi impuse/menținute</w:t>
            </w:r>
          </w:p>
          <w:p w:rsidR="00B557BD" w:rsidRDefault="00B557BD" w:rsidP="00B557BD">
            <w:pPr>
              <w:ind w:firstLine="720"/>
              <w:jc w:val="both"/>
              <w:rPr>
                <w:rFonts w:ascii="Times New Roman" w:hAnsi="Times New Roman"/>
                <w:sz w:val="26"/>
                <w:szCs w:val="26"/>
              </w:rPr>
            </w:pPr>
            <w:r>
              <w:rPr>
                <w:rFonts w:ascii="Times New Roman" w:hAnsi="Times New Roman"/>
                <w:sz w:val="26"/>
                <w:szCs w:val="26"/>
              </w:rPr>
              <w:t xml:space="preserve">În urma analizei, în conformitate cu articolul 61 din Legea nr. 241/2007, ANRCETI are </w:t>
            </w:r>
            <w:r>
              <w:rPr>
                <w:rFonts w:ascii="Times New Roman" w:hAnsi="Times New Roman"/>
                <w:sz w:val="26"/>
                <w:szCs w:val="26"/>
              </w:rPr>
              <w:lastRenderedPageBreak/>
              <w:t>dreptul să impună, să menţină, să modifice sau să revoce obligaţiile faţă de furnizorii de reţele şi/sau servicii de comunicaţii electronice.</w:t>
            </w:r>
          </w:p>
          <w:p w:rsidR="00F43B25" w:rsidRPr="004C30BC" w:rsidRDefault="004C30BC" w:rsidP="00B557BD">
            <w:pPr>
              <w:pStyle w:val="ListParagraph"/>
              <w:ind w:left="0" w:firstLine="567"/>
              <w:jc w:val="both"/>
              <w:rPr>
                <w:rFonts w:ascii="Times New Roman" w:hAnsi="Times New Roman"/>
                <w:sz w:val="26"/>
                <w:szCs w:val="26"/>
              </w:rPr>
            </w:pPr>
            <w:r w:rsidRPr="004C30BC">
              <w:rPr>
                <w:rFonts w:ascii="Times New Roman" w:hAnsi="Times New Roman"/>
                <w:sz w:val="26"/>
                <w:szCs w:val="26"/>
              </w:rPr>
              <w:t>Astfel, în urma analizei efectuate, ANRCETI a ajuns la concluzia necesității menținerii obligațiilor speciale preventive impuse anterior furnizorilor cu putere semnificativă pe piața 3</w:t>
            </w:r>
            <w:r w:rsidR="009957FF">
              <w:rPr>
                <w:rFonts w:ascii="Times New Roman" w:hAnsi="Times New Roman"/>
                <w:sz w:val="26"/>
                <w:szCs w:val="26"/>
              </w:rPr>
              <w:t>,</w:t>
            </w:r>
            <w:r w:rsidRPr="004C30BC">
              <w:rPr>
                <w:rFonts w:ascii="Times New Roman" w:hAnsi="Times New Roman"/>
                <w:sz w:val="26"/>
                <w:szCs w:val="26"/>
              </w:rPr>
              <w:t xml:space="preserve"> iar asupra furnizorilor alternativi noi intraţi pe piaţă să impună obligaţii speciale preventive</w:t>
            </w:r>
            <w:r w:rsidR="00B557BD">
              <w:rPr>
                <w:rFonts w:ascii="Times New Roman" w:hAnsi="Times New Roman"/>
                <w:sz w:val="26"/>
                <w:szCs w:val="26"/>
              </w:rPr>
              <w:t>.</w:t>
            </w:r>
          </w:p>
          <w:p w:rsidR="00F43B25" w:rsidRPr="00F43B25" w:rsidRDefault="00F43B25" w:rsidP="00F43B25">
            <w:pPr>
              <w:pStyle w:val="ListParagraph"/>
              <w:ind w:left="0" w:firstLine="567"/>
              <w:jc w:val="both"/>
              <w:rPr>
                <w:rFonts w:ascii="Times New Roman" w:hAnsi="Times New Roman" w:cs="Times New Roman"/>
                <w:sz w:val="26"/>
                <w:szCs w:val="26"/>
              </w:rPr>
            </w:pPr>
          </w:p>
        </w:tc>
      </w:tr>
      <w:tr w:rsidR="004D6EFB" w:rsidTr="0042254B">
        <w:tc>
          <w:tcPr>
            <w:tcW w:w="10206" w:type="dxa"/>
            <w:shd w:val="clear" w:color="auto" w:fill="BFBFBF" w:themeFill="background1" w:themeFillShade="BF"/>
          </w:tcPr>
          <w:p w:rsidR="004D6EFB" w:rsidRPr="002B5FD6" w:rsidRDefault="002B5FD6" w:rsidP="00F43B25">
            <w:pPr>
              <w:pStyle w:val="ListParagraph"/>
              <w:numPr>
                <w:ilvl w:val="0"/>
                <w:numId w:val="21"/>
              </w:numPr>
              <w:ind w:left="0" w:firstLine="0"/>
              <w:jc w:val="both"/>
              <w:rPr>
                <w:rFonts w:ascii="Times New Roman" w:eastAsia="Times New Roman" w:hAnsi="Times New Roman" w:cs="Times New Roman"/>
                <w:b/>
                <w:bCs/>
                <w:sz w:val="26"/>
                <w:szCs w:val="26"/>
                <w:lang w:eastAsia="ru-RU"/>
              </w:rPr>
            </w:pPr>
            <w:r w:rsidRPr="00F43B25">
              <w:rPr>
                <w:rFonts w:ascii="Times New Roman" w:hAnsi="Times New Roman" w:cs="Times New Roman"/>
                <w:b/>
                <w:sz w:val="26"/>
                <w:szCs w:val="26"/>
              </w:rPr>
              <w:lastRenderedPageBreak/>
              <w:t>Descrierea gradului de compatibilitate pentru proiectele care au ca scop armonizarea legislaţiei naţionale cu legislaţia Uniunii Europene</w:t>
            </w:r>
          </w:p>
        </w:tc>
      </w:tr>
      <w:tr w:rsidR="002B5FD6" w:rsidTr="004D6EFB">
        <w:tc>
          <w:tcPr>
            <w:tcW w:w="10206" w:type="dxa"/>
          </w:tcPr>
          <w:p w:rsidR="002B5FD6" w:rsidRPr="00F43B25" w:rsidRDefault="002B5FD6" w:rsidP="00F43B25">
            <w:pPr>
              <w:jc w:val="both"/>
              <w:rPr>
                <w:rFonts w:ascii="Times New Roman" w:eastAsia="Times New Roman" w:hAnsi="Times New Roman" w:cs="Times New Roman"/>
                <w:bCs/>
                <w:sz w:val="26"/>
                <w:szCs w:val="26"/>
                <w:lang w:eastAsia="ru-RU"/>
              </w:rPr>
            </w:pPr>
            <w:r w:rsidRPr="00267C03">
              <w:rPr>
                <w:rFonts w:ascii="Times New Roman" w:eastAsia="Times New Roman" w:hAnsi="Times New Roman" w:cs="Times New Roman"/>
                <w:bCs/>
                <w:sz w:val="26"/>
                <w:szCs w:val="26"/>
                <w:lang w:eastAsia="ru-RU"/>
              </w:rPr>
              <w:t>Nu este necesitate.</w:t>
            </w:r>
          </w:p>
        </w:tc>
      </w:tr>
      <w:tr w:rsidR="002B5FD6" w:rsidTr="0042254B">
        <w:tc>
          <w:tcPr>
            <w:tcW w:w="10206" w:type="dxa"/>
            <w:shd w:val="clear" w:color="auto" w:fill="BFBFBF" w:themeFill="background1" w:themeFillShade="BF"/>
          </w:tcPr>
          <w:p w:rsidR="002B5FD6" w:rsidRPr="002B5FD6" w:rsidRDefault="002B5FD6" w:rsidP="00F43B25">
            <w:pPr>
              <w:pStyle w:val="ListParagraph"/>
              <w:numPr>
                <w:ilvl w:val="0"/>
                <w:numId w:val="21"/>
              </w:numPr>
              <w:ind w:left="284" w:hanging="284"/>
              <w:jc w:val="both"/>
              <w:rPr>
                <w:rFonts w:ascii="Times New Roman" w:eastAsia="Times New Roman" w:hAnsi="Times New Roman" w:cs="Times New Roman"/>
                <w:b/>
                <w:bCs/>
                <w:sz w:val="26"/>
                <w:szCs w:val="26"/>
                <w:lang w:eastAsia="ru-RU"/>
              </w:rPr>
            </w:pPr>
            <w:r w:rsidRPr="002B5FD6">
              <w:rPr>
                <w:rFonts w:ascii="Times New Roman" w:eastAsia="Times New Roman" w:hAnsi="Times New Roman" w:cs="Times New Roman"/>
                <w:b/>
                <w:bCs/>
                <w:sz w:val="26"/>
                <w:szCs w:val="26"/>
                <w:lang w:eastAsia="ru-RU"/>
              </w:rPr>
              <w:t>Fundamentarea economico-financiară</w:t>
            </w:r>
          </w:p>
        </w:tc>
      </w:tr>
      <w:tr w:rsidR="002B5FD6" w:rsidTr="004D6EFB">
        <w:tc>
          <w:tcPr>
            <w:tcW w:w="10206" w:type="dxa"/>
          </w:tcPr>
          <w:p w:rsidR="002B5FD6" w:rsidRPr="00F43B25" w:rsidRDefault="002B5FD6" w:rsidP="00F43B25">
            <w:pPr>
              <w:ind w:firstLine="567"/>
              <w:jc w:val="both"/>
              <w:rPr>
                <w:rFonts w:ascii="Times New Roman" w:hAnsi="Times New Roman" w:cs="Times New Roman"/>
                <w:b/>
                <w:bCs/>
                <w:sz w:val="26"/>
                <w:szCs w:val="26"/>
              </w:rPr>
            </w:pPr>
            <w:r w:rsidRPr="00267C03">
              <w:rPr>
                <w:rFonts w:ascii="Times New Roman" w:eastAsia="Times New Roman" w:hAnsi="Times New Roman" w:cs="Times New Roman"/>
                <w:bCs/>
                <w:sz w:val="26"/>
                <w:szCs w:val="26"/>
                <w:lang w:eastAsia="ru-RU"/>
              </w:rPr>
              <w:t>Costuri suplimentare, legate de elaborarea și implementarea prezentului proiect de Hotărâre a Consiliului de Administrație al ANRCETI nu sunt necesare.</w:t>
            </w:r>
          </w:p>
        </w:tc>
      </w:tr>
      <w:tr w:rsidR="002B5FD6" w:rsidTr="0042254B">
        <w:tc>
          <w:tcPr>
            <w:tcW w:w="10206" w:type="dxa"/>
            <w:shd w:val="clear" w:color="auto" w:fill="BFBFBF" w:themeFill="background1" w:themeFillShade="BF"/>
          </w:tcPr>
          <w:p w:rsidR="002B5FD6" w:rsidRPr="00F43B25" w:rsidRDefault="002B5FD6" w:rsidP="00F43B25">
            <w:pPr>
              <w:pStyle w:val="ListParagraph"/>
              <w:numPr>
                <w:ilvl w:val="0"/>
                <w:numId w:val="21"/>
              </w:numPr>
              <w:tabs>
                <w:tab w:val="left" w:pos="173"/>
                <w:tab w:val="left" w:pos="284"/>
              </w:tabs>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Modul de încorporare a actului în cadrul normativ în vigoare</w:t>
            </w:r>
          </w:p>
        </w:tc>
      </w:tr>
      <w:tr w:rsidR="002B5FD6" w:rsidTr="004D6EFB">
        <w:tc>
          <w:tcPr>
            <w:tcW w:w="10206" w:type="dxa"/>
          </w:tcPr>
          <w:p w:rsidR="00B4160F" w:rsidRDefault="003B3D04" w:rsidP="00F43B25">
            <w:pPr>
              <w:ind w:firstLine="567"/>
              <w:jc w:val="both"/>
              <w:rPr>
                <w:rFonts w:ascii="Times New Roman" w:hAnsi="Times New Roman"/>
                <w:sz w:val="26"/>
                <w:szCs w:val="26"/>
              </w:rPr>
            </w:pPr>
            <w:r w:rsidRPr="003B3D04">
              <w:rPr>
                <w:rFonts w:ascii="Times New Roman" w:hAnsi="Times New Roman"/>
                <w:sz w:val="26"/>
                <w:szCs w:val="26"/>
              </w:rPr>
              <w:t xml:space="preserve">Proiectul Hotărârii Consiliului de Administrație al ANRCETI este elaborat în temeiul și în conformitate cu cerințele legislației naționale și europene, nu vine în contradicție cu legislația națională și tratatele internaționale la care Republica Moldova este parte. </w:t>
            </w:r>
          </w:p>
          <w:p w:rsidR="002B5FD6" w:rsidRPr="003B3D04" w:rsidRDefault="00B4160F" w:rsidP="00F43B25">
            <w:pPr>
              <w:ind w:firstLine="567"/>
              <w:jc w:val="both"/>
              <w:rPr>
                <w:rFonts w:ascii="Times New Roman" w:hAnsi="Times New Roman"/>
                <w:sz w:val="26"/>
                <w:szCs w:val="26"/>
              </w:rPr>
            </w:pPr>
            <w:r>
              <w:rPr>
                <w:rFonts w:ascii="Times New Roman" w:hAnsi="Times New Roman"/>
                <w:sz w:val="26"/>
                <w:szCs w:val="26"/>
              </w:rPr>
              <w:t xml:space="preserve">Astfel, </w:t>
            </w:r>
            <w:r w:rsidRPr="003B3D04">
              <w:rPr>
                <w:rFonts w:ascii="Times New Roman" w:hAnsi="Times New Roman"/>
                <w:sz w:val="26"/>
                <w:szCs w:val="26"/>
              </w:rPr>
              <w:t>î</w:t>
            </w:r>
            <w:r w:rsidR="003B3D04" w:rsidRPr="003B3D04">
              <w:rPr>
                <w:rFonts w:ascii="Times New Roman" w:hAnsi="Times New Roman"/>
                <w:sz w:val="26"/>
                <w:szCs w:val="26"/>
              </w:rPr>
              <w:t>n urma aprobării prezentului proiect nu va fi necesară modificarea sau completarea cadrului normativ conex.</w:t>
            </w:r>
          </w:p>
        </w:tc>
      </w:tr>
      <w:tr w:rsidR="002B5FD6" w:rsidTr="0042254B">
        <w:tc>
          <w:tcPr>
            <w:tcW w:w="10206" w:type="dxa"/>
            <w:shd w:val="clear" w:color="auto" w:fill="BFBFBF" w:themeFill="background1" w:themeFillShade="BF"/>
          </w:tcPr>
          <w:p w:rsidR="002B5FD6" w:rsidRPr="00F43B25" w:rsidRDefault="002B5FD6" w:rsidP="00F43B25">
            <w:pPr>
              <w:pStyle w:val="ListParagraph"/>
              <w:numPr>
                <w:ilvl w:val="0"/>
                <w:numId w:val="21"/>
              </w:numPr>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Avizarea și consultarea publică a proiectului</w:t>
            </w:r>
          </w:p>
        </w:tc>
      </w:tr>
      <w:tr w:rsidR="002B5FD6" w:rsidTr="004D6EFB">
        <w:tc>
          <w:tcPr>
            <w:tcW w:w="10206" w:type="dxa"/>
          </w:tcPr>
          <w:p w:rsidR="002B5FD6" w:rsidRPr="00861117" w:rsidRDefault="002B5FD6" w:rsidP="00986DC0">
            <w:pPr>
              <w:pStyle w:val="BodyText"/>
              <w:ind w:firstLine="567"/>
              <w:jc w:val="both"/>
              <w:rPr>
                <w:bCs/>
                <w:sz w:val="26"/>
                <w:szCs w:val="26"/>
                <w:lang w:val="ro-RO" w:eastAsia="ru-RU"/>
              </w:rPr>
            </w:pPr>
            <w:r w:rsidRPr="00861117">
              <w:rPr>
                <w:bCs/>
                <w:sz w:val="26"/>
                <w:szCs w:val="26"/>
                <w:lang w:val="ro-RO" w:eastAsia="ru-RU"/>
              </w:rPr>
              <w:t>În scopul respectării prevederilor</w:t>
            </w:r>
            <w:r w:rsidR="00C26942" w:rsidRPr="00861117">
              <w:rPr>
                <w:bCs/>
                <w:sz w:val="26"/>
                <w:szCs w:val="26"/>
                <w:lang w:val="ro-RO" w:eastAsia="ru-RU"/>
              </w:rPr>
              <w:t xml:space="preserve"> Legii nr. 239/</w:t>
            </w:r>
            <w:r w:rsidRPr="00861117">
              <w:rPr>
                <w:bCs/>
                <w:sz w:val="26"/>
                <w:szCs w:val="26"/>
                <w:lang w:val="ro-RO" w:eastAsia="ru-RU"/>
              </w:rPr>
              <w:t xml:space="preserve">2008 privind transparența în procesul decizional, </w:t>
            </w:r>
            <w:r w:rsidR="00B4160F" w:rsidRPr="00861117">
              <w:rPr>
                <w:bCs/>
                <w:sz w:val="26"/>
                <w:szCs w:val="26"/>
                <w:lang w:val="ro-RO" w:eastAsia="ru-RU"/>
              </w:rPr>
              <w:t xml:space="preserve">proiectul analizei și </w:t>
            </w:r>
            <w:r w:rsidRPr="00861117">
              <w:rPr>
                <w:bCs/>
                <w:sz w:val="26"/>
                <w:szCs w:val="26"/>
                <w:lang w:val="ro-RO" w:eastAsia="ru-RU"/>
              </w:rPr>
              <w:t>proiect</w:t>
            </w:r>
            <w:r w:rsidR="00861117" w:rsidRPr="00861117">
              <w:rPr>
                <w:bCs/>
                <w:sz w:val="26"/>
                <w:szCs w:val="26"/>
                <w:lang w:val="ro-RO" w:eastAsia="ru-RU"/>
              </w:rPr>
              <w:t>ele</w:t>
            </w:r>
            <w:r w:rsidRPr="00861117">
              <w:rPr>
                <w:bCs/>
                <w:sz w:val="26"/>
                <w:szCs w:val="26"/>
                <w:lang w:val="ro-RO" w:eastAsia="ru-RU"/>
              </w:rPr>
              <w:t xml:space="preserve"> Hotărâri</w:t>
            </w:r>
            <w:r w:rsidR="00861117" w:rsidRPr="00861117">
              <w:rPr>
                <w:bCs/>
                <w:sz w:val="26"/>
                <w:szCs w:val="26"/>
                <w:lang w:val="ro-RO" w:eastAsia="ru-RU"/>
              </w:rPr>
              <w:t>lor</w:t>
            </w:r>
            <w:r w:rsidRPr="00861117">
              <w:rPr>
                <w:bCs/>
                <w:sz w:val="26"/>
                <w:szCs w:val="26"/>
                <w:lang w:val="ro-RO" w:eastAsia="ru-RU"/>
              </w:rPr>
              <w:t xml:space="preserve"> Consiliului de Administrație al ANRCETI a fost plasat pe pagina web oficială a ANRCETI </w:t>
            </w:r>
            <w:hyperlink r:id="rId7" w:history="1">
              <w:r w:rsidR="00F43B25" w:rsidRPr="00861117">
                <w:rPr>
                  <w:rStyle w:val="Hyperlink"/>
                  <w:bCs/>
                  <w:sz w:val="26"/>
                  <w:szCs w:val="26"/>
                  <w:lang w:val="ro-RO" w:eastAsia="ru-RU"/>
                </w:rPr>
                <w:t>www.anrceti.md</w:t>
              </w:r>
            </w:hyperlink>
            <w:r w:rsidRPr="00861117">
              <w:rPr>
                <w:bCs/>
                <w:sz w:val="26"/>
                <w:szCs w:val="26"/>
                <w:lang w:val="ro-RO" w:eastAsia="ru-RU"/>
              </w:rPr>
              <w:t xml:space="preserve">, compartimentul </w:t>
            </w:r>
            <w:r w:rsidRPr="00861117">
              <w:rPr>
                <w:bCs/>
                <w:i/>
                <w:sz w:val="26"/>
                <w:szCs w:val="26"/>
                <w:lang w:val="ro-RO" w:eastAsia="ru-RU"/>
              </w:rPr>
              <w:t>Transparența decizională</w:t>
            </w:r>
            <w:r w:rsidRPr="00861117">
              <w:rPr>
                <w:bCs/>
                <w:sz w:val="26"/>
                <w:szCs w:val="26"/>
                <w:lang w:val="ro-RO" w:eastAsia="ru-RU"/>
              </w:rPr>
              <w:t xml:space="preserve">, secțiunea </w:t>
            </w:r>
            <w:r w:rsidRPr="00861117">
              <w:rPr>
                <w:bCs/>
                <w:i/>
                <w:sz w:val="26"/>
                <w:szCs w:val="26"/>
                <w:lang w:val="ro-RO" w:eastAsia="ru-RU"/>
              </w:rPr>
              <w:t>Proiecte în derulare</w:t>
            </w:r>
            <w:r w:rsidRPr="00861117">
              <w:rPr>
                <w:bCs/>
                <w:sz w:val="26"/>
                <w:szCs w:val="26"/>
                <w:lang w:val="ro-RO" w:eastAsia="ru-RU"/>
              </w:rPr>
              <w:t xml:space="preserve">, pentru perioada </w:t>
            </w:r>
            <w:r w:rsidR="002036EA">
              <w:rPr>
                <w:bCs/>
                <w:sz w:val="26"/>
                <w:szCs w:val="26"/>
                <w:lang w:val="ro-RO" w:eastAsia="ru-RU"/>
              </w:rPr>
              <w:t>03</w:t>
            </w:r>
            <w:r w:rsidRPr="000B2476">
              <w:rPr>
                <w:bCs/>
                <w:sz w:val="26"/>
                <w:szCs w:val="26"/>
                <w:lang w:val="ro-RO" w:eastAsia="ru-RU"/>
              </w:rPr>
              <w:t>.</w:t>
            </w:r>
            <w:r w:rsidR="00DB7427" w:rsidRPr="000B2476">
              <w:rPr>
                <w:bCs/>
                <w:sz w:val="26"/>
                <w:szCs w:val="26"/>
                <w:lang w:val="ro-RO" w:eastAsia="ru-RU"/>
              </w:rPr>
              <w:t>0</w:t>
            </w:r>
            <w:r w:rsidR="002036EA">
              <w:rPr>
                <w:bCs/>
                <w:sz w:val="26"/>
                <w:szCs w:val="26"/>
                <w:lang w:val="ro-RO" w:eastAsia="ru-RU"/>
              </w:rPr>
              <w:t>6</w:t>
            </w:r>
            <w:r w:rsidRPr="000B2476">
              <w:rPr>
                <w:bCs/>
                <w:sz w:val="26"/>
                <w:szCs w:val="26"/>
                <w:lang w:val="ro-RO" w:eastAsia="ru-RU"/>
              </w:rPr>
              <w:t>.201</w:t>
            </w:r>
            <w:r w:rsidR="00DB7427" w:rsidRPr="000B2476">
              <w:rPr>
                <w:bCs/>
                <w:sz w:val="26"/>
                <w:szCs w:val="26"/>
                <w:lang w:val="ro-RO" w:eastAsia="ru-RU"/>
              </w:rPr>
              <w:t>9</w:t>
            </w:r>
            <w:r w:rsidRPr="000B2476">
              <w:rPr>
                <w:bCs/>
                <w:sz w:val="26"/>
                <w:szCs w:val="26"/>
                <w:lang w:val="ro-RO" w:eastAsia="ru-RU"/>
              </w:rPr>
              <w:t xml:space="preserve"> – </w:t>
            </w:r>
            <w:r w:rsidR="002D0619" w:rsidRPr="000B2476">
              <w:rPr>
                <w:bCs/>
                <w:sz w:val="26"/>
                <w:szCs w:val="26"/>
                <w:lang w:val="ro-RO" w:eastAsia="ru-RU"/>
              </w:rPr>
              <w:t>2</w:t>
            </w:r>
            <w:r w:rsidR="000B2476" w:rsidRPr="000B2476">
              <w:rPr>
                <w:bCs/>
                <w:sz w:val="26"/>
                <w:szCs w:val="26"/>
                <w:lang w:val="ro-RO" w:eastAsia="ru-RU"/>
              </w:rPr>
              <w:t>1</w:t>
            </w:r>
            <w:r w:rsidRPr="000B2476">
              <w:rPr>
                <w:bCs/>
                <w:sz w:val="26"/>
                <w:szCs w:val="26"/>
                <w:lang w:val="ro-RO" w:eastAsia="ru-RU"/>
              </w:rPr>
              <w:t>.</w:t>
            </w:r>
            <w:r w:rsidR="00DB7427" w:rsidRPr="000B2476">
              <w:rPr>
                <w:bCs/>
                <w:sz w:val="26"/>
                <w:szCs w:val="26"/>
                <w:lang w:val="ro-RO" w:eastAsia="ru-RU"/>
              </w:rPr>
              <w:t>06</w:t>
            </w:r>
            <w:r w:rsidRPr="000B2476">
              <w:rPr>
                <w:bCs/>
                <w:sz w:val="26"/>
                <w:szCs w:val="26"/>
                <w:lang w:val="ro-RO" w:eastAsia="ru-RU"/>
              </w:rPr>
              <w:t>.201</w:t>
            </w:r>
            <w:r w:rsidR="00DB7427">
              <w:rPr>
                <w:bCs/>
                <w:sz w:val="26"/>
                <w:szCs w:val="26"/>
                <w:lang w:val="ro-RO" w:eastAsia="ru-RU"/>
              </w:rPr>
              <w:t>9</w:t>
            </w:r>
            <w:r w:rsidR="005D2020">
              <w:rPr>
                <w:color w:val="252525"/>
                <w:sz w:val="26"/>
                <w:szCs w:val="26"/>
                <w:lang w:val="ro-RO" w:eastAsia="ru-RU"/>
              </w:rPr>
              <w:t xml:space="preserve"> </w:t>
            </w:r>
            <w:r w:rsidR="005D2020" w:rsidRPr="005D2020">
              <w:rPr>
                <w:bCs/>
                <w:sz w:val="26"/>
                <w:szCs w:val="26"/>
                <w:lang w:val="ro-RO" w:eastAsia="ru-RU"/>
              </w:rPr>
              <w:t>cu ulterioara desfășurare a ședințelor suplimentare pentru clarificarea pozițiilor părților interesate</w:t>
            </w:r>
            <w:r w:rsidRPr="00861117">
              <w:rPr>
                <w:bCs/>
                <w:sz w:val="26"/>
                <w:szCs w:val="26"/>
                <w:lang w:val="ro-RO" w:eastAsia="ru-RU"/>
              </w:rPr>
              <w:t>.</w:t>
            </w:r>
            <w:r w:rsidR="006B1292" w:rsidRPr="00861117">
              <w:rPr>
                <w:lang w:val="ro-RO"/>
              </w:rPr>
              <w:t xml:space="preserve"> </w:t>
            </w:r>
            <w:r w:rsidR="004E549C" w:rsidRPr="004E549C">
              <w:rPr>
                <w:bCs/>
                <w:sz w:val="26"/>
                <w:szCs w:val="26"/>
                <w:lang w:val="ro-RO" w:eastAsia="ru-RU"/>
              </w:rPr>
              <w:t>Comentarii la proiect</w:t>
            </w:r>
            <w:r w:rsidR="004E549C">
              <w:rPr>
                <w:bCs/>
                <w:sz w:val="26"/>
                <w:szCs w:val="26"/>
                <w:lang w:val="ro-RO" w:eastAsia="ru-RU"/>
              </w:rPr>
              <w:t>e</w:t>
            </w:r>
            <w:r w:rsidR="004E549C" w:rsidRPr="004E549C">
              <w:rPr>
                <w:bCs/>
                <w:sz w:val="26"/>
                <w:szCs w:val="26"/>
                <w:lang w:val="ro-RO" w:eastAsia="ru-RU"/>
              </w:rPr>
              <w:t xml:space="preserve"> au parvenit din partea S.A.„Moldtelecom”</w:t>
            </w:r>
            <w:r w:rsidR="004E549C">
              <w:rPr>
                <w:bCs/>
                <w:sz w:val="26"/>
                <w:szCs w:val="26"/>
                <w:lang w:val="ro-RO" w:eastAsia="ru-RU"/>
              </w:rPr>
              <w:t xml:space="preserve">, </w:t>
            </w:r>
            <w:r w:rsidR="004E549C" w:rsidRPr="004E549C">
              <w:rPr>
                <w:bCs/>
                <w:sz w:val="26"/>
                <w:szCs w:val="26"/>
                <w:lang w:val="ro-RO" w:eastAsia="ru-RU"/>
              </w:rPr>
              <w:t>S.A.„</w:t>
            </w:r>
            <w:r w:rsidR="004E549C">
              <w:rPr>
                <w:bCs/>
                <w:sz w:val="26"/>
                <w:szCs w:val="26"/>
                <w:lang w:val="ro-RO" w:eastAsia="ru-RU"/>
              </w:rPr>
              <w:t>Moldcell</w:t>
            </w:r>
            <w:r w:rsidR="004E549C" w:rsidRPr="004E549C">
              <w:rPr>
                <w:bCs/>
                <w:sz w:val="26"/>
                <w:szCs w:val="26"/>
                <w:lang w:val="ro-RO" w:eastAsia="ru-RU"/>
              </w:rPr>
              <w:t>” și S.A.„Orange Moldova”. Poziția ANRCETI este expusă în Sinteza recomandărilor la proiect</w:t>
            </w:r>
            <w:r w:rsidR="004E549C">
              <w:rPr>
                <w:bCs/>
                <w:sz w:val="26"/>
                <w:szCs w:val="26"/>
                <w:lang w:val="ro-RO" w:eastAsia="ru-RU"/>
              </w:rPr>
              <w:t>ele</w:t>
            </w:r>
            <w:r w:rsidR="004E549C" w:rsidRPr="004E549C">
              <w:rPr>
                <w:bCs/>
                <w:sz w:val="26"/>
                <w:szCs w:val="26"/>
                <w:lang w:val="ro-RO" w:eastAsia="ru-RU"/>
              </w:rPr>
              <w:t xml:space="preserve"> nominalizat</w:t>
            </w:r>
            <w:r w:rsidR="004E549C">
              <w:rPr>
                <w:bCs/>
                <w:sz w:val="26"/>
                <w:szCs w:val="26"/>
                <w:lang w:val="ro-RO" w:eastAsia="ru-RU"/>
              </w:rPr>
              <w:t>e</w:t>
            </w:r>
            <w:r w:rsidR="004E549C" w:rsidRPr="004E549C">
              <w:rPr>
                <w:bCs/>
                <w:sz w:val="26"/>
                <w:szCs w:val="26"/>
                <w:lang w:val="ro-RO" w:eastAsia="ru-RU"/>
              </w:rPr>
              <w:t>.</w:t>
            </w:r>
            <w:bookmarkStart w:id="0" w:name="_GoBack"/>
            <w:bookmarkEnd w:id="0"/>
          </w:p>
        </w:tc>
      </w:tr>
      <w:tr w:rsidR="002B5FD6" w:rsidTr="0042254B">
        <w:tc>
          <w:tcPr>
            <w:tcW w:w="10206" w:type="dxa"/>
            <w:shd w:val="clear" w:color="auto" w:fill="BFBFBF" w:themeFill="background1" w:themeFillShade="BF"/>
          </w:tcPr>
          <w:p w:rsidR="002B5FD6" w:rsidRPr="00F43B25" w:rsidRDefault="00130CED" w:rsidP="00F43B25">
            <w:pPr>
              <w:pStyle w:val="ListParagraph"/>
              <w:numPr>
                <w:ilvl w:val="0"/>
                <w:numId w:val="21"/>
              </w:numPr>
              <w:ind w:left="284" w:hanging="284"/>
              <w:jc w:val="both"/>
              <w:rPr>
                <w:rFonts w:ascii="Times New Roman" w:hAnsi="Times New Roman" w:cs="Times New Roman"/>
                <w:b/>
                <w:bCs/>
                <w:sz w:val="26"/>
                <w:szCs w:val="26"/>
              </w:rPr>
            </w:pPr>
            <w:r w:rsidRPr="00F43B25">
              <w:rPr>
                <w:rFonts w:ascii="Times New Roman" w:hAnsi="Times New Roman" w:cs="Times New Roman"/>
                <w:b/>
                <w:bCs/>
                <w:sz w:val="26"/>
                <w:szCs w:val="26"/>
              </w:rPr>
              <w:t>Consultările expertizei de compatibilitate</w:t>
            </w:r>
          </w:p>
        </w:tc>
      </w:tr>
      <w:tr w:rsidR="002B5FD6" w:rsidTr="004D6EFB">
        <w:tc>
          <w:tcPr>
            <w:tcW w:w="10206" w:type="dxa"/>
          </w:tcPr>
          <w:p w:rsidR="002B5FD6" w:rsidRPr="00130CED" w:rsidRDefault="00130CED" w:rsidP="00F43B25">
            <w:pPr>
              <w:ind w:firstLine="567"/>
              <w:jc w:val="both"/>
              <w:rPr>
                <w:rFonts w:ascii="Times New Roman" w:eastAsia="Times New Roman" w:hAnsi="Times New Roman" w:cs="Times New Roman"/>
                <w:bCs/>
                <w:sz w:val="26"/>
                <w:szCs w:val="26"/>
                <w:lang w:eastAsia="ru-RU"/>
              </w:rPr>
            </w:pPr>
            <w:r w:rsidRPr="00F43B25">
              <w:rPr>
                <w:rFonts w:ascii="Times New Roman" w:hAnsi="Times New Roman" w:cs="Times New Roman"/>
                <w:sz w:val="26"/>
                <w:szCs w:val="26"/>
              </w:rPr>
              <w:t>Nu este necesitate.</w:t>
            </w:r>
          </w:p>
        </w:tc>
      </w:tr>
      <w:tr w:rsidR="00130CED" w:rsidTr="0042254B">
        <w:tc>
          <w:tcPr>
            <w:tcW w:w="10206" w:type="dxa"/>
            <w:shd w:val="clear" w:color="auto" w:fill="BFBFBF" w:themeFill="background1" w:themeFillShade="BF"/>
          </w:tcPr>
          <w:p w:rsidR="00130CED" w:rsidRPr="004D6EFB" w:rsidRDefault="00130CED" w:rsidP="00F43B25">
            <w:pPr>
              <w:pStyle w:val="ListParagraph"/>
              <w:numPr>
                <w:ilvl w:val="0"/>
                <w:numId w:val="21"/>
              </w:numPr>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Constatările expertizei anticorupție</w:t>
            </w:r>
          </w:p>
          <w:p w:rsidR="00130CED" w:rsidRPr="004D6EFB" w:rsidRDefault="00130CED" w:rsidP="00130CED">
            <w:pPr>
              <w:ind w:firstLine="720"/>
              <w:jc w:val="both"/>
              <w:rPr>
                <w:rFonts w:ascii="Times New Roman" w:eastAsia="Times New Roman" w:hAnsi="Times New Roman" w:cs="Times New Roman"/>
                <w:bCs/>
                <w:sz w:val="26"/>
                <w:szCs w:val="26"/>
                <w:lang w:eastAsia="ru-RU"/>
              </w:rPr>
            </w:pPr>
          </w:p>
        </w:tc>
      </w:tr>
      <w:tr w:rsidR="00130CED" w:rsidTr="0042254B">
        <w:tc>
          <w:tcPr>
            <w:tcW w:w="10206" w:type="dxa"/>
            <w:shd w:val="clear" w:color="auto" w:fill="FFFFFF" w:themeFill="background1"/>
          </w:tcPr>
          <w:p w:rsidR="00130CED" w:rsidRPr="0042254B" w:rsidRDefault="00A558FD" w:rsidP="0042254B">
            <w:pPr>
              <w:jc w:val="both"/>
              <w:rPr>
                <w:rFonts w:ascii="Times New Roman" w:hAnsi="Times New Roman" w:cs="Times New Roman"/>
                <w:sz w:val="26"/>
                <w:szCs w:val="26"/>
              </w:rPr>
            </w:pPr>
            <w:r>
              <w:rPr>
                <w:rFonts w:ascii="Times New Roman" w:eastAsia="Times New Roman" w:hAnsi="Times New Roman" w:cs="Times New Roman"/>
                <w:bCs/>
                <w:sz w:val="26"/>
                <w:szCs w:val="26"/>
                <w:lang w:eastAsia="ru-RU"/>
              </w:rPr>
              <w:t xml:space="preserve">        </w:t>
            </w:r>
            <w:r w:rsidR="00015398" w:rsidRPr="0042254B">
              <w:rPr>
                <w:rFonts w:ascii="Times New Roman" w:eastAsia="Times New Roman" w:hAnsi="Times New Roman" w:cs="Times New Roman"/>
                <w:bCs/>
                <w:sz w:val="26"/>
                <w:szCs w:val="26"/>
                <w:lang w:eastAsia="ru-RU"/>
              </w:rPr>
              <w:t>Vor fi incluse ulterior, în caz că vor fi realizate</w:t>
            </w:r>
            <w:r w:rsidRPr="00C26942">
              <w:rPr>
                <w:rFonts w:ascii="Times New Roman" w:eastAsia="Times New Roman" w:hAnsi="Times New Roman" w:cs="Times New Roman"/>
                <w:bCs/>
                <w:sz w:val="26"/>
                <w:szCs w:val="26"/>
                <w:lang w:eastAsia="ru-RU"/>
              </w:rPr>
              <w:t>.</w:t>
            </w:r>
          </w:p>
        </w:tc>
      </w:tr>
      <w:tr w:rsidR="0042254B" w:rsidTr="00F43B25">
        <w:tc>
          <w:tcPr>
            <w:tcW w:w="10206" w:type="dxa"/>
            <w:shd w:val="clear" w:color="auto" w:fill="BFBFBF" w:themeFill="background1" w:themeFillShade="BF"/>
          </w:tcPr>
          <w:p w:rsidR="0042254B" w:rsidRPr="009607DE" w:rsidRDefault="0042254B" w:rsidP="009607DE">
            <w:pPr>
              <w:pStyle w:val="ListParagraph"/>
              <w:numPr>
                <w:ilvl w:val="0"/>
                <w:numId w:val="21"/>
              </w:numPr>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Constatările expertizei juridice</w:t>
            </w:r>
          </w:p>
        </w:tc>
      </w:tr>
      <w:tr w:rsidR="0042254B" w:rsidTr="004D6EFB">
        <w:tc>
          <w:tcPr>
            <w:tcW w:w="10206" w:type="dxa"/>
          </w:tcPr>
          <w:p w:rsidR="0042254B" w:rsidRPr="00C26942" w:rsidRDefault="00C26942" w:rsidP="00C26942">
            <w:pPr>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6"/>
                <w:szCs w:val="26"/>
                <w:lang w:eastAsia="ru-RU"/>
              </w:rPr>
              <w:t xml:space="preserve">        </w:t>
            </w:r>
            <w:r w:rsidR="00015398" w:rsidRPr="0042254B">
              <w:rPr>
                <w:rFonts w:ascii="Times New Roman" w:eastAsia="Times New Roman" w:hAnsi="Times New Roman" w:cs="Times New Roman"/>
                <w:bCs/>
                <w:sz w:val="26"/>
                <w:szCs w:val="26"/>
                <w:lang w:eastAsia="ru-RU"/>
              </w:rPr>
              <w:t>Vor fi incluse ulterior, în caz că vor fi realizate</w:t>
            </w:r>
            <w:r w:rsidR="00155967" w:rsidRPr="00C26942">
              <w:rPr>
                <w:rFonts w:ascii="Times New Roman" w:eastAsia="Times New Roman" w:hAnsi="Times New Roman" w:cs="Times New Roman"/>
                <w:bCs/>
                <w:sz w:val="26"/>
                <w:szCs w:val="26"/>
                <w:lang w:eastAsia="ru-RU"/>
              </w:rPr>
              <w:t>.</w:t>
            </w:r>
          </w:p>
        </w:tc>
      </w:tr>
      <w:tr w:rsidR="0042254B" w:rsidTr="00F43B25">
        <w:tc>
          <w:tcPr>
            <w:tcW w:w="10206" w:type="dxa"/>
            <w:shd w:val="clear" w:color="auto" w:fill="BFBFBF" w:themeFill="background1" w:themeFillShade="BF"/>
          </w:tcPr>
          <w:p w:rsidR="0042254B" w:rsidRPr="0042254B" w:rsidRDefault="0042254B" w:rsidP="009607DE">
            <w:pPr>
              <w:pStyle w:val="ListParagraph"/>
              <w:numPr>
                <w:ilvl w:val="0"/>
                <w:numId w:val="21"/>
              </w:numPr>
              <w:ind w:left="284" w:hanging="284"/>
              <w:jc w:val="both"/>
              <w:rPr>
                <w:rFonts w:ascii="Times New Roman" w:eastAsia="Times New Roman" w:hAnsi="Times New Roman" w:cs="Times New Roman"/>
                <w:b/>
                <w:bCs/>
                <w:sz w:val="26"/>
                <w:szCs w:val="26"/>
                <w:lang w:eastAsia="ru-RU"/>
              </w:rPr>
            </w:pPr>
            <w:r w:rsidRPr="009607DE">
              <w:rPr>
                <w:rFonts w:ascii="Times New Roman" w:eastAsia="Times New Roman" w:hAnsi="Times New Roman" w:cs="Times New Roman"/>
                <w:b/>
                <w:bCs/>
                <w:sz w:val="26"/>
                <w:szCs w:val="26"/>
                <w:lang w:eastAsia="ru-RU"/>
              </w:rPr>
              <w:t>Constatările altor expertize</w:t>
            </w:r>
          </w:p>
        </w:tc>
      </w:tr>
      <w:tr w:rsidR="0042254B" w:rsidTr="004D6EFB">
        <w:tc>
          <w:tcPr>
            <w:tcW w:w="10206" w:type="dxa"/>
          </w:tcPr>
          <w:p w:rsidR="0042254B" w:rsidRPr="0042254B" w:rsidRDefault="0042254B" w:rsidP="009607DE">
            <w:pPr>
              <w:pStyle w:val="ListParagraph"/>
              <w:ind w:left="0" w:firstLine="567"/>
              <w:jc w:val="both"/>
              <w:rPr>
                <w:rFonts w:ascii="Times New Roman" w:eastAsia="Times New Roman" w:hAnsi="Times New Roman" w:cs="Times New Roman"/>
                <w:bCs/>
                <w:sz w:val="26"/>
                <w:szCs w:val="26"/>
                <w:lang w:eastAsia="ru-RU"/>
              </w:rPr>
            </w:pPr>
            <w:r w:rsidRPr="0042254B">
              <w:rPr>
                <w:rFonts w:ascii="Times New Roman" w:eastAsia="Times New Roman" w:hAnsi="Times New Roman" w:cs="Times New Roman"/>
                <w:bCs/>
                <w:sz w:val="26"/>
                <w:szCs w:val="26"/>
                <w:lang w:eastAsia="ru-RU"/>
              </w:rPr>
              <w:t>Vor fi incluse ulterior, în caz că vor fi realizate.</w:t>
            </w:r>
          </w:p>
        </w:tc>
      </w:tr>
    </w:tbl>
    <w:p w:rsidR="00205DC1" w:rsidRPr="004D6EFB" w:rsidRDefault="00205DC1" w:rsidP="00194911">
      <w:pPr>
        <w:keepNext/>
        <w:spacing w:after="0"/>
        <w:ind w:firstLine="720"/>
        <w:jc w:val="both"/>
        <w:outlineLvl w:val="0"/>
        <w:rPr>
          <w:rFonts w:ascii="Times New Roman" w:eastAsia="Times New Roman" w:hAnsi="Times New Roman" w:cs="Times New Roman"/>
          <w:sz w:val="26"/>
          <w:szCs w:val="26"/>
          <w:lang w:eastAsia="ru-RU"/>
        </w:rPr>
      </w:pPr>
    </w:p>
    <w:p w:rsidR="008B7961" w:rsidRDefault="00155967" w:rsidP="008B7961">
      <w:pPr>
        <w:spacing w:after="0"/>
        <w:ind w:firstLine="562"/>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542CB2" w:rsidRPr="008B7961" w:rsidRDefault="00122992" w:rsidP="008B7961">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Director ANRCETI</w:t>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t>Octavian RĂU</w:t>
      </w:r>
    </w:p>
    <w:p w:rsidR="00542CB2" w:rsidRPr="00637007" w:rsidRDefault="00542CB2" w:rsidP="00637007">
      <w:pPr>
        <w:spacing w:after="0"/>
        <w:ind w:firstLine="562"/>
        <w:jc w:val="both"/>
        <w:rPr>
          <w:rFonts w:ascii="Times New Roman" w:eastAsia="Times New Roman" w:hAnsi="Times New Roman" w:cs="Times New Roman"/>
          <w:sz w:val="26"/>
          <w:szCs w:val="26"/>
          <w:lang w:eastAsia="ru-RU"/>
        </w:rPr>
      </w:pPr>
    </w:p>
    <w:p w:rsidR="003A4F3C" w:rsidRPr="00637007" w:rsidRDefault="003A4F3C" w:rsidP="00637007">
      <w:pPr>
        <w:keepNext/>
        <w:spacing w:after="0"/>
        <w:ind w:firstLine="567"/>
        <w:jc w:val="both"/>
        <w:outlineLvl w:val="0"/>
        <w:rPr>
          <w:rFonts w:ascii="Times New Roman" w:eastAsia="Times New Roman" w:hAnsi="Times New Roman" w:cs="Times New Roman"/>
          <w:sz w:val="26"/>
          <w:szCs w:val="26"/>
          <w:lang w:eastAsia="ru-RU"/>
        </w:rPr>
      </w:pPr>
    </w:p>
    <w:sectPr w:rsidR="003A4F3C" w:rsidRPr="00637007" w:rsidSect="00637007">
      <w:pgSz w:w="12240" w:h="15840" w:code="1"/>
      <w:pgMar w:top="720" w:right="900" w:bottom="270" w:left="13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C7"/>
    <w:multiLevelType w:val="hybridMultilevel"/>
    <w:tmpl w:val="82022782"/>
    <w:lvl w:ilvl="0" w:tplc="5B986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45AA7"/>
    <w:multiLevelType w:val="hybridMultilevel"/>
    <w:tmpl w:val="12127C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BD6A01"/>
    <w:multiLevelType w:val="hybridMultilevel"/>
    <w:tmpl w:val="F814B0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6B12C1"/>
    <w:multiLevelType w:val="hybridMultilevel"/>
    <w:tmpl w:val="A12A75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66D5127"/>
    <w:multiLevelType w:val="hybridMultilevel"/>
    <w:tmpl w:val="064042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F075619"/>
    <w:multiLevelType w:val="hybridMultilevel"/>
    <w:tmpl w:val="D062D9BE"/>
    <w:lvl w:ilvl="0" w:tplc="CF9629B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00604D7"/>
    <w:multiLevelType w:val="hybridMultilevel"/>
    <w:tmpl w:val="0ADAB826"/>
    <w:lvl w:ilvl="0" w:tplc="51FCC2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3481CB9"/>
    <w:multiLevelType w:val="hybridMultilevel"/>
    <w:tmpl w:val="43CA3008"/>
    <w:lvl w:ilvl="0" w:tplc="DC08D6F0">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435C6F"/>
    <w:multiLevelType w:val="hybridMultilevel"/>
    <w:tmpl w:val="91FAA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00F03"/>
    <w:multiLevelType w:val="hybridMultilevel"/>
    <w:tmpl w:val="B3DA391C"/>
    <w:lvl w:ilvl="0" w:tplc="E88A898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FAE3B47"/>
    <w:multiLevelType w:val="hybridMultilevel"/>
    <w:tmpl w:val="BC048D72"/>
    <w:lvl w:ilvl="0" w:tplc="3A02AF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8425466"/>
    <w:multiLevelType w:val="hybridMultilevel"/>
    <w:tmpl w:val="17686F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3AD617B"/>
    <w:multiLevelType w:val="hybridMultilevel"/>
    <w:tmpl w:val="9C0E43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6F12651"/>
    <w:multiLevelType w:val="hybridMultilevel"/>
    <w:tmpl w:val="A2AE9092"/>
    <w:lvl w:ilvl="0" w:tplc="32E0035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79246CD"/>
    <w:multiLevelType w:val="hybridMultilevel"/>
    <w:tmpl w:val="E4C2987E"/>
    <w:lvl w:ilvl="0" w:tplc="0409000F">
      <w:start w:val="1"/>
      <w:numFmt w:val="decimal"/>
      <w:lvlText w:val="%1."/>
      <w:lvlJc w:val="left"/>
      <w:pPr>
        <w:tabs>
          <w:tab w:val="num" w:pos="1287"/>
        </w:tabs>
        <w:ind w:left="1287" w:hanging="360"/>
      </w:pPr>
    </w:lvl>
    <w:lvl w:ilvl="1" w:tplc="2DEC4490">
      <w:start w:val="3"/>
      <w:numFmt w:val="decimal"/>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nsid w:val="59502C5F"/>
    <w:multiLevelType w:val="hybridMultilevel"/>
    <w:tmpl w:val="ACA00916"/>
    <w:lvl w:ilvl="0" w:tplc="DE86795C">
      <w:start w:val="1"/>
      <w:numFmt w:val="decimal"/>
      <w:lvlText w:val="%1."/>
      <w:lvlJc w:val="left"/>
      <w:pPr>
        <w:ind w:left="7023" w:hanging="360"/>
      </w:pPr>
      <w:rPr>
        <w:rFonts w:ascii="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5B3243CE"/>
    <w:multiLevelType w:val="hybridMultilevel"/>
    <w:tmpl w:val="36280B22"/>
    <w:lvl w:ilvl="0" w:tplc="C08E8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F3163"/>
    <w:multiLevelType w:val="hybridMultilevel"/>
    <w:tmpl w:val="A1FAA03C"/>
    <w:lvl w:ilvl="0" w:tplc="A3F8E3B2">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62D55305"/>
    <w:multiLevelType w:val="hybridMultilevel"/>
    <w:tmpl w:val="414689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0F5CD6"/>
    <w:multiLevelType w:val="hybridMultilevel"/>
    <w:tmpl w:val="9D88E360"/>
    <w:lvl w:ilvl="0" w:tplc="8306F4E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902C8D"/>
    <w:multiLevelType w:val="hybridMultilevel"/>
    <w:tmpl w:val="9D52D1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FC70252"/>
    <w:multiLevelType w:val="hybridMultilevel"/>
    <w:tmpl w:val="56CC51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02A415D"/>
    <w:multiLevelType w:val="hybridMultilevel"/>
    <w:tmpl w:val="EF588344"/>
    <w:lvl w:ilvl="0" w:tplc="DE86795C">
      <w:start w:val="1"/>
      <w:numFmt w:val="decimal"/>
      <w:lvlText w:val="%1."/>
      <w:lvlJc w:val="left"/>
      <w:pPr>
        <w:ind w:left="7023" w:hanging="360"/>
      </w:pPr>
      <w:rPr>
        <w:rFonts w:ascii="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71B210EA"/>
    <w:multiLevelType w:val="hybridMultilevel"/>
    <w:tmpl w:val="ACA00916"/>
    <w:lvl w:ilvl="0" w:tplc="DE86795C">
      <w:start w:val="1"/>
      <w:numFmt w:val="decimal"/>
      <w:lvlText w:val="%1."/>
      <w:lvlJc w:val="left"/>
      <w:pPr>
        <w:ind w:left="7023" w:hanging="360"/>
      </w:pPr>
      <w:rPr>
        <w:rFonts w:ascii="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7E1C406F"/>
    <w:multiLevelType w:val="hybridMultilevel"/>
    <w:tmpl w:val="30C2FA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2"/>
  </w:num>
  <w:num w:numId="3">
    <w:abstractNumId w:val="19"/>
  </w:num>
  <w:num w:numId="4">
    <w:abstractNumId w:val="11"/>
  </w:num>
  <w:num w:numId="5">
    <w:abstractNumId w:val="3"/>
  </w:num>
  <w:num w:numId="6">
    <w:abstractNumId w:val="18"/>
  </w:num>
  <w:num w:numId="7">
    <w:abstractNumId w:val="12"/>
  </w:num>
  <w:num w:numId="8">
    <w:abstractNumId w:val="14"/>
  </w:num>
  <w:num w:numId="9">
    <w:abstractNumId w:val="8"/>
  </w:num>
  <w:num w:numId="10">
    <w:abstractNumId w:val="3"/>
  </w:num>
  <w:num w:numId="11">
    <w:abstractNumId w:val="4"/>
  </w:num>
  <w:num w:numId="12">
    <w:abstractNumId w:val="9"/>
  </w:num>
  <w:num w:numId="13">
    <w:abstractNumId w:val="6"/>
  </w:num>
  <w:num w:numId="14">
    <w:abstractNumId w:val="17"/>
  </w:num>
  <w:num w:numId="15">
    <w:abstractNumId w:val="13"/>
  </w:num>
  <w:num w:numId="16">
    <w:abstractNumId w:val="20"/>
  </w:num>
  <w:num w:numId="17">
    <w:abstractNumId w:val="10"/>
  </w:num>
  <w:num w:numId="18">
    <w:abstractNumId w:val="0"/>
  </w:num>
  <w:num w:numId="19">
    <w:abstractNumId w:val="1"/>
  </w:num>
  <w:num w:numId="20">
    <w:abstractNumId w:val="7"/>
  </w:num>
  <w:num w:numId="21">
    <w:abstractNumId w:val="22"/>
  </w:num>
  <w:num w:numId="22">
    <w:abstractNumId w:val="15"/>
  </w:num>
  <w:num w:numId="23">
    <w:abstractNumId w:val="23"/>
  </w:num>
  <w:num w:numId="24">
    <w:abstractNumId w:val="21"/>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C8"/>
    <w:rsid w:val="000052EC"/>
    <w:rsid w:val="00005D36"/>
    <w:rsid w:val="00015398"/>
    <w:rsid w:val="00020425"/>
    <w:rsid w:val="000332E0"/>
    <w:rsid w:val="000426B5"/>
    <w:rsid w:val="000829C6"/>
    <w:rsid w:val="00083D0A"/>
    <w:rsid w:val="000840A5"/>
    <w:rsid w:val="0008561C"/>
    <w:rsid w:val="00086C6B"/>
    <w:rsid w:val="00090ABD"/>
    <w:rsid w:val="000B2476"/>
    <w:rsid w:val="000B2F4B"/>
    <w:rsid w:val="000B61A1"/>
    <w:rsid w:val="000C59F1"/>
    <w:rsid w:val="000D2C99"/>
    <w:rsid w:val="000E5F44"/>
    <w:rsid w:val="000E6949"/>
    <w:rsid w:val="000F0E51"/>
    <w:rsid w:val="000F1FD0"/>
    <w:rsid w:val="00103639"/>
    <w:rsid w:val="00107024"/>
    <w:rsid w:val="001164D8"/>
    <w:rsid w:val="00122992"/>
    <w:rsid w:val="00124533"/>
    <w:rsid w:val="00130C82"/>
    <w:rsid w:val="00130CED"/>
    <w:rsid w:val="00135267"/>
    <w:rsid w:val="001434D7"/>
    <w:rsid w:val="00154528"/>
    <w:rsid w:val="00155967"/>
    <w:rsid w:val="00155B06"/>
    <w:rsid w:val="00155E54"/>
    <w:rsid w:val="00156347"/>
    <w:rsid w:val="001649E4"/>
    <w:rsid w:val="00164B46"/>
    <w:rsid w:val="00181FAA"/>
    <w:rsid w:val="00194911"/>
    <w:rsid w:val="001963B1"/>
    <w:rsid w:val="001977A9"/>
    <w:rsid w:val="00197E7C"/>
    <w:rsid w:val="001A34D7"/>
    <w:rsid w:val="001A3A0C"/>
    <w:rsid w:val="001A65CE"/>
    <w:rsid w:val="001B1C1A"/>
    <w:rsid w:val="001B2330"/>
    <w:rsid w:val="001C1F2A"/>
    <w:rsid w:val="001D149B"/>
    <w:rsid w:val="001E1854"/>
    <w:rsid w:val="001E1887"/>
    <w:rsid w:val="001E519A"/>
    <w:rsid w:val="001F2029"/>
    <w:rsid w:val="002036EA"/>
    <w:rsid w:val="00205A36"/>
    <w:rsid w:val="00205DC1"/>
    <w:rsid w:val="00212BE6"/>
    <w:rsid w:val="00212EE7"/>
    <w:rsid w:val="00213354"/>
    <w:rsid w:val="0022611E"/>
    <w:rsid w:val="00231E1A"/>
    <w:rsid w:val="00232E90"/>
    <w:rsid w:val="0026487D"/>
    <w:rsid w:val="0026657A"/>
    <w:rsid w:val="002672AE"/>
    <w:rsid w:val="00271180"/>
    <w:rsid w:val="00272CD6"/>
    <w:rsid w:val="0027488E"/>
    <w:rsid w:val="00280E00"/>
    <w:rsid w:val="002921AE"/>
    <w:rsid w:val="0029390E"/>
    <w:rsid w:val="002A5F5A"/>
    <w:rsid w:val="002B5FD6"/>
    <w:rsid w:val="002C2E76"/>
    <w:rsid w:val="002C3989"/>
    <w:rsid w:val="002D0619"/>
    <w:rsid w:val="002D5F4A"/>
    <w:rsid w:val="002E4330"/>
    <w:rsid w:val="002E51D9"/>
    <w:rsid w:val="002F46C5"/>
    <w:rsid w:val="00305816"/>
    <w:rsid w:val="00311F8A"/>
    <w:rsid w:val="003139C4"/>
    <w:rsid w:val="00320C0C"/>
    <w:rsid w:val="0033679B"/>
    <w:rsid w:val="00343612"/>
    <w:rsid w:val="00350D2D"/>
    <w:rsid w:val="003555DB"/>
    <w:rsid w:val="003568A4"/>
    <w:rsid w:val="003628E0"/>
    <w:rsid w:val="003648EC"/>
    <w:rsid w:val="00375452"/>
    <w:rsid w:val="00375F1B"/>
    <w:rsid w:val="00382B97"/>
    <w:rsid w:val="00391511"/>
    <w:rsid w:val="003921E9"/>
    <w:rsid w:val="00396451"/>
    <w:rsid w:val="00396808"/>
    <w:rsid w:val="003A0049"/>
    <w:rsid w:val="003A4F3C"/>
    <w:rsid w:val="003A4FD4"/>
    <w:rsid w:val="003A6DE3"/>
    <w:rsid w:val="003B3D04"/>
    <w:rsid w:val="003C4102"/>
    <w:rsid w:val="003C7663"/>
    <w:rsid w:val="003D7EA6"/>
    <w:rsid w:val="003E58FF"/>
    <w:rsid w:val="003E5C23"/>
    <w:rsid w:val="003F6BCD"/>
    <w:rsid w:val="004058BF"/>
    <w:rsid w:val="00412422"/>
    <w:rsid w:val="004151DE"/>
    <w:rsid w:val="0042254B"/>
    <w:rsid w:val="00426B18"/>
    <w:rsid w:val="00452740"/>
    <w:rsid w:val="00456034"/>
    <w:rsid w:val="004570A2"/>
    <w:rsid w:val="004705E7"/>
    <w:rsid w:val="00481E0A"/>
    <w:rsid w:val="004824A0"/>
    <w:rsid w:val="004833FE"/>
    <w:rsid w:val="004861D6"/>
    <w:rsid w:val="00492953"/>
    <w:rsid w:val="004943C2"/>
    <w:rsid w:val="004A1E79"/>
    <w:rsid w:val="004A7649"/>
    <w:rsid w:val="004A7660"/>
    <w:rsid w:val="004A7C2C"/>
    <w:rsid w:val="004C30BC"/>
    <w:rsid w:val="004D6EFB"/>
    <w:rsid w:val="004E2186"/>
    <w:rsid w:val="004E549C"/>
    <w:rsid w:val="00504A75"/>
    <w:rsid w:val="00507487"/>
    <w:rsid w:val="00512B68"/>
    <w:rsid w:val="0051589D"/>
    <w:rsid w:val="00534DC8"/>
    <w:rsid w:val="005357A4"/>
    <w:rsid w:val="00540A6A"/>
    <w:rsid w:val="00542CB2"/>
    <w:rsid w:val="00547435"/>
    <w:rsid w:val="005546E0"/>
    <w:rsid w:val="00565B82"/>
    <w:rsid w:val="005755E7"/>
    <w:rsid w:val="00575CF4"/>
    <w:rsid w:val="00576456"/>
    <w:rsid w:val="00581761"/>
    <w:rsid w:val="00591C93"/>
    <w:rsid w:val="005A1F7E"/>
    <w:rsid w:val="005A25AD"/>
    <w:rsid w:val="005A5C63"/>
    <w:rsid w:val="005B05F5"/>
    <w:rsid w:val="005D1E38"/>
    <w:rsid w:val="005D2020"/>
    <w:rsid w:val="005D7FF1"/>
    <w:rsid w:val="005E4F17"/>
    <w:rsid w:val="005E7242"/>
    <w:rsid w:val="005F41F4"/>
    <w:rsid w:val="00604F6C"/>
    <w:rsid w:val="00624B3E"/>
    <w:rsid w:val="00637007"/>
    <w:rsid w:val="00640C24"/>
    <w:rsid w:val="0064296F"/>
    <w:rsid w:val="00651C24"/>
    <w:rsid w:val="00651FDB"/>
    <w:rsid w:val="0066680D"/>
    <w:rsid w:val="00666EA5"/>
    <w:rsid w:val="006673DD"/>
    <w:rsid w:val="00670A77"/>
    <w:rsid w:val="006710F3"/>
    <w:rsid w:val="00671467"/>
    <w:rsid w:val="00672D3C"/>
    <w:rsid w:val="006800F1"/>
    <w:rsid w:val="006802CD"/>
    <w:rsid w:val="00691896"/>
    <w:rsid w:val="00693EE6"/>
    <w:rsid w:val="0069511B"/>
    <w:rsid w:val="0069636A"/>
    <w:rsid w:val="00697364"/>
    <w:rsid w:val="00697A63"/>
    <w:rsid w:val="006A0D3C"/>
    <w:rsid w:val="006B1292"/>
    <w:rsid w:val="006D7A8E"/>
    <w:rsid w:val="006E23AC"/>
    <w:rsid w:val="006E5718"/>
    <w:rsid w:val="006E6C5C"/>
    <w:rsid w:val="00712F9B"/>
    <w:rsid w:val="00716057"/>
    <w:rsid w:val="0071695F"/>
    <w:rsid w:val="007213C2"/>
    <w:rsid w:val="00727F61"/>
    <w:rsid w:val="007302E2"/>
    <w:rsid w:val="00767DBE"/>
    <w:rsid w:val="00774CF5"/>
    <w:rsid w:val="0077668B"/>
    <w:rsid w:val="00795A5F"/>
    <w:rsid w:val="007A1730"/>
    <w:rsid w:val="007B2097"/>
    <w:rsid w:val="007C4B05"/>
    <w:rsid w:val="007F3923"/>
    <w:rsid w:val="007F3D7A"/>
    <w:rsid w:val="008067E2"/>
    <w:rsid w:val="00810F34"/>
    <w:rsid w:val="008171D6"/>
    <w:rsid w:val="008252CD"/>
    <w:rsid w:val="00832C9A"/>
    <w:rsid w:val="008350B8"/>
    <w:rsid w:val="00836537"/>
    <w:rsid w:val="00840A0E"/>
    <w:rsid w:val="00844E23"/>
    <w:rsid w:val="00846666"/>
    <w:rsid w:val="00847DA4"/>
    <w:rsid w:val="008543CD"/>
    <w:rsid w:val="00856258"/>
    <w:rsid w:val="00861117"/>
    <w:rsid w:val="00861887"/>
    <w:rsid w:val="008629A1"/>
    <w:rsid w:val="0086512A"/>
    <w:rsid w:val="008659DB"/>
    <w:rsid w:val="00881616"/>
    <w:rsid w:val="0088735A"/>
    <w:rsid w:val="008A06BE"/>
    <w:rsid w:val="008A1426"/>
    <w:rsid w:val="008A3EE4"/>
    <w:rsid w:val="008B30E2"/>
    <w:rsid w:val="008B7961"/>
    <w:rsid w:val="008E3E9B"/>
    <w:rsid w:val="008F3FC4"/>
    <w:rsid w:val="008F4B6D"/>
    <w:rsid w:val="008F5A5B"/>
    <w:rsid w:val="008F5AF3"/>
    <w:rsid w:val="00901CF3"/>
    <w:rsid w:val="0090203B"/>
    <w:rsid w:val="00902F4D"/>
    <w:rsid w:val="0090429A"/>
    <w:rsid w:val="0091607E"/>
    <w:rsid w:val="00927BAC"/>
    <w:rsid w:val="00935042"/>
    <w:rsid w:val="0094010E"/>
    <w:rsid w:val="00944EB2"/>
    <w:rsid w:val="00961DAE"/>
    <w:rsid w:val="00964552"/>
    <w:rsid w:val="009650D5"/>
    <w:rsid w:val="00973514"/>
    <w:rsid w:val="00986DC0"/>
    <w:rsid w:val="009910C7"/>
    <w:rsid w:val="00994DE5"/>
    <w:rsid w:val="009952FB"/>
    <w:rsid w:val="009957FF"/>
    <w:rsid w:val="009A146C"/>
    <w:rsid w:val="009B15C9"/>
    <w:rsid w:val="009B33D4"/>
    <w:rsid w:val="009C4F81"/>
    <w:rsid w:val="009D05E1"/>
    <w:rsid w:val="009D1B49"/>
    <w:rsid w:val="009F211E"/>
    <w:rsid w:val="00A050BE"/>
    <w:rsid w:val="00A10A73"/>
    <w:rsid w:val="00A111BA"/>
    <w:rsid w:val="00A1684C"/>
    <w:rsid w:val="00A32DFC"/>
    <w:rsid w:val="00A37A34"/>
    <w:rsid w:val="00A41D12"/>
    <w:rsid w:val="00A42E3C"/>
    <w:rsid w:val="00A4352F"/>
    <w:rsid w:val="00A47E79"/>
    <w:rsid w:val="00A502D3"/>
    <w:rsid w:val="00A522D6"/>
    <w:rsid w:val="00A558FD"/>
    <w:rsid w:val="00A62F60"/>
    <w:rsid w:val="00A65A44"/>
    <w:rsid w:val="00A71FA1"/>
    <w:rsid w:val="00AC14BA"/>
    <w:rsid w:val="00AC28AC"/>
    <w:rsid w:val="00AC3EB8"/>
    <w:rsid w:val="00AC5E9B"/>
    <w:rsid w:val="00AC7B34"/>
    <w:rsid w:val="00AD2059"/>
    <w:rsid w:val="00AD31A6"/>
    <w:rsid w:val="00AD43CF"/>
    <w:rsid w:val="00AE394E"/>
    <w:rsid w:val="00AF63AC"/>
    <w:rsid w:val="00B051DF"/>
    <w:rsid w:val="00B0705B"/>
    <w:rsid w:val="00B073E0"/>
    <w:rsid w:val="00B07A50"/>
    <w:rsid w:val="00B301C4"/>
    <w:rsid w:val="00B32FCB"/>
    <w:rsid w:val="00B367AF"/>
    <w:rsid w:val="00B4160F"/>
    <w:rsid w:val="00B51388"/>
    <w:rsid w:val="00B557BD"/>
    <w:rsid w:val="00B6178F"/>
    <w:rsid w:val="00B71DC2"/>
    <w:rsid w:val="00B75130"/>
    <w:rsid w:val="00B7714B"/>
    <w:rsid w:val="00B776B4"/>
    <w:rsid w:val="00B922AC"/>
    <w:rsid w:val="00B933AC"/>
    <w:rsid w:val="00B93E90"/>
    <w:rsid w:val="00BA6127"/>
    <w:rsid w:val="00BB45D8"/>
    <w:rsid w:val="00BD2606"/>
    <w:rsid w:val="00BE3300"/>
    <w:rsid w:val="00BE4290"/>
    <w:rsid w:val="00BF44C9"/>
    <w:rsid w:val="00C0625A"/>
    <w:rsid w:val="00C07924"/>
    <w:rsid w:val="00C11854"/>
    <w:rsid w:val="00C26942"/>
    <w:rsid w:val="00C27EF7"/>
    <w:rsid w:val="00C422F4"/>
    <w:rsid w:val="00C45B07"/>
    <w:rsid w:val="00C477C0"/>
    <w:rsid w:val="00C502EC"/>
    <w:rsid w:val="00C5102E"/>
    <w:rsid w:val="00C52BFB"/>
    <w:rsid w:val="00C553EF"/>
    <w:rsid w:val="00C65B89"/>
    <w:rsid w:val="00C6625E"/>
    <w:rsid w:val="00C6636A"/>
    <w:rsid w:val="00C71647"/>
    <w:rsid w:val="00C744E2"/>
    <w:rsid w:val="00C84EE3"/>
    <w:rsid w:val="00C85089"/>
    <w:rsid w:val="00C94E16"/>
    <w:rsid w:val="00CA45FB"/>
    <w:rsid w:val="00CA7BCF"/>
    <w:rsid w:val="00CB1F27"/>
    <w:rsid w:val="00CB39AB"/>
    <w:rsid w:val="00CC4545"/>
    <w:rsid w:val="00CE18DF"/>
    <w:rsid w:val="00CF3C78"/>
    <w:rsid w:val="00D0321C"/>
    <w:rsid w:val="00D15ED7"/>
    <w:rsid w:val="00D1605E"/>
    <w:rsid w:val="00D2184E"/>
    <w:rsid w:val="00D277E6"/>
    <w:rsid w:val="00D27B0E"/>
    <w:rsid w:val="00D405A1"/>
    <w:rsid w:val="00D432A5"/>
    <w:rsid w:val="00D450C5"/>
    <w:rsid w:val="00D649E3"/>
    <w:rsid w:val="00D6768E"/>
    <w:rsid w:val="00D7063B"/>
    <w:rsid w:val="00D74E9C"/>
    <w:rsid w:val="00D75C25"/>
    <w:rsid w:val="00D81333"/>
    <w:rsid w:val="00D91594"/>
    <w:rsid w:val="00D9198A"/>
    <w:rsid w:val="00D91A91"/>
    <w:rsid w:val="00D94BA0"/>
    <w:rsid w:val="00D9636B"/>
    <w:rsid w:val="00D96CF8"/>
    <w:rsid w:val="00D96D00"/>
    <w:rsid w:val="00DA1A42"/>
    <w:rsid w:val="00DA1C76"/>
    <w:rsid w:val="00DB2FE3"/>
    <w:rsid w:val="00DB7427"/>
    <w:rsid w:val="00DB7996"/>
    <w:rsid w:val="00DD03F0"/>
    <w:rsid w:val="00DD09B7"/>
    <w:rsid w:val="00DE59B4"/>
    <w:rsid w:val="00DE6EEA"/>
    <w:rsid w:val="00DF4A7D"/>
    <w:rsid w:val="00DF7872"/>
    <w:rsid w:val="00DF7EEC"/>
    <w:rsid w:val="00E01A42"/>
    <w:rsid w:val="00E04999"/>
    <w:rsid w:val="00E061B3"/>
    <w:rsid w:val="00E06A2E"/>
    <w:rsid w:val="00E12DFB"/>
    <w:rsid w:val="00E173E9"/>
    <w:rsid w:val="00E356A0"/>
    <w:rsid w:val="00E47098"/>
    <w:rsid w:val="00E71780"/>
    <w:rsid w:val="00E8026F"/>
    <w:rsid w:val="00E850CD"/>
    <w:rsid w:val="00E90EC8"/>
    <w:rsid w:val="00E953E7"/>
    <w:rsid w:val="00EA4532"/>
    <w:rsid w:val="00EA4F12"/>
    <w:rsid w:val="00EA67F0"/>
    <w:rsid w:val="00EB064F"/>
    <w:rsid w:val="00EC413E"/>
    <w:rsid w:val="00EC4A4B"/>
    <w:rsid w:val="00EC60F5"/>
    <w:rsid w:val="00EC73DE"/>
    <w:rsid w:val="00EE26AD"/>
    <w:rsid w:val="00EE441B"/>
    <w:rsid w:val="00EF1987"/>
    <w:rsid w:val="00EF288D"/>
    <w:rsid w:val="00EF4C7F"/>
    <w:rsid w:val="00EF73DE"/>
    <w:rsid w:val="00F0325E"/>
    <w:rsid w:val="00F06526"/>
    <w:rsid w:val="00F067A1"/>
    <w:rsid w:val="00F20537"/>
    <w:rsid w:val="00F27357"/>
    <w:rsid w:val="00F3093B"/>
    <w:rsid w:val="00F319F1"/>
    <w:rsid w:val="00F43B25"/>
    <w:rsid w:val="00F5532E"/>
    <w:rsid w:val="00F712FE"/>
    <w:rsid w:val="00F77773"/>
    <w:rsid w:val="00F82FC5"/>
    <w:rsid w:val="00F904B0"/>
    <w:rsid w:val="00FB1823"/>
    <w:rsid w:val="00FB5756"/>
    <w:rsid w:val="00FC23EB"/>
    <w:rsid w:val="00FC27B6"/>
    <w:rsid w:val="00FC30FF"/>
    <w:rsid w:val="00FC32A8"/>
    <w:rsid w:val="00FC3BF1"/>
    <w:rsid w:val="00FD0E6A"/>
    <w:rsid w:val="00FD1688"/>
    <w:rsid w:val="00FE10DB"/>
    <w:rsid w:val="00FE3CF6"/>
    <w:rsid w:val="00FF244A"/>
    <w:rsid w:val="00FF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link w:val="Heading2Char"/>
    <w:uiPriority w:val="9"/>
    <w:qFormat/>
    <w:rsid w:val="00670A7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DC8"/>
    <w:pPr>
      <w:spacing w:after="60" w:line="240" w:lineRule="auto"/>
      <w:ind w:left="180" w:hanging="18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4DC8"/>
    <w:pPr>
      <w:ind w:left="720"/>
      <w:contextualSpacing/>
    </w:pPr>
  </w:style>
  <w:style w:type="character" w:styleId="Hyperlink">
    <w:name w:val="Hyperlink"/>
    <w:basedOn w:val="DefaultParagraphFont"/>
    <w:uiPriority w:val="99"/>
    <w:unhideWhenUsed/>
    <w:rsid w:val="00311F8A"/>
    <w:rPr>
      <w:color w:val="0000FF" w:themeColor="hyperlink"/>
      <w:u w:val="single"/>
    </w:rPr>
  </w:style>
  <w:style w:type="paragraph" w:styleId="BalloonText">
    <w:name w:val="Balloon Text"/>
    <w:basedOn w:val="Normal"/>
    <w:link w:val="BalloonTextChar"/>
    <w:uiPriority w:val="99"/>
    <w:semiHidden/>
    <w:unhideWhenUsed/>
    <w:rsid w:val="003A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4"/>
    <w:rPr>
      <w:rFonts w:ascii="Tahoma" w:hAnsi="Tahoma" w:cs="Tahoma"/>
      <w:sz w:val="16"/>
      <w:szCs w:val="16"/>
      <w:lang w:val="ro-RO"/>
    </w:rPr>
  </w:style>
  <w:style w:type="character" w:customStyle="1" w:styleId="apple-converted-space">
    <w:name w:val="apple-converted-space"/>
    <w:basedOn w:val="DefaultParagraphFont"/>
    <w:rsid w:val="006710F3"/>
  </w:style>
  <w:style w:type="character" w:styleId="FollowedHyperlink">
    <w:name w:val="FollowedHyperlink"/>
    <w:basedOn w:val="DefaultParagraphFont"/>
    <w:uiPriority w:val="99"/>
    <w:semiHidden/>
    <w:unhideWhenUsed/>
    <w:rsid w:val="00FB5756"/>
    <w:rPr>
      <w:color w:val="800080" w:themeColor="followedHyperlink"/>
      <w:u w:val="single"/>
    </w:rPr>
  </w:style>
  <w:style w:type="paragraph" w:customStyle="1" w:styleId="CaracterCaracter">
    <w:name w:val="Caracter Caracter"/>
    <w:basedOn w:val="Normal"/>
    <w:rsid w:val="001C1F2A"/>
    <w:pPr>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9F211E"/>
    <w:pPr>
      <w:spacing w:after="0" w:line="240" w:lineRule="auto"/>
      <w:jc w:val="both"/>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A1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E06A2E"/>
    <w:rPr>
      <w:sz w:val="20"/>
      <w:szCs w:val="20"/>
    </w:rPr>
  </w:style>
  <w:style w:type="paragraph" w:customStyle="1" w:styleId="3">
    <w:name w:val="Знак Знак3 Знак Знак"/>
    <w:basedOn w:val="Normal"/>
    <w:rsid w:val="00BA6127"/>
    <w:pPr>
      <w:spacing w:after="160" w:line="240" w:lineRule="exact"/>
    </w:pPr>
    <w:rPr>
      <w:rFonts w:ascii="Tahoma" w:eastAsia="Times New Roman" w:hAnsi="Tahoma" w:cs="Times New Roman"/>
      <w:sz w:val="20"/>
      <w:szCs w:val="20"/>
      <w:lang w:val="en-US"/>
    </w:rPr>
  </w:style>
  <w:style w:type="character" w:customStyle="1" w:styleId="docheader">
    <w:name w:val="doc_header"/>
    <w:basedOn w:val="DefaultParagraphFont"/>
    <w:rsid w:val="00FC30FF"/>
  </w:style>
  <w:style w:type="paragraph" w:styleId="HTMLPreformatted">
    <w:name w:val="HTML Preformatted"/>
    <w:basedOn w:val="Normal"/>
    <w:link w:val="HTMLPreformattedChar"/>
    <w:rsid w:val="0096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964552"/>
    <w:rPr>
      <w:rFonts w:ascii="Courier New" w:eastAsia="Times New Roman" w:hAnsi="Courier New" w:cs="Courier New"/>
      <w:sz w:val="20"/>
      <w:szCs w:val="20"/>
      <w:lang w:val="ru-RU" w:eastAsia="ru-RU"/>
    </w:rPr>
  </w:style>
  <w:style w:type="character" w:customStyle="1" w:styleId="Heading2Char">
    <w:name w:val="Heading 2 Char"/>
    <w:basedOn w:val="DefaultParagraphFont"/>
    <w:link w:val="Heading2"/>
    <w:uiPriority w:val="9"/>
    <w:rsid w:val="00670A77"/>
    <w:rPr>
      <w:rFonts w:ascii="Times New Roman" w:eastAsia="Times New Roman" w:hAnsi="Times New Roman" w:cs="Times New Roman"/>
      <w:b/>
      <w:bCs/>
      <w:sz w:val="36"/>
      <w:szCs w:val="36"/>
    </w:rPr>
  </w:style>
  <w:style w:type="character" w:customStyle="1" w:styleId="mw-headline">
    <w:name w:val="mw-headline"/>
    <w:basedOn w:val="DefaultParagraphFont"/>
    <w:rsid w:val="00670A77"/>
  </w:style>
  <w:style w:type="character" w:customStyle="1" w:styleId="mw-editsection">
    <w:name w:val="mw-editsection"/>
    <w:basedOn w:val="DefaultParagraphFont"/>
    <w:rsid w:val="00670A77"/>
  </w:style>
  <w:style w:type="character" w:customStyle="1" w:styleId="mw-editsection-bracket">
    <w:name w:val="mw-editsection-bracket"/>
    <w:basedOn w:val="DefaultParagraphFont"/>
    <w:rsid w:val="00670A77"/>
  </w:style>
  <w:style w:type="character" w:customStyle="1" w:styleId="flagicon">
    <w:name w:val="flagicon"/>
    <w:basedOn w:val="DefaultParagraphFont"/>
    <w:rsid w:val="00670A77"/>
  </w:style>
  <w:style w:type="paragraph" w:customStyle="1" w:styleId="tt">
    <w:name w:val="tt"/>
    <w:basedOn w:val="Normal"/>
    <w:rsid w:val="00197E7C"/>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p">
    <w:name w:val="cp"/>
    <w:basedOn w:val="Normal"/>
    <w:rsid w:val="00197E7C"/>
    <w:pPr>
      <w:spacing w:after="0" w:line="240" w:lineRule="auto"/>
      <w:jc w:val="center"/>
    </w:pPr>
    <w:rPr>
      <w:rFonts w:ascii="Times New Roman" w:eastAsia="Times New Roman" w:hAnsi="Times New Roman" w:cs="Times New Roman"/>
      <w:b/>
      <w:bCs/>
      <w:sz w:val="24"/>
      <w:szCs w:val="24"/>
      <w:lang w:val="en-US"/>
    </w:rPr>
  </w:style>
  <w:style w:type="character" w:styleId="CommentReference">
    <w:name w:val="annotation reference"/>
    <w:rsid w:val="00B0705B"/>
    <w:rPr>
      <w:sz w:val="16"/>
      <w:szCs w:val="16"/>
    </w:rPr>
  </w:style>
  <w:style w:type="paragraph" w:styleId="CommentText">
    <w:name w:val="annotation text"/>
    <w:basedOn w:val="Normal"/>
    <w:link w:val="CommentTextChar"/>
    <w:rsid w:val="00B0705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0705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B0705B"/>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B0705B"/>
    <w:rPr>
      <w:rFonts w:ascii="Times New Roman" w:eastAsia="Times New Roman" w:hAnsi="Times New Roman" w:cs="Times New Roman"/>
      <w:b/>
      <w:bCs/>
      <w:sz w:val="20"/>
      <w:szCs w:val="20"/>
      <w:lang w:val="ro-RO" w:eastAsia="ru-RU"/>
    </w:rPr>
  </w:style>
  <w:style w:type="paragraph" w:styleId="BodyText">
    <w:name w:val="Body Text"/>
    <w:aliases w:val="bt,Body,by"/>
    <w:basedOn w:val="Normal"/>
    <w:link w:val="BodyTextChar"/>
    <w:rsid w:val="006B12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t Char,Body Char,by Char"/>
    <w:basedOn w:val="DefaultParagraphFont"/>
    <w:link w:val="BodyText"/>
    <w:rsid w:val="006B1292"/>
    <w:rPr>
      <w:rFonts w:ascii="Times New Roman" w:eastAsia="Times New Roman" w:hAnsi="Times New Roman" w:cs="Times New Roman"/>
      <w:sz w:val="24"/>
      <w:szCs w:val="24"/>
    </w:rPr>
  </w:style>
  <w:style w:type="character" w:customStyle="1" w:styleId="longtext">
    <w:name w:val="long_text"/>
    <w:basedOn w:val="DefaultParagraphFont"/>
    <w:rsid w:val="004C3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link w:val="Heading2Char"/>
    <w:uiPriority w:val="9"/>
    <w:qFormat/>
    <w:rsid w:val="00670A7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DC8"/>
    <w:pPr>
      <w:spacing w:after="60" w:line="240" w:lineRule="auto"/>
      <w:ind w:left="180" w:hanging="18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4DC8"/>
    <w:pPr>
      <w:ind w:left="720"/>
      <w:contextualSpacing/>
    </w:pPr>
  </w:style>
  <w:style w:type="character" w:styleId="Hyperlink">
    <w:name w:val="Hyperlink"/>
    <w:basedOn w:val="DefaultParagraphFont"/>
    <w:uiPriority w:val="99"/>
    <w:unhideWhenUsed/>
    <w:rsid w:val="00311F8A"/>
    <w:rPr>
      <w:color w:val="0000FF" w:themeColor="hyperlink"/>
      <w:u w:val="single"/>
    </w:rPr>
  </w:style>
  <w:style w:type="paragraph" w:styleId="BalloonText">
    <w:name w:val="Balloon Text"/>
    <w:basedOn w:val="Normal"/>
    <w:link w:val="BalloonTextChar"/>
    <w:uiPriority w:val="99"/>
    <w:semiHidden/>
    <w:unhideWhenUsed/>
    <w:rsid w:val="003A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4"/>
    <w:rPr>
      <w:rFonts w:ascii="Tahoma" w:hAnsi="Tahoma" w:cs="Tahoma"/>
      <w:sz w:val="16"/>
      <w:szCs w:val="16"/>
      <w:lang w:val="ro-RO"/>
    </w:rPr>
  </w:style>
  <w:style w:type="character" w:customStyle="1" w:styleId="apple-converted-space">
    <w:name w:val="apple-converted-space"/>
    <w:basedOn w:val="DefaultParagraphFont"/>
    <w:rsid w:val="006710F3"/>
  </w:style>
  <w:style w:type="character" w:styleId="FollowedHyperlink">
    <w:name w:val="FollowedHyperlink"/>
    <w:basedOn w:val="DefaultParagraphFont"/>
    <w:uiPriority w:val="99"/>
    <w:semiHidden/>
    <w:unhideWhenUsed/>
    <w:rsid w:val="00FB5756"/>
    <w:rPr>
      <w:color w:val="800080" w:themeColor="followedHyperlink"/>
      <w:u w:val="single"/>
    </w:rPr>
  </w:style>
  <w:style w:type="paragraph" w:customStyle="1" w:styleId="CaracterCaracter">
    <w:name w:val="Caracter Caracter"/>
    <w:basedOn w:val="Normal"/>
    <w:rsid w:val="001C1F2A"/>
    <w:pPr>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9F211E"/>
    <w:pPr>
      <w:spacing w:after="0" w:line="240" w:lineRule="auto"/>
      <w:jc w:val="both"/>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A1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E06A2E"/>
    <w:rPr>
      <w:sz w:val="20"/>
      <w:szCs w:val="20"/>
    </w:rPr>
  </w:style>
  <w:style w:type="paragraph" w:customStyle="1" w:styleId="3">
    <w:name w:val="Знак Знак3 Знак Знак"/>
    <w:basedOn w:val="Normal"/>
    <w:rsid w:val="00BA6127"/>
    <w:pPr>
      <w:spacing w:after="160" w:line="240" w:lineRule="exact"/>
    </w:pPr>
    <w:rPr>
      <w:rFonts w:ascii="Tahoma" w:eastAsia="Times New Roman" w:hAnsi="Tahoma" w:cs="Times New Roman"/>
      <w:sz w:val="20"/>
      <w:szCs w:val="20"/>
      <w:lang w:val="en-US"/>
    </w:rPr>
  </w:style>
  <w:style w:type="character" w:customStyle="1" w:styleId="docheader">
    <w:name w:val="doc_header"/>
    <w:basedOn w:val="DefaultParagraphFont"/>
    <w:rsid w:val="00FC30FF"/>
  </w:style>
  <w:style w:type="paragraph" w:styleId="HTMLPreformatted">
    <w:name w:val="HTML Preformatted"/>
    <w:basedOn w:val="Normal"/>
    <w:link w:val="HTMLPreformattedChar"/>
    <w:rsid w:val="0096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964552"/>
    <w:rPr>
      <w:rFonts w:ascii="Courier New" w:eastAsia="Times New Roman" w:hAnsi="Courier New" w:cs="Courier New"/>
      <w:sz w:val="20"/>
      <w:szCs w:val="20"/>
      <w:lang w:val="ru-RU" w:eastAsia="ru-RU"/>
    </w:rPr>
  </w:style>
  <w:style w:type="character" w:customStyle="1" w:styleId="Heading2Char">
    <w:name w:val="Heading 2 Char"/>
    <w:basedOn w:val="DefaultParagraphFont"/>
    <w:link w:val="Heading2"/>
    <w:uiPriority w:val="9"/>
    <w:rsid w:val="00670A77"/>
    <w:rPr>
      <w:rFonts w:ascii="Times New Roman" w:eastAsia="Times New Roman" w:hAnsi="Times New Roman" w:cs="Times New Roman"/>
      <w:b/>
      <w:bCs/>
      <w:sz w:val="36"/>
      <w:szCs w:val="36"/>
    </w:rPr>
  </w:style>
  <w:style w:type="character" w:customStyle="1" w:styleId="mw-headline">
    <w:name w:val="mw-headline"/>
    <w:basedOn w:val="DefaultParagraphFont"/>
    <w:rsid w:val="00670A77"/>
  </w:style>
  <w:style w:type="character" w:customStyle="1" w:styleId="mw-editsection">
    <w:name w:val="mw-editsection"/>
    <w:basedOn w:val="DefaultParagraphFont"/>
    <w:rsid w:val="00670A77"/>
  </w:style>
  <w:style w:type="character" w:customStyle="1" w:styleId="mw-editsection-bracket">
    <w:name w:val="mw-editsection-bracket"/>
    <w:basedOn w:val="DefaultParagraphFont"/>
    <w:rsid w:val="00670A77"/>
  </w:style>
  <w:style w:type="character" w:customStyle="1" w:styleId="flagicon">
    <w:name w:val="flagicon"/>
    <w:basedOn w:val="DefaultParagraphFont"/>
    <w:rsid w:val="00670A77"/>
  </w:style>
  <w:style w:type="paragraph" w:customStyle="1" w:styleId="tt">
    <w:name w:val="tt"/>
    <w:basedOn w:val="Normal"/>
    <w:rsid w:val="00197E7C"/>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p">
    <w:name w:val="cp"/>
    <w:basedOn w:val="Normal"/>
    <w:rsid w:val="00197E7C"/>
    <w:pPr>
      <w:spacing w:after="0" w:line="240" w:lineRule="auto"/>
      <w:jc w:val="center"/>
    </w:pPr>
    <w:rPr>
      <w:rFonts w:ascii="Times New Roman" w:eastAsia="Times New Roman" w:hAnsi="Times New Roman" w:cs="Times New Roman"/>
      <w:b/>
      <w:bCs/>
      <w:sz w:val="24"/>
      <w:szCs w:val="24"/>
      <w:lang w:val="en-US"/>
    </w:rPr>
  </w:style>
  <w:style w:type="character" w:styleId="CommentReference">
    <w:name w:val="annotation reference"/>
    <w:rsid w:val="00B0705B"/>
    <w:rPr>
      <w:sz w:val="16"/>
      <w:szCs w:val="16"/>
    </w:rPr>
  </w:style>
  <w:style w:type="paragraph" w:styleId="CommentText">
    <w:name w:val="annotation text"/>
    <w:basedOn w:val="Normal"/>
    <w:link w:val="CommentTextChar"/>
    <w:rsid w:val="00B0705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0705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B0705B"/>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B0705B"/>
    <w:rPr>
      <w:rFonts w:ascii="Times New Roman" w:eastAsia="Times New Roman" w:hAnsi="Times New Roman" w:cs="Times New Roman"/>
      <w:b/>
      <w:bCs/>
      <w:sz w:val="20"/>
      <w:szCs w:val="20"/>
      <w:lang w:val="ro-RO" w:eastAsia="ru-RU"/>
    </w:rPr>
  </w:style>
  <w:style w:type="paragraph" w:styleId="BodyText">
    <w:name w:val="Body Text"/>
    <w:aliases w:val="bt,Body,by"/>
    <w:basedOn w:val="Normal"/>
    <w:link w:val="BodyTextChar"/>
    <w:rsid w:val="006B12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t Char,Body Char,by Char"/>
    <w:basedOn w:val="DefaultParagraphFont"/>
    <w:link w:val="BodyText"/>
    <w:rsid w:val="006B1292"/>
    <w:rPr>
      <w:rFonts w:ascii="Times New Roman" w:eastAsia="Times New Roman" w:hAnsi="Times New Roman" w:cs="Times New Roman"/>
      <w:sz w:val="24"/>
      <w:szCs w:val="24"/>
    </w:rPr>
  </w:style>
  <w:style w:type="character" w:customStyle="1" w:styleId="longtext">
    <w:name w:val="long_text"/>
    <w:basedOn w:val="DefaultParagraphFont"/>
    <w:rsid w:val="004C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0318">
      <w:bodyDiv w:val="1"/>
      <w:marLeft w:val="0"/>
      <w:marRight w:val="0"/>
      <w:marTop w:val="0"/>
      <w:marBottom w:val="0"/>
      <w:divBdr>
        <w:top w:val="none" w:sz="0" w:space="0" w:color="auto"/>
        <w:left w:val="none" w:sz="0" w:space="0" w:color="auto"/>
        <w:bottom w:val="none" w:sz="0" w:space="0" w:color="auto"/>
        <w:right w:val="none" w:sz="0" w:space="0" w:color="auto"/>
      </w:divBdr>
    </w:div>
    <w:div w:id="288630081">
      <w:bodyDiv w:val="1"/>
      <w:marLeft w:val="0"/>
      <w:marRight w:val="0"/>
      <w:marTop w:val="0"/>
      <w:marBottom w:val="0"/>
      <w:divBdr>
        <w:top w:val="none" w:sz="0" w:space="0" w:color="auto"/>
        <w:left w:val="none" w:sz="0" w:space="0" w:color="auto"/>
        <w:bottom w:val="none" w:sz="0" w:space="0" w:color="auto"/>
        <w:right w:val="none" w:sz="0" w:space="0" w:color="auto"/>
      </w:divBdr>
    </w:div>
    <w:div w:id="403068705">
      <w:bodyDiv w:val="1"/>
      <w:marLeft w:val="0"/>
      <w:marRight w:val="0"/>
      <w:marTop w:val="0"/>
      <w:marBottom w:val="0"/>
      <w:divBdr>
        <w:top w:val="none" w:sz="0" w:space="0" w:color="auto"/>
        <w:left w:val="none" w:sz="0" w:space="0" w:color="auto"/>
        <w:bottom w:val="none" w:sz="0" w:space="0" w:color="auto"/>
        <w:right w:val="none" w:sz="0" w:space="0" w:color="auto"/>
      </w:divBdr>
    </w:div>
    <w:div w:id="669411176">
      <w:bodyDiv w:val="1"/>
      <w:marLeft w:val="0"/>
      <w:marRight w:val="0"/>
      <w:marTop w:val="0"/>
      <w:marBottom w:val="0"/>
      <w:divBdr>
        <w:top w:val="none" w:sz="0" w:space="0" w:color="auto"/>
        <w:left w:val="none" w:sz="0" w:space="0" w:color="auto"/>
        <w:bottom w:val="none" w:sz="0" w:space="0" w:color="auto"/>
        <w:right w:val="none" w:sz="0" w:space="0" w:color="auto"/>
      </w:divBdr>
    </w:div>
    <w:div w:id="691153983">
      <w:bodyDiv w:val="1"/>
      <w:marLeft w:val="0"/>
      <w:marRight w:val="0"/>
      <w:marTop w:val="0"/>
      <w:marBottom w:val="0"/>
      <w:divBdr>
        <w:top w:val="none" w:sz="0" w:space="0" w:color="auto"/>
        <w:left w:val="none" w:sz="0" w:space="0" w:color="auto"/>
        <w:bottom w:val="none" w:sz="0" w:space="0" w:color="auto"/>
        <w:right w:val="none" w:sz="0" w:space="0" w:color="auto"/>
      </w:divBdr>
    </w:div>
    <w:div w:id="874386128">
      <w:bodyDiv w:val="1"/>
      <w:marLeft w:val="0"/>
      <w:marRight w:val="0"/>
      <w:marTop w:val="0"/>
      <w:marBottom w:val="0"/>
      <w:divBdr>
        <w:top w:val="none" w:sz="0" w:space="0" w:color="auto"/>
        <w:left w:val="none" w:sz="0" w:space="0" w:color="auto"/>
        <w:bottom w:val="none" w:sz="0" w:space="0" w:color="auto"/>
        <w:right w:val="none" w:sz="0" w:space="0" w:color="auto"/>
      </w:divBdr>
    </w:div>
    <w:div w:id="1016418306">
      <w:bodyDiv w:val="1"/>
      <w:marLeft w:val="0"/>
      <w:marRight w:val="0"/>
      <w:marTop w:val="0"/>
      <w:marBottom w:val="0"/>
      <w:divBdr>
        <w:top w:val="none" w:sz="0" w:space="0" w:color="auto"/>
        <w:left w:val="none" w:sz="0" w:space="0" w:color="auto"/>
        <w:bottom w:val="none" w:sz="0" w:space="0" w:color="auto"/>
        <w:right w:val="none" w:sz="0" w:space="0" w:color="auto"/>
      </w:divBdr>
    </w:div>
    <w:div w:id="1121730696">
      <w:bodyDiv w:val="1"/>
      <w:marLeft w:val="0"/>
      <w:marRight w:val="0"/>
      <w:marTop w:val="0"/>
      <w:marBottom w:val="0"/>
      <w:divBdr>
        <w:top w:val="none" w:sz="0" w:space="0" w:color="auto"/>
        <w:left w:val="none" w:sz="0" w:space="0" w:color="auto"/>
        <w:bottom w:val="none" w:sz="0" w:space="0" w:color="auto"/>
        <w:right w:val="none" w:sz="0" w:space="0" w:color="auto"/>
      </w:divBdr>
    </w:div>
    <w:div w:id="1142846098">
      <w:bodyDiv w:val="1"/>
      <w:marLeft w:val="0"/>
      <w:marRight w:val="0"/>
      <w:marTop w:val="0"/>
      <w:marBottom w:val="0"/>
      <w:divBdr>
        <w:top w:val="none" w:sz="0" w:space="0" w:color="auto"/>
        <w:left w:val="none" w:sz="0" w:space="0" w:color="auto"/>
        <w:bottom w:val="none" w:sz="0" w:space="0" w:color="auto"/>
        <w:right w:val="none" w:sz="0" w:space="0" w:color="auto"/>
      </w:divBdr>
    </w:div>
    <w:div w:id="1187720926">
      <w:bodyDiv w:val="1"/>
      <w:marLeft w:val="0"/>
      <w:marRight w:val="0"/>
      <w:marTop w:val="0"/>
      <w:marBottom w:val="0"/>
      <w:divBdr>
        <w:top w:val="none" w:sz="0" w:space="0" w:color="auto"/>
        <w:left w:val="none" w:sz="0" w:space="0" w:color="auto"/>
        <w:bottom w:val="none" w:sz="0" w:space="0" w:color="auto"/>
        <w:right w:val="none" w:sz="0" w:space="0" w:color="auto"/>
      </w:divBdr>
    </w:div>
    <w:div w:id="1248003582">
      <w:bodyDiv w:val="1"/>
      <w:marLeft w:val="0"/>
      <w:marRight w:val="0"/>
      <w:marTop w:val="0"/>
      <w:marBottom w:val="0"/>
      <w:divBdr>
        <w:top w:val="none" w:sz="0" w:space="0" w:color="auto"/>
        <w:left w:val="none" w:sz="0" w:space="0" w:color="auto"/>
        <w:bottom w:val="none" w:sz="0" w:space="0" w:color="auto"/>
        <w:right w:val="none" w:sz="0" w:space="0" w:color="auto"/>
      </w:divBdr>
    </w:div>
    <w:div w:id="1404984530">
      <w:bodyDiv w:val="1"/>
      <w:marLeft w:val="0"/>
      <w:marRight w:val="0"/>
      <w:marTop w:val="0"/>
      <w:marBottom w:val="0"/>
      <w:divBdr>
        <w:top w:val="none" w:sz="0" w:space="0" w:color="auto"/>
        <w:left w:val="none" w:sz="0" w:space="0" w:color="auto"/>
        <w:bottom w:val="none" w:sz="0" w:space="0" w:color="auto"/>
        <w:right w:val="none" w:sz="0" w:space="0" w:color="auto"/>
      </w:divBdr>
    </w:div>
    <w:div w:id="1528642541">
      <w:bodyDiv w:val="1"/>
      <w:marLeft w:val="0"/>
      <w:marRight w:val="0"/>
      <w:marTop w:val="0"/>
      <w:marBottom w:val="0"/>
      <w:divBdr>
        <w:top w:val="none" w:sz="0" w:space="0" w:color="auto"/>
        <w:left w:val="none" w:sz="0" w:space="0" w:color="auto"/>
        <w:bottom w:val="none" w:sz="0" w:space="0" w:color="auto"/>
        <w:right w:val="none" w:sz="0" w:space="0" w:color="auto"/>
      </w:divBdr>
    </w:div>
    <w:div w:id="1873229473">
      <w:bodyDiv w:val="1"/>
      <w:marLeft w:val="0"/>
      <w:marRight w:val="0"/>
      <w:marTop w:val="0"/>
      <w:marBottom w:val="0"/>
      <w:divBdr>
        <w:top w:val="none" w:sz="0" w:space="0" w:color="auto"/>
        <w:left w:val="none" w:sz="0" w:space="0" w:color="auto"/>
        <w:bottom w:val="none" w:sz="0" w:space="0" w:color="auto"/>
        <w:right w:val="none" w:sz="0" w:space="0" w:color="auto"/>
      </w:divBdr>
    </w:div>
    <w:div w:id="1956205302">
      <w:bodyDiv w:val="1"/>
      <w:marLeft w:val="0"/>
      <w:marRight w:val="0"/>
      <w:marTop w:val="0"/>
      <w:marBottom w:val="0"/>
      <w:divBdr>
        <w:top w:val="none" w:sz="0" w:space="0" w:color="auto"/>
        <w:left w:val="none" w:sz="0" w:space="0" w:color="auto"/>
        <w:bottom w:val="none" w:sz="0" w:space="0" w:color="auto"/>
        <w:right w:val="none" w:sz="0" w:space="0" w:color="auto"/>
      </w:divBdr>
    </w:div>
    <w:div w:id="21171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rceti.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E825-F334-412A-8FCA-CB341B50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TMD User</cp:lastModifiedBy>
  <cp:revision>17</cp:revision>
  <cp:lastPrinted>2019-12-18T11:06:00Z</cp:lastPrinted>
  <dcterms:created xsi:type="dcterms:W3CDTF">2018-12-13T07:42:00Z</dcterms:created>
  <dcterms:modified xsi:type="dcterms:W3CDTF">2020-07-10T13:36:00Z</dcterms:modified>
</cp:coreProperties>
</file>