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D77" w:rsidRDefault="00351576" w:rsidP="002E6290">
      <w:pPr>
        <w:pStyle w:val="IntenseQuote"/>
        <w:spacing w:before="0" w:after="0" w:line="240" w:lineRule="auto"/>
        <w:ind w:right="-31"/>
        <w:jc w:val="center"/>
        <w:rPr>
          <w:rStyle w:val="IntenseEmphasis"/>
          <w:rFonts w:ascii="Times New Roman" w:hAnsi="Times New Roman"/>
          <w:b/>
          <w:color w:val="auto"/>
          <w:sz w:val="26"/>
          <w:szCs w:val="26"/>
          <w:lang w:val="ro-RO"/>
        </w:rPr>
      </w:pPr>
      <w:r w:rsidRPr="001817F5">
        <w:rPr>
          <w:rStyle w:val="IntenseEmphasis"/>
          <w:rFonts w:ascii="Times New Roman" w:hAnsi="Times New Roman"/>
          <w:b/>
          <w:color w:val="auto"/>
          <w:sz w:val="26"/>
          <w:szCs w:val="26"/>
          <w:lang w:val="ro-RO"/>
        </w:rPr>
        <w:t>SINTEZA RECOMANDĂRILOR</w:t>
      </w:r>
    </w:p>
    <w:p w:rsidR="00AB53A3" w:rsidRPr="00DB5006" w:rsidRDefault="00351576" w:rsidP="00DB5006">
      <w:pPr>
        <w:jc w:val="center"/>
        <w:rPr>
          <w:rStyle w:val="IntenseEmphasis"/>
          <w:rFonts w:ascii="Times New Roman" w:hAnsi="Times New Roman"/>
          <w:b w:val="0"/>
          <w:color w:val="auto"/>
          <w:sz w:val="26"/>
          <w:szCs w:val="26"/>
          <w:lang w:val="ro-MO"/>
        </w:rPr>
      </w:pPr>
      <w:r w:rsidRPr="00DB5006">
        <w:rPr>
          <w:rStyle w:val="IntenseEmphasis"/>
          <w:rFonts w:ascii="Times New Roman" w:hAnsi="Times New Roman"/>
          <w:i w:val="0"/>
          <w:color w:val="auto"/>
          <w:sz w:val="26"/>
          <w:szCs w:val="26"/>
          <w:lang w:val="ro-MO"/>
        </w:rPr>
        <w:t xml:space="preserve">la </w:t>
      </w:r>
      <w:r w:rsidR="00497CD1" w:rsidRPr="00DB5006">
        <w:rPr>
          <w:rStyle w:val="IntenseEmphasis"/>
          <w:rFonts w:ascii="Times New Roman" w:hAnsi="Times New Roman"/>
          <w:i w:val="0"/>
          <w:color w:val="auto"/>
          <w:sz w:val="26"/>
          <w:szCs w:val="26"/>
          <w:lang w:val="ro-MO"/>
        </w:rPr>
        <w:t>proiectul</w:t>
      </w:r>
      <w:r w:rsidR="00497CD1" w:rsidRPr="00DB5006">
        <w:rPr>
          <w:rStyle w:val="IntenseEmphasis"/>
          <w:rFonts w:ascii="Times New Roman" w:hAnsi="Times New Roman"/>
          <w:color w:val="auto"/>
          <w:sz w:val="26"/>
          <w:szCs w:val="26"/>
          <w:lang w:val="ro-MO"/>
        </w:rPr>
        <w:t xml:space="preserve"> </w:t>
      </w:r>
      <w:r w:rsidR="00DB5006" w:rsidRPr="00DB5006">
        <w:rPr>
          <w:rStyle w:val="IntenseEmphasis"/>
          <w:rFonts w:ascii="Times New Roman" w:hAnsi="Times New Roman"/>
          <w:color w:val="auto"/>
          <w:sz w:val="26"/>
          <w:szCs w:val="26"/>
          <w:lang w:val="ro-MO"/>
        </w:rPr>
        <w:t xml:space="preserve"> </w:t>
      </w:r>
      <w:r w:rsidR="00DB5006" w:rsidRPr="00DB5006">
        <w:rPr>
          <w:rFonts w:ascii="Times New Roman" w:hAnsi="Times New Roman"/>
          <w:b/>
          <w:sz w:val="26"/>
          <w:szCs w:val="26"/>
          <w:lang w:val="ro-MO"/>
        </w:rPr>
        <w:t>Programului de elaborare a actelor de reglementare de către ANRCETI pentru anul 2020</w:t>
      </w:r>
    </w:p>
    <w:p w:rsidR="001817F5" w:rsidRPr="00DB5006" w:rsidRDefault="001817F5" w:rsidP="00DB5006">
      <w:pPr>
        <w:rPr>
          <w:rFonts w:ascii="Times New Roman" w:hAnsi="Times New Roman"/>
          <w:b/>
          <w:lang w:val="ro-RO"/>
        </w:rPr>
      </w:pPr>
    </w:p>
    <w:tbl>
      <w:tblPr>
        <w:tblStyle w:val="TableGrid"/>
        <w:tblW w:w="15309" w:type="dxa"/>
        <w:tblInd w:w="-442" w:type="dxa"/>
        <w:tblLayout w:type="fixed"/>
        <w:tblLook w:val="04A0" w:firstRow="1" w:lastRow="0" w:firstColumn="1" w:lastColumn="0" w:noHBand="0" w:noVBand="1"/>
      </w:tblPr>
      <w:tblGrid>
        <w:gridCol w:w="692"/>
        <w:gridCol w:w="6804"/>
        <w:gridCol w:w="1559"/>
        <w:gridCol w:w="6254"/>
      </w:tblGrid>
      <w:tr w:rsidR="001817F5" w:rsidRPr="001817F5" w:rsidTr="00061554">
        <w:trPr>
          <w:trHeight w:val="671"/>
        </w:trPr>
        <w:tc>
          <w:tcPr>
            <w:tcW w:w="692" w:type="dxa"/>
            <w:tcBorders>
              <w:bottom w:val="single" w:sz="4" w:space="0" w:color="auto"/>
            </w:tcBorders>
          </w:tcPr>
          <w:p w:rsidR="000E4C03" w:rsidRPr="001817F5" w:rsidRDefault="00411589" w:rsidP="002E6290">
            <w:pPr>
              <w:ind w:left="176" w:right="-31" w:hanging="176"/>
              <w:jc w:val="both"/>
              <w:rPr>
                <w:rFonts w:ascii="Times New Roman" w:hAnsi="Times New Roman"/>
                <w:b/>
                <w:sz w:val="26"/>
                <w:szCs w:val="26"/>
                <w:lang w:val="ro-RO"/>
              </w:rPr>
            </w:pPr>
            <w:r w:rsidRPr="001817F5">
              <w:rPr>
                <w:rFonts w:ascii="Times New Roman" w:hAnsi="Times New Roman"/>
                <w:b/>
                <w:sz w:val="26"/>
                <w:szCs w:val="26"/>
                <w:lang w:val="ro-RO"/>
              </w:rPr>
              <w:t>Nr.</w:t>
            </w:r>
          </w:p>
        </w:tc>
        <w:tc>
          <w:tcPr>
            <w:tcW w:w="6804" w:type="dxa"/>
            <w:tcBorders>
              <w:bottom w:val="single" w:sz="4" w:space="0" w:color="auto"/>
            </w:tcBorders>
          </w:tcPr>
          <w:p w:rsidR="000E4C03" w:rsidRPr="001817F5" w:rsidRDefault="000E4C03" w:rsidP="002E6290">
            <w:pPr>
              <w:ind w:right="-31"/>
              <w:jc w:val="both"/>
              <w:rPr>
                <w:rFonts w:ascii="Times New Roman" w:hAnsi="Times New Roman"/>
                <w:sz w:val="26"/>
                <w:szCs w:val="26"/>
                <w:lang w:val="ro-RO"/>
              </w:rPr>
            </w:pPr>
            <w:r w:rsidRPr="001817F5">
              <w:rPr>
                <w:rFonts w:ascii="Times New Roman" w:eastAsiaTheme="minorHAnsi" w:hAnsi="Times New Roman"/>
                <w:b/>
                <w:sz w:val="26"/>
                <w:szCs w:val="26"/>
                <w:lang w:val="ro-RO"/>
              </w:rPr>
              <w:t>Recomandări</w:t>
            </w:r>
            <w:r w:rsidR="00443ED6" w:rsidRPr="001817F5">
              <w:rPr>
                <w:rFonts w:ascii="Times New Roman" w:eastAsiaTheme="minorHAnsi" w:hAnsi="Times New Roman"/>
                <w:b/>
                <w:sz w:val="26"/>
                <w:szCs w:val="26"/>
                <w:lang w:val="ro-RO"/>
              </w:rPr>
              <w:t>le</w:t>
            </w:r>
            <w:r w:rsidRPr="001817F5">
              <w:rPr>
                <w:rFonts w:ascii="Times New Roman" w:eastAsiaTheme="minorHAnsi" w:hAnsi="Times New Roman"/>
                <w:b/>
                <w:sz w:val="26"/>
                <w:szCs w:val="26"/>
                <w:lang w:val="ro-RO"/>
              </w:rPr>
              <w:t xml:space="preserve"> parvenite</w:t>
            </w:r>
          </w:p>
        </w:tc>
        <w:tc>
          <w:tcPr>
            <w:tcW w:w="1559" w:type="dxa"/>
            <w:tcBorders>
              <w:bottom w:val="single" w:sz="4" w:space="0" w:color="auto"/>
            </w:tcBorders>
          </w:tcPr>
          <w:p w:rsidR="000E4C03" w:rsidRPr="001817F5" w:rsidRDefault="000E4C03" w:rsidP="00C92A65">
            <w:pPr>
              <w:ind w:right="-31"/>
              <w:jc w:val="center"/>
              <w:rPr>
                <w:rFonts w:ascii="Times New Roman" w:hAnsi="Times New Roman"/>
                <w:sz w:val="26"/>
                <w:szCs w:val="26"/>
                <w:lang w:val="ro-RO"/>
              </w:rPr>
            </w:pPr>
            <w:r w:rsidRPr="001817F5">
              <w:rPr>
                <w:rFonts w:ascii="Times New Roman" w:eastAsiaTheme="minorHAnsi" w:hAnsi="Times New Roman"/>
                <w:b/>
                <w:sz w:val="26"/>
                <w:szCs w:val="26"/>
                <w:lang w:val="ro-RO"/>
              </w:rPr>
              <w:t>Poziţia</w:t>
            </w:r>
            <w:r w:rsidR="00465736" w:rsidRPr="001817F5">
              <w:rPr>
                <w:rFonts w:ascii="Times New Roman" w:eastAsiaTheme="minorHAnsi" w:hAnsi="Times New Roman"/>
                <w:b/>
                <w:sz w:val="26"/>
                <w:szCs w:val="26"/>
                <w:lang w:val="ro-RO"/>
              </w:rPr>
              <w:t xml:space="preserve"> </w:t>
            </w:r>
            <w:r w:rsidRPr="001817F5">
              <w:rPr>
                <w:rFonts w:ascii="Times New Roman" w:eastAsiaTheme="minorHAnsi" w:hAnsi="Times New Roman"/>
                <w:b/>
                <w:sz w:val="26"/>
                <w:szCs w:val="26"/>
                <w:lang w:val="ro-RO"/>
              </w:rPr>
              <w:t>ANRCETI</w:t>
            </w:r>
          </w:p>
        </w:tc>
        <w:tc>
          <w:tcPr>
            <w:tcW w:w="6254" w:type="dxa"/>
            <w:tcBorders>
              <w:bottom w:val="single" w:sz="4" w:space="0" w:color="auto"/>
            </w:tcBorders>
          </w:tcPr>
          <w:p w:rsidR="000E4C03" w:rsidRPr="001817F5" w:rsidRDefault="00AD100B" w:rsidP="00C92A65">
            <w:pPr>
              <w:pStyle w:val="NoSpacing"/>
              <w:ind w:right="175"/>
              <w:jc w:val="both"/>
              <w:rPr>
                <w:rFonts w:ascii="Times New Roman" w:hAnsi="Times New Roman"/>
                <w:sz w:val="26"/>
                <w:szCs w:val="26"/>
                <w:lang w:val="ro-RO"/>
              </w:rPr>
            </w:pPr>
            <w:r w:rsidRPr="001817F5">
              <w:rPr>
                <w:rFonts w:ascii="Times New Roman" w:hAnsi="Times New Roman"/>
                <w:b/>
                <w:sz w:val="26"/>
                <w:szCs w:val="26"/>
                <w:lang w:val="ro-RO"/>
              </w:rPr>
              <w:t>A</w:t>
            </w:r>
            <w:r w:rsidR="000E4C03" w:rsidRPr="001817F5">
              <w:rPr>
                <w:rFonts w:ascii="Times New Roman" w:hAnsi="Times New Roman"/>
                <w:b/>
                <w:sz w:val="26"/>
                <w:szCs w:val="26"/>
                <w:lang w:val="ro-RO"/>
              </w:rPr>
              <w:t>rgumentarea poziţiei ANRCETI</w:t>
            </w:r>
          </w:p>
        </w:tc>
      </w:tr>
      <w:tr w:rsidR="00877526" w:rsidRPr="001817F5" w:rsidTr="00061554">
        <w:trPr>
          <w:trHeight w:val="374"/>
        </w:trPr>
        <w:tc>
          <w:tcPr>
            <w:tcW w:w="692" w:type="dxa"/>
            <w:tcBorders>
              <w:bottom w:val="single" w:sz="4" w:space="0" w:color="auto"/>
            </w:tcBorders>
            <w:shd w:val="clear" w:color="auto" w:fill="8DB3E2" w:themeFill="text2" w:themeFillTint="66"/>
          </w:tcPr>
          <w:p w:rsidR="00CF1B1B" w:rsidRPr="00FB2876" w:rsidRDefault="00CF1B1B" w:rsidP="002E6290">
            <w:pPr>
              <w:pStyle w:val="ListParagraph"/>
              <w:ind w:left="176" w:right="-31"/>
              <w:jc w:val="both"/>
              <w:rPr>
                <w:rFonts w:ascii="Times New Roman" w:hAnsi="Times New Roman"/>
                <w:sz w:val="26"/>
                <w:szCs w:val="26"/>
                <w:lang w:val="ro-RO"/>
              </w:rPr>
            </w:pPr>
          </w:p>
        </w:tc>
        <w:tc>
          <w:tcPr>
            <w:tcW w:w="6804" w:type="dxa"/>
            <w:tcBorders>
              <w:bottom w:val="single" w:sz="4" w:space="0" w:color="auto"/>
            </w:tcBorders>
            <w:shd w:val="clear" w:color="auto" w:fill="8DB3E2" w:themeFill="text2" w:themeFillTint="66"/>
          </w:tcPr>
          <w:p w:rsidR="00CF1B1B" w:rsidRPr="00FB2876" w:rsidRDefault="00DD5BF3" w:rsidP="002E6290">
            <w:pPr>
              <w:pStyle w:val="Default"/>
              <w:ind w:right="-31"/>
              <w:jc w:val="both"/>
              <w:rPr>
                <w:b/>
                <w:color w:val="auto"/>
                <w:sz w:val="26"/>
                <w:szCs w:val="26"/>
                <w:lang w:val="ro-RO"/>
              </w:rPr>
            </w:pPr>
            <w:r w:rsidRPr="00FB2876">
              <w:rPr>
                <w:b/>
                <w:color w:val="auto"/>
                <w:sz w:val="26"/>
                <w:szCs w:val="26"/>
                <w:lang w:val="ro-RO"/>
              </w:rPr>
              <w:t>Î.M. ”Orange Moldova”</w:t>
            </w:r>
          </w:p>
        </w:tc>
        <w:tc>
          <w:tcPr>
            <w:tcW w:w="1559" w:type="dxa"/>
            <w:tcBorders>
              <w:bottom w:val="single" w:sz="4" w:space="0" w:color="auto"/>
            </w:tcBorders>
            <w:shd w:val="clear" w:color="auto" w:fill="8DB3E2" w:themeFill="text2" w:themeFillTint="66"/>
          </w:tcPr>
          <w:p w:rsidR="00CF1B1B" w:rsidRPr="00FB2876" w:rsidRDefault="00CF1B1B" w:rsidP="00C92A65">
            <w:pPr>
              <w:ind w:right="-31"/>
              <w:jc w:val="center"/>
              <w:rPr>
                <w:rFonts w:ascii="Times New Roman" w:eastAsiaTheme="minorHAnsi" w:hAnsi="Times New Roman"/>
                <w:b/>
                <w:sz w:val="26"/>
                <w:szCs w:val="26"/>
                <w:lang w:val="ro-RO"/>
              </w:rPr>
            </w:pPr>
          </w:p>
        </w:tc>
        <w:tc>
          <w:tcPr>
            <w:tcW w:w="6254" w:type="dxa"/>
            <w:tcBorders>
              <w:bottom w:val="single" w:sz="4" w:space="0" w:color="auto"/>
            </w:tcBorders>
            <w:shd w:val="clear" w:color="auto" w:fill="8DB3E2" w:themeFill="text2" w:themeFillTint="66"/>
          </w:tcPr>
          <w:p w:rsidR="00CF1B1B" w:rsidRPr="00FB2876" w:rsidRDefault="00CF1B1B" w:rsidP="00C92A65">
            <w:pPr>
              <w:ind w:right="175"/>
              <w:jc w:val="both"/>
              <w:rPr>
                <w:rFonts w:ascii="Times New Roman" w:hAnsi="Times New Roman"/>
                <w:sz w:val="26"/>
                <w:szCs w:val="26"/>
                <w:lang w:val="ro-RO"/>
              </w:rPr>
            </w:pPr>
          </w:p>
        </w:tc>
      </w:tr>
      <w:tr w:rsidR="00877526" w:rsidRPr="00061554" w:rsidTr="00233086">
        <w:trPr>
          <w:trHeight w:val="548"/>
        </w:trPr>
        <w:tc>
          <w:tcPr>
            <w:tcW w:w="692" w:type="dxa"/>
            <w:shd w:val="clear" w:color="auto" w:fill="auto"/>
          </w:tcPr>
          <w:p w:rsidR="006D5371" w:rsidRPr="001817F5" w:rsidRDefault="006D5371" w:rsidP="002E6290">
            <w:pPr>
              <w:pStyle w:val="ListParagraph"/>
              <w:numPr>
                <w:ilvl w:val="0"/>
                <w:numId w:val="42"/>
              </w:numPr>
              <w:tabs>
                <w:tab w:val="left" w:pos="318"/>
              </w:tabs>
              <w:ind w:left="176" w:right="-31" w:hanging="176"/>
              <w:jc w:val="both"/>
              <w:rPr>
                <w:rFonts w:ascii="Times New Roman" w:hAnsi="Times New Roman"/>
                <w:sz w:val="26"/>
                <w:szCs w:val="26"/>
                <w:lang w:val="ro-RO"/>
              </w:rPr>
            </w:pPr>
          </w:p>
        </w:tc>
        <w:tc>
          <w:tcPr>
            <w:tcW w:w="6804" w:type="dxa"/>
            <w:shd w:val="clear" w:color="auto" w:fill="auto"/>
          </w:tcPr>
          <w:p w:rsidR="006D5371" w:rsidRDefault="00DD5BF3" w:rsidP="00DB5006">
            <w:pPr>
              <w:jc w:val="both"/>
              <w:rPr>
                <w:rFonts w:ascii="Times New Roman" w:hAnsi="Times New Roman"/>
                <w:bCs/>
                <w:sz w:val="26"/>
                <w:szCs w:val="26"/>
                <w:lang w:val="ro-MO"/>
              </w:rPr>
            </w:pPr>
            <w:r w:rsidRPr="00D63E5E">
              <w:rPr>
                <w:rFonts w:ascii="Times New Roman" w:eastAsiaTheme="minorHAnsi" w:hAnsi="Times New Roman"/>
                <w:sz w:val="26"/>
                <w:szCs w:val="26"/>
                <w:lang w:val="ro-MO"/>
              </w:rPr>
              <w:t xml:space="preserve">Se propune completarea proiectului </w:t>
            </w:r>
            <w:r w:rsidRPr="00D63E5E">
              <w:rPr>
                <w:rFonts w:ascii="Times New Roman" w:hAnsi="Times New Roman"/>
                <w:sz w:val="26"/>
                <w:szCs w:val="26"/>
                <w:lang w:val="ro-MO"/>
              </w:rPr>
              <w:t xml:space="preserve">Programului de elaborare a actelor de reglementare de către ANRCETI pentru anul 2020 cu un punct nou privind modificarea pct.5.1.2 al </w:t>
            </w:r>
            <w:r w:rsidRPr="00D63E5E">
              <w:rPr>
                <w:rFonts w:ascii="Times New Roman" w:hAnsi="Times New Roman"/>
                <w:bCs/>
                <w:sz w:val="26"/>
                <w:szCs w:val="26"/>
                <w:lang w:val="ro-MO"/>
              </w:rPr>
              <w:t>Condițiilor tehnice și comerciale pentr</w:t>
            </w:r>
            <w:r w:rsidR="00472166">
              <w:rPr>
                <w:rFonts w:ascii="Times New Roman" w:hAnsi="Times New Roman"/>
                <w:bCs/>
                <w:sz w:val="26"/>
                <w:szCs w:val="26"/>
                <w:lang w:val="ro-MO"/>
              </w:rPr>
              <w:t xml:space="preserve">u implementarea portabilității </w:t>
            </w:r>
            <w:r w:rsidRPr="00D63E5E">
              <w:rPr>
                <w:rFonts w:ascii="Times New Roman" w:hAnsi="Times New Roman"/>
                <w:bCs/>
                <w:sz w:val="26"/>
                <w:szCs w:val="26"/>
                <w:lang w:val="ro-MO"/>
              </w:rPr>
              <w:t xml:space="preserve">numerelor în Republica Moldova, aprobate prin Hotărârea Consiliului de Administrație </w:t>
            </w:r>
            <w:r w:rsidR="00DB5006" w:rsidRPr="00D63E5E">
              <w:rPr>
                <w:rFonts w:ascii="Times New Roman" w:hAnsi="Times New Roman"/>
                <w:bCs/>
                <w:sz w:val="26"/>
                <w:szCs w:val="26"/>
                <w:lang w:val="ro-MO"/>
              </w:rPr>
              <w:t xml:space="preserve">al </w:t>
            </w:r>
            <w:r w:rsidR="00DB5006" w:rsidRPr="00D63E5E">
              <w:rPr>
                <w:rFonts w:ascii="Times New Roman" w:hAnsi="Times New Roman"/>
                <w:sz w:val="26"/>
                <w:szCs w:val="26"/>
                <w:lang w:val="ro-MO"/>
              </w:rPr>
              <w:t>ANRCETI</w:t>
            </w:r>
            <w:r w:rsidR="00DB5006" w:rsidRPr="00D63E5E">
              <w:rPr>
                <w:rFonts w:ascii="Times New Roman" w:hAnsi="Times New Roman"/>
                <w:bCs/>
                <w:sz w:val="26"/>
                <w:szCs w:val="26"/>
                <w:lang w:val="ro-MO"/>
              </w:rPr>
              <w:t xml:space="preserve"> nr.8/2013 și pct.8.1 al </w:t>
            </w:r>
            <w:r w:rsidRPr="00D63E5E">
              <w:rPr>
                <w:rFonts w:ascii="Times New Roman" w:hAnsi="Times New Roman"/>
                <w:bCs/>
                <w:sz w:val="26"/>
                <w:szCs w:val="26"/>
                <w:lang w:val="ro-MO"/>
              </w:rPr>
              <w:t>Acordului general-tip de organizare, operare, administrare și întreținere a bazei de date centralizate pentru implementarea și realizarea portabilității numerelor în Republica Moldova</w:t>
            </w:r>
            <w:r w:rsidR="00DB5006" w:rsidRPr="00D63E5E">
              <w:rPr>
                <w:rFonts w:ascii="Times New Roman" w:hAnsi="Times New Roman"/>
                <w:bCs/>
                <w:sz w:val="26"/>
                <w:szCs w:val="26"/>
                <w:lang w:val="ro-MO"/>
              </w:rPr>
              <w:t xml:space="preserve">, aprobat prin </w:t>
            </w:r>
            <w:r w:rsidRPr="00D63E5E">
              <w:rPr>
                <w:rFonts w:ascii="Times New Roman" w:hAnsi="Times New Roman"/>
                <w:bCs/>
                <w:sz w:val="26"/>
                <w:szCs w:val="26"/>
                <w:lang w:val="ro-MO"/>
              </w:rPr>
              <w:t xml:space="preserve"> </w:t>
            </w:r>
            <w:r w:rsidR="00DB5006" w:rsidRPr="00D63E5E">
              <w:rPr>
                <w:rFonts w:ascii="Times New Roman" w:hAnsi="Times New Roman"/>
                <w:bCs/>
                <w:sz w:val="26"/>
                <w:szCs w:val="26"/>
                <w:lang w:val="ro-MO"/>
              </w:rPr>
              <w:t xml:space="preserve">Hotărârea Consiliului de Administrație  </w:t>
            </w:r>
            <w:r w:rsidRPr="00D63E5E">
              <w:rPr>
                <w:rFonts w:ascii="Times New Roman" w:hAnsi="Times New Roman"/>
                <w:bCs/>
                <w:sz w:val="26"/>
                <w:szCs w:val="26"/>
                <w:lang w:val="ro-MO"/>
              </w:rPr>
              <w:t>nr.16/2013.</w:t>
            </w:r>
            <w:r w:rsidR="00DB5006" w:rsidRPr="00D63E5E">
              <w:rPr>
                <w:rFonts w:ascii="Times New Roman" w:hAnsi="Times New Roman"/>
                <w:bCs/>
                <w:sz w:val="26"/>
                <w:szCs w:val="26"/>
                <w:lang w:val="ro-MO"/>
              </w:rPr>
              <w:t xml:space="preserve"> </w:t>
            </w:r>
          </w:p>
          <w:p w:rsidR="00875A15" w:rsidRPr="00875A15" w:rsidRDefault="00875A15" w:rsidP="00DB5006">
            <w:pPr>
              <w:jc w:val="both"/>
              <w:rPr>
                <w:rFonts w:ascii="Times New Roman" w:hAnsi="Times New Roman"/>
                <w:sz w:val="26"/>
                <w:szCs w:val="26"/>
                <w:lang w:val="ro-MO"/>
              </w:rPr>
            </w:pPr>
            <w:r w:rsidRPr="00875A15">
              <w:rPr>
                <w:rFonts w:ascii="Times New Roman" w:hAnsi="Times New Roman"/>
                <w:bCs/>
                <w:sz w:val="26"/>
                <w:szCs w:val="26"/>
                <w:lang w:val="ro-MO"/>
              </w:rPr>
              <w:t>Drept temei pentru această solicitare servește Raportul Grupului de lucru pe subiectul portabilității numerelor, elaborat în urma ședinței Gl din 26.09.19, pe baza propunerilor înaintate de furnizori</w:t>
            </w:r>
            <w:r w:rsidR="006956C8">
              <w:rPr>
                <w:rFonts w:ascii="Times New Roman" w:hAnsi="Times New Roman"/>
                <w:bCs/>
                <w:sz w:val="26"/>
                <w:szCs w:val="26"/>
                <w:lang w:val="ro-MO"/>
              </w:rPr>
              <w:t>.</w:t>
            </w:r>
          </w:p>
        </w:tc>
        <w:tc>
          <w:tcPr>
            <w:tcW w:w="1559" w:type="dxa"/>
            <w:shd w:val="clear" w:color="auto" w:fill="auto"/>
          </w:tcPr>
          <w:p w:rsidR="006D5371" w:rsidRPr="001817F5" w:rsidRDefault="00F26C2E" w:rsidP="00F26C2E">
            <w:pPr>
              <w:ind w:right="-31" w:hanging="18"/>
              <w:jc w:val="center"/>
              <w:rPr>
                <w:rFonts w:ascii="Times New Roman" w:eastAsiaTheme="minorHAnsi" w:hAnsi="Times New Roman"/>
                <w:b/>
                <w:sz w:val="26"/>
                <w:szCs w:val="26"/>
                <w:lang w:val="ro-RO"/>
              </w:rPr>
            </w:pPr>
            <w:r>
              <w:rPr>
                <w:rFonts w:ascii="Times New Roman" w:eastAsiaTheme="minorHAnsi" w:hAnsi="Times New Roman"/>
                <w:b/>
                <w:sz w:val="26"/>
                <w:szCs w:val="26"/>
                <w:lang w:val="ro-RO"/>
              </w:rPr>
              <w:t>Nu s</w:t>
            </w:r>
            <w:r w:rsidR="006D5371" w:rsidRPr="001817F5">
              <w:rPr>
                <w:rFonts w:ascii="Times New Roman" w:eastAsiaTheme="minorHAnsi" w:hAnsi="Times New Roman"/>
                <w:b/>
                <w:sz w:val="26"/>
                <w:szCs w:val="26"/>
                <w:lang w:val="ro-RO"/>
              </w:rPr>
              <w:t>e acceptă</w:t>
            </w:r>
          </w:p>
        </w:tc>
        <w:tc>
          <w:tcPr>
            <w:tcW w:w="6254" w:type="dxa"/>
            <w:shd w:val="clear" w:color="auto" w:fill="auto"/>
          </w:tcPr>
          <w:p w:rsidR="006D5371" w:rsidRDefault="00233086" w:rsidP="00C92A65">
            <w:pPr>
              <w:ind w:right="175"/>
              <w:jc w:val="both"/>
              <w:rPr>
                <w:rFonts w:ascii="Times New Roman" w:hAnsi="Times New Roman"/>
                <w:sz w:val="26"/>
                <w:szCs w:val="26"/>
                <w:lang w:val="ro-RO"/>
              </w:rPr>
            </w:pPr>
            <w:r>
              <w:rPr>
                <w:rFonts w:ascii="Times New Roman" w:hAnsi="Times New Roman"/>
                <w:sz w:val="26"/>
                <w:szCs w:val="26"/>
                <w:lang w:val="ro-RO"/>
              </w:rPr>
              <w:t>Pe subiectul dat,</w:t>
            </w:r>
            <w:r w:rsidR="007B3BC4">
              <w:rPr>
                <w:rFonts w:ascii="Times New Roman" w:hAnsi="Times New Roman"/>
                <w:sz w:val="26"/>
                <w:szCs w:val="26"/>
                <w:lang w:val="ro-RO"/>
              </w:rPr>
              <w:t xml:space="preserve"> </w:t>
            </w:r>
            <w:r w:rsidR="00A0320D">
              <w:rPr>
                <w:rFonts w:ascii="Times New Roman" w:hAnsi="Times New Roman"/>
                <w:sz w:val="26"/>
                <w:szCs w:val="26"/>
                <w:lang w:val="ro-RO"/>
              </w:rPr>
              <w:t xml:space="preserve">ANRCETI se ghidează de </w:t>
            </w:r>
            <w:r w:rsidR="00491AB8">
              <w:rPr>
                <w:rFonts w:ascii="Times New Roman" w:hAnsi="Times New Roman"/>
                <w:sz w:val="26"/>
                <w:szCs w:val="26"/>
                <w:lang w:val="ro-RO"/>
              </w:rPr>
              <w:t>r</w:t>
            </w:r>
            <w:r w:rsidR="00F26C2E">
              <w:rPr>
                <w:rFonts w:ascii="Times New Roman" w:hAnsi="Times New Roman"/>
                <w:sz w:val="26"/>
                <w:szCs w:val="26"/>
                <w:lang w:val="ro-RO"/>
              </w:rPr>
              <w:t>ecomandăril</w:t>
            </w:r>
            <w:r w:rsidR="00E61427">
              <w:rPr>
                <w:rFonts w:ascii="Times New Roman" w:hAnsi="Times New Roman"/>
                <w:sz w:val="26"/>
                <w:szCs w:val="26"/>
                <w:lang w:val="ro-RO"/>
              </w:rPr>
              <w:t>or</w:t>
            </w:r>
            <w:r w:rsidR="00F26C2E">
              <w:rPr>
                <w:rFonts w:ascii="Times New Roman" w:hAnsi="Times New Roman"/>
                <w:sz w:val="26"/>
                <w:szCs w:val="26"/>
                <w:lang w:val="ro-RO"/>
              </w:rPr>
              <w:t xml:space="preserve"> Grupului de</w:t>
            </w:r>
            <w:r w:rsidR="00F26C2E" w:rsidRPr="007B3BC4">
              <w:rPr>
                <w:rFonts w:ascii="Times New Roman" w:hAnsi="Times New Roman"/>
                <w:sz w:val="26"/>
                <w:szCs w:val="26"/>
                <w:lang w:val="ro-RO"/>
              </w:rPr>
              <w:t xml:space="preserve"> lucru</w:t>
            </w:r>
            <w:r w:rsidR="007B3BC4" w:rsidRPr="007B3BC4">
              <w:rPr>
                <w:rFonts w:ascii="Times New Roman" w:hAnsi="Times New Roman"/>
                <w:sz w:val="26"/>
                <w:szCs w:val="26"/>
                <w:lang w:val="ro-RO"/>
              </w:rPr>
              <w:t>, instituit prin Ordinul directorului ANRCETI nr.30 din 25.09.2019</w:t>
            </w:r>
            <w:r w:rsidR="006956C8">
              <w:rPr>
                <w:rFonts w:ascii="Times New Roman" w:hAnsi="Times New Roman"/>
                <w:sz w:val="26"/>
                <w:szCs w:val="26"/>
                <w:lang w:val="ro-RO"/>
              </w:rPr>
              <w:t>.</w:t>
            </w:r>
            <w:r w:rsidR="007B3BC4">
              <w:rPr>
                <w:rFonts w:ascii="Times New Roman" w:hAnsi="Times New Roman"/>
                <w:sz w:val="26"/>
                <w:szCs w:val="26"/>
                <w:lang w:val="ro-RO"/>
              </w:rPr>
              <w:t xml:space="preserve"> </w:t>
            </w:r>
          </w:p>
          <w:p w:rsidR="00F26C2E" w:rsidRDefault="00F26C2E" w:rsidP="00C92A65">
            <w:pPr>
              <w:ind w:right="175"/>
              <w:jc w:val="both"/>
              <w:rPr>
                <w:rFonts w:ascii="Times New Roman" w:hAnsi="Times New Roman"/>
                <w:sz w:val="26"/>
                <w:szCs w:val="26"/>
                <w:lang w:val="ro-RO"/>
              </w:rPr>
            </w:pPr>
          </w:p>
          <w:p w:rsidR="00F26C2E" w:rsidRDefault="00F26C2E" w:rsidP="00C92A65">
            <w:pPr>
              <w:ind w:right="175"/>
              <w:jc w:val="both"/>
              <w:rPr>
                <w:rFonts w:ascii="Times New Roman" w:hAnsi="Times New Roman"/>
                <w:sz w:val="26"/>
                <w:szCs w:val="26"/>
                <w:lang w:val="ro-RO"/>
              </w:rPr>
            </w:pPr>
          </w:p>
          <w:p w:rsidR="00F26C2E" w:rsidRPr="001817F5" w:rsidRDefault="00F26C2E" w:rsidP="00C92A65">
            <w:pPr>
              <w:ind w:right="175"/>
              <w:jc w:val="both"/>
              <w:rPr>
                <w:rFonts w:ascii="Times New Roman" w:hAnsi="Times New Roman"/>
                <w:color w:val="FF0000"/>
                <w:sz w:val="26"/>
                <w:szCs w:val="26"/>
                <w:lang w:val="ro-RO"/>
              </w:rPr>
            </w:pPr>
          </w:p>
        </w:tc>
      </w:tr>
      <w:tr w:rsidR="00FB7E97" w:rsidRPr="00F26C2E" w:rsidTr="00061554">
        <w:trPr>
          <w:trHeight w:val="548"/>
        </w:trPr>
        <w:tc>
          <w:tcPr>
            <w:tcW w:w="692" w:type="dxa"/>
            <w:shd w:val="clear" w:color="auto" w:fill="auto"/>
          </w:tcPr>
          <w:p w:rsidR="00FB7E97" w:rsidRPr="00E61427" w:rsidRDefault="00FB7E97" w:rsidP="002A45E3">
            <w:pPr>
              <w:pStyle w:val="ListParagraph"/>
              <w:tabs>
                <w:tab w:val="left" w:pos="318"/>
              </w:tabs>
              <w:spacing w:after="200" w:line="276" w:lineRule="auto"/>
              <w:ind w:left="176" w:right="-31"/>
              <w:jc w:val="both"/>
              <w:rPr>
                <w:rFonts w:ascii="Times New Roman" w:hAnsi="Times New Roman"/>
                <w:sz w:val="26"/>
                <w:szCs w:val="26"/>
                <w:lang w:val="fr-CD"/>
              </w:rPr>
            </w:pPr>
          </w:p>
        </w:tc>
        <w:tc>
          <w:tcPr>
            <w:tcW w:w="6804" w:type="dxa"/>
            <w:shd w:val="clear" w:color="auto" w:fill="8DB3E2" w:themeFill="text2" w:themeFillTint="66"/>
          </w:tcPr>
          <w:p w:rsidR="00FB7E97" w:rsidRPr="0060472A" w:rsidRDefault="00485537" w:rsidP="00DB5006">
            <w:pPr>
              <w:jc w:val="both"/>
              <w:rPr>
                <w:rFonts w:ascii="Times New Roman" w:eastAsiaTheme="minorHAnsi" w:hAnsi="Times New Roman"/>
                <w:b/>
                <w:sz w:val="26"/>
                <w:szCs w:val="26"/>
                <w:lang w:val="ro-MO"/>
              </w:rPr>
            </w:pPr>
            <w:r w:rsidRPr="0060472A">
              <w:rPr>
                <w:rFonts w:ascii="Times New Roman" w:eastAsiaTheme="minorHAnsi" w:hAnsi="Times New Roman"/>
                <w:b/>
                <w:sz w:val="26"/>
                <w:szCs w:val="26"/>
                <w:lang w:val="ro-MO"/>
              </w:rPr>
              <w:t>S.A. ”</w:t>
            </w:r>
            <w:proofErr w:type="spellStart"/>
            <w:r w:rsidRPr="0060472A">
              <w:rPr>
                <w:rFonts w:ascii="Times New Roman" w:eastAsiaTheme="minorHAnsi" w:hAnsi="Times New Roman"/>
                <w:b/>
                <w:sz w:val="26"/>
                <w:szCs w:val="26"/>
                <w:lang w:val="ro-MO"/>
              </w:rPr>
              <w:t>Mo</w:t>
            </w:r>
            <w:r w:rsidR="00FB7E97" w:rsidRPr="0060472A">
              <w:rPr>
                <w:rFonts w:ascii="Times New Roman" w:eastAsiaTheme="minorHAnsi" w:hAnsi="Times New Roman"/>
                <w:b/>
                <w:sz w:val="26"/>
                <w:szCs w:val="26"/>
                <w:lang w:val="ro-MO"/>
              </w:rPr>
              <w:t>ldtelecom</w:t>
            </w:r>
            <w:proofErr w:type="spellEnd"/>
            <w:r w:rsidRPr="0060472A">
              <w:rPr>
                <w:rFonts w:ascii="Times New Roman" w:eastAsiaTheme="minorHAnsi" w:hAnsi="Times New Roman"/>
                <w:b/>
                <w:sz w:val="26"/>
                <w:szCs w:val="26"/>
                <w:lang w:val="ro-MO"/>
              </w:rPr>
              <w:t>”</w:t>
            </w:r>
          </w:p>
        </w:tc>
        <w:tc>
          <w:tcPr>
            <w:tcW w:w="1559" w:type="dxa"/>
            <w:shd w:val="clear" w:color="auto" w:fill="8DB3E2" w:themeFill="text2" w:themeFillTint="66"/>
          </w:tcPr>
          <w:p w:rsidR="00FB7E97" w:rsidRPr="0060472A" w:rsidRDefault="00FB7E97" w:rsidP="00C92A65">
            <w:pPr>
              <w:ind w:right="-31" w:hanging="18"/>
              <w:jc w:val="center"/>
              <w:rPr>
                <w:rFonts w:ascii="Times New Roman" w:eastAsiaTheme="minorHAnsi" w:hAnsi="Times New Roman"/>
                <w:b/>
                <w:sz w:val="26"/>
                <w:szCs w:val="26"/>
                <w:lang w:val="ro-RO"/>
              </w:rPr>
            </w:pPr>
          </w:p>
        </w:tc>
        <w:tc>
          <w:tcPr>
            <w:tcW w:w="6254" w:type="dxa"/>
            <w:shd w:val="clear" w:color="auto" w:fill="8DB3E2" w:themeFill="text2" w:themeFillTint="66"/>
          </w:tcPr>
          <w:p w:rsidR="00FB7E97" w:rsidRPr="0060472A" w:rsidRDefault="00FB7E97" w:rsidP="00C92A65">
            <w:pPr>
              <w:ind w:right="175"/>
              <w:jc w:val="both"/>
              <w:rPr>
                <w:rFonts w:ascii="Times New Roman" w:hAnsi="Times New Roman"/>
                <w:sz w:val="26"/>
                <w:szCs w:val="26"/>
                <w:lang w:val="ro-RO"/>
              </w:rPr>
            </w:pPr>
          </w:p>
        </w:tc>
      </w:tr>
      <w:tr w:rsidR="00FB7E97" w:rsidRPr="002A4F69" w:rsidTr="002A4F69">
        <w:trPr>
          <w:trHeight w:val="548"/>
        </w:trPr>
        <w:tc>
          <w:tcPr>
            <w:tcW w:w="692" w:type="dxa"/>
            <w:shd w:val="clear" w:color="auto" w:fill="auto"/>
          </w:tcPr>
          <w:p w:rsidR="00FB7E97" w:rsidRPr="001817F5" w:rsidRDefault="00FB7E97" w:rsidP="002E6290">
            <w:pPr>
              <w:pStyle w:val="ListParagraph"/>
              <w:numPr>
                <w:ilvl w:val="0"/>
                <w:numId w:val="42"/>
              </w:numPr>
              <w:tabs>
                <w:tab w:val="left" w:pos="318"/>
              </w:tabs>
              <w:ind w:left="176" w:right="-31" w:hanging="176"/>
              <w:jc w:val="both"/>
              <w:rPr>
                <w:rFonts w:ascii="Times New Roman" w:hAnsi="Times New Roman"/>
                <w:sz w:val="26"/>
                <w:szCs w:val="26"/>
                <w:lang w:val="ro-RO"/>
              </w:rPr>
            </w:pPr>
          </w:p>
        </w:tc>
        <w:tc>
          <w:tcPr>
            <w:tcW w:w="6804" w:type="dxa"/>
            <w:shd w:val="clear" w:color="auto" w:fill="auto"/>
          </w:tcPr>
          <w:p w:rsidR="00485537" w:rsidRPr="00485537" w:rsidRDefault="00FB7E97" w:rsidP="00DB5006">
            <w:pPr>
              <w:jc w:val="both"/>
              <w:rPr>
                <w:rFonts w:ascii="Times New Roman" w:hAnsi="Times New Roman"/>
                <w:sz w:val="26"/>
                <w:szCs w:val="26"/>
                <w:lang w:val="ro-MO"/>
              </w:rPr>
            </w:pPr>
            <w:r w:rsidRPr="00485537">
              <w:rPr>
                <w:rFonts w:ascii="Times New Roman" w:eastAsiaTheme="minorHAnsi" w:hAnsi="Times New Roman"/>
                <w:sz w:val="26"/>
                <w:szCs w:val="26"/>
                <w:lang w:val="ro-MO"/>
              </w:rPr>
              <w:t xml:space="preserve">Se propune completarea proiectului </w:t>
            </w:r>
            <w:r w:rsidRPr="00485537">
              <w:rPr>
                <w:rFonts w:ascii="Times New Roman" w:hAnsi="Times New Roman"/>
                <w:sz w:val="26"/>
                <w:szCs w:val="26"/>
                <w:lang w:val="ro-MO"/>
              </w:rPr>
              <w:t xml:space="preserve">Programului de elaborare a actelor de reglementare de către ANRCETI pentru anul 2020 cu </w:t>
            </w:r>
            <w:r w:rsidR="00485537" w:rsidRPr="00485537">
              <w:rPr>
                <w:rFonts w:ascii="Times New Roman" w:hAnsi="Times New Roman"/>
                <w:sz w:val="26"/>
                <w:szCs w:val="26"/>
                <w:lang w:val="ro-MO"/>
              </w:rPr>
              <w:t>două</w:t>
            </w:r>
            <w:r w:rsidRPr="00485537">
              <w:rPr>
                <w:rFonts w:ascii="Times New Roman" w:hAnsi="Times New Roman"/>
                <w:sz w:val="26"/>
                <w:szCs w:val="26"/>
                <w:lang w:val="ro-MO"/>
              </w:rPr>
              <w:t xml:space="preserve"> punct</w:t>
            </w:r>
            <w:r w:rsidR="00485537" w:rsidRPr="00485537">
              <w:rPr>
                <w:rFonts w:ascii="Times New Roman" w:hAnsi="Times New Roman"/>
                <w:sz w:val="26"/>
                <w:szCs w:val="26"/>
                <w:lang w:val="ro-MO"/>
              </w:rPr>
              <w:t>e noi:</w:t>
            </w:r>
          </w:p>
          <w:p w:rsidR="00FB7E97" w:rsidRPr="0060472A" w:rsidRDefault="00FB7E97" w:rsidP="0060472A">
            <w:pPr>
              <w:pStyle w:val="ListParagraph"/>
              <w:numPr>
                <w:ilvl w:val="0"/>
                <w:numId w:val="44"/>
              </w:numPr>
              <w:rPr>
                <w:rFonts w:ascii="Times New Roman" w:hAnsi="Times New Roman"/>
                <w:sz w:val="26"/>
                <w:szCs w:val="26"/>
                <w:lang w:val="ro-MO" w:eastAsia="ro-RO"/>
              </w:rPr>
            </w:pPr>
            <w:r w:rsidRPr="0060472A">
              <w:rPr>
                <w:rFonts w:ascii="Times New Roman" w:hAnsi="Times New Roman"/>
                <w:sz w:val="26"/>
                <w:szCs w:val="26"/>
                <w:lang w:val="ro-MO" w:eastAsia="ro-RO"/>
              </w:rPr>
              <w:t>Hotărârea Consiliului de Administrație privind  măsurile de reglementare preventivă a pieței de terminare a apelurilor voce în reţelele proprii de telefonie fixă (Piaţa 3)</w:t>
            </w:r>
            <w:r w:rsidR="00485537" w:rsidRPr="0060472A">
              <w:rPr>
                <w:rFonts w:ascii="Times New Roman" w:hAnsi="Times New Roman"/>
                <w:sz w:val="26"/>
                <w:szCs w:val="26"/>
                <w:lang w:val="ro-MO" w:eastAsia="ro-RO"/>
              </w:rPr>
              <w:t>;</w:t>
            </w:r>
            <w:r w:rsidRPr="0060472A">
              <w:rPr>
                <w:rFonts w:ascii="Times New Roman" w:hAnsi="Times New Roman"/>
                <w:b/>
                <w:bCs/>
                <w:sz w:val="26"/>
                <w:szCs w:val="26"/>
                <w:bdr w:val="none" w:sz="0" w:space="0" w:color="auto" w:frame="1"/>
                <w:lang w:val="ro-MO" w:eastAsia="ro-RO"/>
              </w:rPr>
              <w:t> </w:t>
            </w:r>
          </w:p>
          <w:p w:rsidR="00485537" w:rsidRPr="00485537" w:rsidRDefault="00FB7E97" w:rsidP="0060472A">
            <w:pPr>
              <w:pStyle w:val="ListParagraph"/>
              <w:numPr>
                <w:ilvl w:val="0"/>
                <w:numId w:val="44"/>
              </w:numPr>
              <w:jc w:val="both"/>
              <w:rPr>
                <w:rFonts w:ascii="Times New Roman" w:eastAsiaTheme="minorHAnsi" w:hAnsi="Times New Roman"/>
                <w:sz w:val="26"/>
                <w:szCs w:val="26"/>
                <w:lang w:val="ro-MO"/>
              </w:rPr>
            </w:pPr>
            <w:r w:rsidRPr="0060472A">
              <w:rPr>
                <w:rFonts w:ascii="Times New Roman" w:hAnsi="Times New Roman"/>
                <w:sz w:val="26"/>
                <w:szCs w:val="26"/>
                <w:lang w:val="ro-MO"/>
              </w:rPr>
              <w:lastRenderedPageBreak/>
              <w:t>Hotărârea Consiliului de Administrație privind măsurile de reglementare preventivă a pieței de terminare a apelurilor</w:t>
            </w:r>
            <w:r w:rsidRPr="00485537">
              <w:rPr>
                <w:rFonts w:ascii="Times New Roman" w:hAnsi="Times New Roman"/>
                <w:sz w:val="26"/>
                <w:szCs w:val="26"/>
                <w:shd w:val="clear" w:color="auto" w:fill="FAFAFA"/>
                <w:lang w:val="ro-MO"/>
              </w:rPr>
              <w:t xml:space="preserve"> </w:t>
            </w:r>
            <w:r w:rsidRPr="0060472A">
              <w:rPr>
                <w:rFonts w:ascii="Times New Roman" w:hAnsi="Times New Roman"/>
                <w:sz w:val="26"/>
                <w:szCs w:val="26"/>
                <w:lang w:val="ro-MO"/>
              </w:rPr>
              <w:t>voce în reţelele individuale de telefonie mobilă (Piaţa 7)</w:t>
            </w:r>
            <w:r w:rsidR="00485537" w:rsidRPr="00485537">
              <w:rPr>
                <w:rFonts w:ascii="Times New Roman" w:hAnsi="Times New Roman"/>
                <w:sz w:val="26"/>
                <w:szCs w:val="26"/>
                <w:shd w:val="clear" w:color="auto" w:fill="FAFAFA"/>
                <w:lang w:val="ro-MO"/>
              </w:rPr>
              <w:t xml:space="preserve"> </w:t>
            </w:r>
          </w:p>
          <w:p w:rsidR="00FB7E97" w:rsidRPr="00485537" w:rsidRDefault="00FB7E97" w:rsidP="00485537">
            <w:pPr>
              <w:ind w:left="360"/>
              <w:jc w:val="both"/>
              <w:rPr>
                <w:rFonts w:ascii="Times New Roman" w:eastAsiaTheme="minorHAnsi" w:hAnsi="Times New Roman"/>
                <w:sz w:val="26"/>
                <w:szCs w:val="26"/>
                <w:lang w:val="ro-MO"/>
              </w:rPr>
            </w:pPr>
          </w:p>
        </w:tc>
        <w:tc>
          <w:tcPr>
            <w:tcW w:w="1559" w:type="dxa"/>
            <w:shd w:val="clear" w:color="auto" w:fill="auto"/>
          </w:tcPr>
          <w:p w:rsidR="00FB7E97" w:rsidRPr="001817F5" w:rsidRDefault="00485537" w:rsidP="00C92A65">
            <w:pPr>
              <w:ind w:right="-31" w:hanging="18"/>
              <w:jc w:val="center"/>
              <w:rPr>
                <w:rFonts w:ascii="Times New Roman" w:eastAsiaTheme="minorHAnsi" w:hAnsi="Times New Roman"/>
                <w:b/>
                <w:sz w:val="26"/>
                <w:szCs w:val="26"/>
                <w:lang w:val="ro-RO"/>
              </w:rPr>
            </w:pPr>
            <w:r w:rsidRPr="001817F5">
              <w:rPr>
                <w:rFonts w:ascii="Times New Roman" w:eastAsiaTheme="minorHAnsi" w:hAnsi="Times New Roman"/>
                <w:b/>
                <w:sz w:val="26"/>
                <w:szCs w:val="26"/>
                <w:lang w:val="ro-RO"/>
              </w:rPr>
              <w:lastRenderedPageBreak/>
              <w:t>Se acceptă</w:t>
            </w:r>
          </w:p>
        </w:tc>
        <w:tc>
          <w:tcPr>
            <w:tcW w:w="6254" w:type="dxa"/>
            <w:shd w:val="clear" w:color="auto" w:fill="auto"/>
          </w:tcPr>
          <w:p w:rsidR="00FB7E97" w:rsidRPr="001817F5" w:rsidRDefault="00A0320D" w:rsidP="00233086">
            <w:pPr>
              <w:ind w:right="175"/>
              <w:jc w:val="both"/>
              <w:rPr>
                <w:rFonts w:ascii="Times New Roman" w:hAnsi="Times New Roman"/>
                <w:sz w:val="26"/>
                <w:szCs w:val="26"/>
                <w:lang w:val="ro-RO"/>
              </w:rPr>
            </w:pPr>
            <w:r>
              <w:rPr>
                <w:rFonts w:ascii="Times New Roman" w:hAnsi="Times New Roman"/>
                <w:sz w:val="26"/>
                <w:szCs w:val="26"/>
                <w:lang w:val="ro-RO"/>
              </w:rPr>
              <w:t xml:space="preserve">Analiza periodică a piețelor </w:t>
            </w:r>
            <w:r w:rsidR="00233086">
              <w:rPr>
                <w:rFonts w:ascii="Times New Roman" w:hAnsi="Times New Roman"/>
                <w:sz w:val="26"/>
                <w:szCs w:val="26"/>
                <w:lang w:val="ro-RO"/>
              </w:rPr>
              <w:t xml:space="preserve">cât </w:t>
            </w:r>
            <w:r>
              <w:rPr>
                <w:rFonts w:ascii="Times New Roman" w:hAnsi="Times New Roman"/>
                <w:sz w:val="26"/>
                <w:szCs w:val="26"/>
                <w:lang w:val="ro-RO"/>
              </w:rPr>
              <w:t xml:space="preserve">și </w:t>
            </w:r>
            <w:r w:rsidR="00233086">
              <w:rPr>
                <w:rFonts w:ascii="Times New Roman" w:hAnsi="Times New Roman"/>
                <w:sz w:val="26"/>
                <w:szCs w:val="26"/>
                <w:lang w:val="ro-RO"/>
              </w:rPr>
              <w:t xml:space="preserve">revizuirea </w:t>
            </w:r>
            <w:r>
              <w:rPr>
                <w:rFonts w:ascii="Times New Roman" w:hAnsi="Times New Roman"/>
                <w:sz w:val="26"/>
                <w:szCs w:val="26"/>
                <w:lang w:val="ro-RO"/>
              </w:rPr>
              <w:t>obligațiilor</w:t>
            </w:r>
            <w:r w:rsidR="00233086">
              <w:rPr>
                <w:rFonts w:ascii="Times New Roman" w:hAnsi="Times New Roman"/>
                <w:sz w:val="26"/>
                <w:szCs w:val="26"/>
                <w:lang w:val="ro-RO"/>
              </w:rPr>
              <w:t xml:space="preserve"> impuse furnizorilor</w:t>
            </w:r>
            <w:r>
              <w:rPr>
                <w:rFonts w:ascii="Times New Roman" w:hAnsi="Times New Roman"/>
                <w:sz w:val="26"/>
                <w:szCs w:val="26"/>
                <w:lang w:val="ro-RO"/>
              </w:rPr>
              <w:t xml:space="preserve"> reprezintă una dintre atribuțiile ale ANRCETI, respectiv Agenția va respecta această normă. </w:t>
            </w:r>
          </w:p>
        </w:tc>
      </w:tr>
      <w:tr w:rsidR="00FB2876" w:rsidRPr="00A0320D" w:rsidTr="002A4F69">
        <w:trPr>
          <w:trHeight w:val="548"/>
        </w:trPr>
        <w:tc>
          <w:tcPr>
            <w:tcW w:w="692" w:type="dxa"/>
            <w:shd w:val="clear" w:color="auto" w:fill="auto"/>
          </w:tcPr>
          <w:p w:rsidR="00FB2876" w:rsidRPr="001817F5" w:rsidRDefault="00FB2876" w:rsidP="00FB2876">
            <w:pPr>
              <w:pStyle w:val="ListParagraph"/>
              <w:tabs>
                <w:tab w:val="left" w:pos="318"/>
              </w:tabs>
              <w:ind w:left="176" w:right="-31"/>
              <w:jc w:val="both"/>
              <w:rPr>
                <w:rFonts w:ascii="Times New Roman" w:hAnsi="Times New Roman"/>
                <w:sz w:val="26"/>
                <w:szCs w:val="26"/>
                <w:lang w:val="ro-RO"/>
              </w:rPr>
            </w:pPr>
          </w:p>
        </w:tc>
        <w:tc>
          <w:tcPr>
            <w:tcW w:w="6804" w:type="dxa"/>
            <w:shd w:val="clear" w:color="auto" w:fill="8DB3E2" w:themeFill="text2" w:themeFillTint="66"/>
          </w:tcPr>
          <w:p w:rsidR="00FB2876" w:rsidRPr="00FB2876" w:rsidRDefault="00FB2876" w:rsidP="00DB5006">
            <w:pPr>
              <w:jc w:val="both"/>
              <w:rPr>
                <w:rFonts w:ascii="Times New Roman" w:eastAsiaTheme="minorHAnsi" w:hAnsi="Times New Roman"/>
                <w:b/>
                <w:sz w:val="26"/>
                <w:szCs w:val="26"/>
                <w:lang w:val="ro-RO"/>
              </w:rPr>
            </w:pPr>
            <w:r w:rsidRPr="00FB2876">
              <w:rPr>
                <w:rFonts w:ascii="Times New Roman" w:eastAsiaTheme="minorHAnsi" w:hAnsi="Times New Roman"/>
                <w:b/>
                <w:sz w:val="26"/>
                <w:szCs w:val="26"/>
                <w:lang w:val="ro-RO"/>
              </w:rPr>
              <w:t>”ARAX-IMPEX” SRL</w:t>
            </w:r>
          </w:p>
        </w:tc>
        <w:tc>
          <w:tcPr>
            <w:tcW w:w="1559" w:type="dxa"/>
            <w:shd w:val="clear" w:color="auto" w:fill="8DB3E2" w:themeFill="text2" w:themeFillTint="66"/>
          </w:tcPr>
          <w:p w:rsidR="00FB2876" w:rsidRPr="001817F5" w:rsidRDefault="00FB2876" w:rsidP="00C92A65">
            <w:pPr>
              <w:ind w:right="-31" w:hanging="18"/>
              <w:jc w:val="center"/>
              <w:rPr>
                <w:rFonts w:ascii="Times New Roman" w:eastAsiaTheme="minorHAnsi" w:hAnsi="Times New Roman"/>
                <w:b/>
                <w:sz w:val="26"/>
                <w:szCs w:val="26"/>
                <w:lang w:val="ro-RO"/>
              </w:rPr>
            </w:pPr>
          </w:p>
        </w:tc>
        <w:tc>
          <w:tcPr>
            <w:tcW w:w="6254" w:type="dxa"/>
            <w:shd w:val="clear" w:color="auto" w:fill="8DB3E2" w:themeFill="text2" w:themeFillTint="66"/>
          </w:tcPr>
          <w:p w:rsidR="00FB2876" w:rsidRPr="001817F5" w:rsidRDefault="00FB2876" w:rsidP="00C92A65">
            <w:pPr>
              <w:ind w:right="175"/>
              <w:jc w:val="both"/>
              <w:rPr>
                <w:rFonts w:ascii="Times New Roman" w:hAnsi="Times New Roman"/>
                <w:sz w:val="26"/>
                <w:szCs w:val="26"/>
                <w:lang w:val="ro-RO"/>
              </w:rPr>
            </w:pPr>
          </w:p>
        </w:tc>
      </w:tr>
      <w:tr w:rsidR="00FB2876" w:rsidRPr="002A4F69" w:rsidTr="002A4F69">
        <w:trPr>
          <w:trHeight w:val="548"/>
        </w:trPr>
        <w:tc>
          <w:tcPr>
            <w:tcW w:w="692" w:type="dxa"/>
            <w:shd w:val="clear" w:color="auto" w:fill="auto"/>
          </w:tcPr>
          <w:p w:rsidR="00FB2876" w:rsidRPr="001817F5" w:rsidRDefault="00FB2876" w:rsidP="002E6290">
            <w:pPr>
              <w:pStyle w:val="ListParagraph"/>
              <w:numPr>
                <w:ilvl w:val="0"/>
                <w:numId w:val="42"/>
              </w:numPr>
              <w:tabs>
                <w:tab w:val="left" w:pos="318"/>
              </w:tabs>
              <w:ind w:left="176" w:right="-31" w:hanging="176"/>
              <w:jc w:val="both"/>
              <w:rPr>
                <w:rFonts w:ascii="Times New Roman" w:hAnsi="Times New Roman"/>
                <w:sz w:val="26"/>
                <w:szCs w:val="26"/>
                <w:lang w:val="ro-RO"/>
              </w:rPr>
            </w:pPr>
          </w:p>
        </w:tc>
        <w:tc>
          <w:tcPr>
            <w:tcW w:w="6804" w:type="dxa"/>
            <w:shd w:val="clear" w:color="auto" w:fill="auto"/>
          </w:tcPr>
          <w:p w:rsidR="00FB2876" w:rsidRPr="00E61427" w:rsidRDefault="00FB2876" w:rsidP="0060472A">
            <w:pPr>
              <w:jc w:val="both"/>
              <w:rPr>
                <w:rFonts w:ascii="Times New Roman" w:hAnsi="Times New Roman"/>
                <w:sz w:val="26"/>
                <w:szCs w:val="26"/>
                <w:lang w:val="ro-MO"/>
              </w:rPr>
            </w:pPr>
            <w:r w:rsidRPr="00E61427">
              <w:rPr>
                <w:rFonts w:ascii="Times New Roman" w:eastAsiaTheme="minorHAnsi" w:hAnsi="Times New Roman"/>
                <w:sz w:val="26"/>
                <w:szCs w:val="26"/>
                <w:lang w:val="ro-MO"/>
              </w:rPr>
              <w:t xml:space="preserve">Se propune completarea proiectului </w:t>
            </w:r>
            <w:r w:rsidRPr="00E61427">
              <w:rPr>
                <w:rFonts w:ascii="Times New Roman" w:hAnsi="Times New Roman"/>
                <w:sz w:val="26"/>
                <w:szCs w:val="26"/>
                <w:lang w:val="ro-MO"/>
              </w:rPr>
              <w:t>Programului de elaborare a actelor de reglementare de către ANRCETI pentru anul 2020 cu două puncte noi:</w:t>
            </w:r>
          </w:p>
          <w:p w:rsidR="00FB2876" w:rsidRPr="00E61427" w:rsidRDefault="00FB2876" w:rsidP="0060472A">
            <w:pPr>
              <w:pStyle w:val="ListParagraph"/>
              <w:numPr>
                <w:ilvl w:val="0"/>
                <w:numId w:val="45"/>
              </w:numPr>
              <w:rPr>
                <w:rFonts w:ascii="Times New Roman" w:hAnsi="Times New Roman"/>
                <w:sz w:val="26"/>
                <w:szCs w:val="26"/>
                <w:lang w:val="ro-MO" w:eastAsia="ro-RO"/>
              </w:rPr>
            </w:pPr>
            <w:r w:rsidRPr="00E61427">
              <w:rPr>
                <w:rFonts w:ascii="Times New Roman" w:hAnsi="Times New Roman"/>
                <w:sz w:val="26"/>
                <w:szCs w:val="26"/>
                <w:lang w:val="ro-MO" w:eastAsia="ro-RO"/>
              </w:rPr>
              <w:t>Hotărârea Consiliului de Administrație privind  măsurile de reglementare preventivă a pieței de terminare a apelurilor voce în reţelele proprii de telefonie fixă (Piaţa 3);</w:t>
            </w:r>
            <w:r w:rsidRPr="00E61427">
              <w:rPr>
                <w:rFonts w:ascii="Times New Roman" w:hAnsi="Times New Roman"/>
                <w:b/>
                <w:bCs/>
                <w:sz w:val="26"/>
                <w:szCs w:val="26"/>
                <w:bdr w:val="none" w:sz="0" w:space="0" w:color="auto" w:frame="1"/>
                <w:lang w:val="ro-MO" w:eastAsia="ro-RO"/>
              </w:rPr>
              <w:t> </w:t>
            </w:r>
          </w:p>
          <w:p w:rsidR="00FB2876" w:rsidRPr="00E61427" w:rsidRDefault="00FB2876" w:rsidP="0060472A">
            <w:pPr>
              <w:pStyle w:val="ListParagraph"/>
              <w:numPr>
                <w:ilvl w:val="0"/>
                <w:numId w:val="45"/>
              </w:numPr>
              <w:jc w:val="both"/>
              <w:rPr>
                <w:rFonts w:ascii="Times New Roman" w:eastAsiaTheme="minorHAnsi" w:hAnsi="Times New Roman"/>
                <w:sz w:val="26"/>
                <w:szCs w:val="26"/>
                <w:lang w:val="ro-MO"/>
              </w:rPr>
            </w:pPr>
            <w:r w:rsidRPr="0060472A">
              <w:rPr>
                <w:rFonts w:ascii="Times New Roman" w:hAnsi="Times New Roman"/>
                <w:sz w:val="26"/>
                <w:szCs w:val="26"/>
                <w:lang w:val="ro-MO"/>
              </w:rPr>
              <w:t>Hotărârea Consiliului de Administrație privind măsurile de</w:t>
            </w:r>
            <w:r w:rsidRPr="00E61427">
              <w:rPr>
                <w:rFonts w:ascii="Times New Roman" w:hAnsi="Times New Roman"/>
                <w:sz w:val="26"/>
                <w:szCs w:val="26"/>
                <w:shd w:val="clear" w:color="auto" w:fill="FAFAFA"/>
                <w:lang w:val="ro-MO"/>
              </w:rPr>
              <w:t xml:space="preserve"> </w:t>
            </w:r>
            <w:r w:rsidRPr="0060472A">
              <w:rPr>
                <w:rFonts w:ascii="Times New Roman" w:hAnsi="Times New Roman"/>
                <w:sz w:val="26"/>
                <w:szCs w:val="26"/>
                <w:lang w:val="ro-MO"/>
              </w:rPr>
              <w:t>reglementare preventivă a pieței de terminare a apelurilor</w:t>
            </w:r>
            <w:r w:rsidRPr="00E61427">
              <w:rPr>
                <w:rFonts w:ascii="Times New Roman" w:hAnsi="Times New Roman"/>
                <w:sz w:val="26"/>
                <w:szCs w:val="26"/>
                <w:shd w:val="clear" w:color="auto" w:fill="FAFAFA"/>
                <w:lang w:val="ro-MO"/>
              </w:rPr>
              <w:t xml:space="preserve"> </w:t>
            </w:r>
            <w:r w:rsidRPr="0060472A">
              <w:rPr>
                <w:rFonts w:ascii="Times New Roman" w:hAnsi="Times New Roman"/>
                <w:sz w:val="26"/>
                <w:szCs w:val="26"/>
                <w:lang w:val="ro-MO"/>
              </w:rPr>
              <w:t>voce în reţelele individuale de telefonie mobilă (Piaţa 7)</w:t>
            </w:r>
            <w:r w:rsidRPr="00E61427">
              <w:rPr>
                <w:rFonts w:ascii="Times New Roman" w:hAnsi="Times New Roman"/>
                <w:sz w:val="26"/>
                <w:szCs w:val="26"/>
                <w:shd w:val="clear" w:color="auto" w:fill="FAFAFA"/>
                <w:lang w:val="ro-MO"/>
              </w:rPr>
              <w:t xml:space="preserve"> </w:t>
            </w:r>
          </w:p>
          <w:p w:rsidR="00FB2876" w:rsidRPr="00E61427" w:rsidRDefault="00E61427" w:rsidP="00E61427">
            <w:pPr>
              <w:tabs>
                <w:tab w:val="left" w:pos="6013"/>
                <w:tab w:val="right" w:pos="7013"/>
              </w:tabs>
              <w:jc w:val="both"/>
              <w:rPr>
                <w:rFonts w:ascii="Times New Roman" w:eastAsiaTheme="minorHAnsi" w:hAnsi="Times New Roman"/>
                <w:sz w:val="26"/>
                <w:szCs w:val="26"/>
                <w:lang w:val="ro-MO"/>
              </w:rPr>
            </w:pPr>
            <w:r>
              <w:rPr>
                <w:rFonts w:ascii="Times New Roman" w:eastAsiaTheme="minorHAnsi" w:hAnsi="Times New Roman"/>
                <w:sz w:val="26"/>
                <w:szCs w:val="26"/>
                <w:lang w:val="ro-MO"/>
              </w:rPr>
              <w:tab/>
            </w:r>
            <w:r>
              <w:rPr>
                <w:rFonts w:ascii="Times New Roman" w:eastAsiaTheme="minorHAnsi" w:hAnsi="Times New Roman"/>
                <w:sz w:val="26"/>
                <w:szCs w:val="26"/>
                <w:lang w:val="ro-MO"/>
              </w:rPr>
              <w:tab/>
            </w:r>
          </w:p>
        </w:tc>
        <w:tc>
          <w:tcPr>
            <w:tcW w:w="1559" w:type="dxa"/>
            <w:shd w:val="clear" w:color="auto" w:fill="auto"/>
          </w:tcPr>
          <w:p w:rsidR="00FB2876" w:rsidRPr="001817F5" w:rsidRDefault="00FB2876" w:rsidP="00C92A65">
            <w:pPr>
              <w:ind w:right="-31" w:hanging="18"/>
              <w:jc w:val="center"/>
              <w:rPr>
                <w:rFonts w:ascii="Times New Roman" w:eastAsiaTheme="minorHAnsi" w:hAnsi="Times New Roman"/>
                <w:b/>
                <w:sz w:val="26"/>
                <w:szCs w:val="26"/>
                <w:lang w:val="ro-RO"/>
              </w:rPr>
            </w:pPr>
            <w:r w:rsidRPr="001817F5">
              <w:rPr>
                <w:rFonts w:ascii="Times New Roman" w:eastAsiaTheme="minorHAnsi" w:hAnsi="Times New Roman"/>
                <w:b/>
                <w:sz w:val="26"/>
                <w:szCs w:val="26"/>
                <w:lang w:val="ro-RO"/>
              </w:rPr>
              <w:t>Se acceptă</w:t>
            </w:r>
          </w:p>
        </w:tc>
        <w:tc>
          <w:tcPr>
            <w:tcW w:w="6254" w:type="dxa"/>
            <w:shd w:val="clear" w:color="auto" w:fill="auto"/>
          </w:tcPr>
          <w:p w:rsidR="00FB2876" w:rsidRPr="00FB2876" w:rsidRDefault="00233086" w:rsidP="00C92A65">
            <w:pPr>
              <w:ind w:right="175"/>
              <w:jc w:val="both"/>
              <w:rPr>
                <w:rFonts w:ascii="Times New Roman" w:hAnsi="Times New Roman"/>
                <w:b/>
                <w:spacing w:val="60"/>
                <w:sz w:val="26"/>
                <w:szCs w:val="26"/>
                <w:lang w:val="ro-R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hAnsi="Times New Roman"/>
                <w:sz w:val="26"/>
                <w:szCs w:val="26"/>
                <w:lang w:val="ro-RO"/>
              </w:rPr>
              <w:t>Analiza periodică a piețelor cât și revizuirea obligațiilor impuse furnizorilor reprezintă una dintre atribuțiile ale ANRCETI, respectiv Agenția va respecta această normă</w:t>
            </w:r>
          </w:p>
        </w:tc>
      </w:tr>
      <w:tr w:rsidR="002A45E3" w:rsidRPr="002A4F69" w:rsidTr="002A4F69">
        <w:trPr>
          <w:trHeight w:val="548"/>
        </w:trPr>
        <w:tc>
          <w:tcPr>
            <w:tcW w:w="692" w:type="dxa"/>
            <w:shd w:val="clear" w:color="auto" w:fill="auto"/>
          </w:tcPr>
          <w:p w:rsidR="002A45E3" w:rsidRPr="001817F5" w:rsidRDefault="002A45E3" w:rsidP="002A45E3">
            <w:pPr>
              <w:pStyle w:val="ListParagraph"/>
              <w:tabs>
                <w:tab w:val="left" w:pos="318"/>
              </w:tabs>
              <w:ind w:left="176" w:right="-31"/>
              <w:jc w:val="both"/>
              <w:rPr>
                <w:rFonts w:ascii="Times New Roman" w:hAnsi="Times New Roman"/>
                <w:sz w:val="26"/>
                <w:szCs w:val="26"/>
                <w:lang w:val="ro-RO"/>
              </w:rPr>
            </w:pPr>
          </w:p>
        </w:tc>
        <w:tc>
          <w:tcPr>
            <w:tcW w:w="6804" w:type="dxa"/>
            <w:shd w:val="clear" w:color="auto" w:fill="8DB3E2" w:themeFill="text2" w:themeFillTint="66"/>
          </w:tcPr>
          <w:p w:rsidR="002A45E3" w:rsidRPr="00892EC1" w:rsidRDefault="002A45E3" w:rsidP="00DB5006">
            <w:pPr>
              <w:jc w:val="both"/>
              <w:rPr>
                <w:rFonts w:ascii="Times New Roman" w:eastAsiaTheme="minorHAnsi" w:hAnsi="Times New Roman"/>
                <w:b/>
                <w:sz w:val="26"/>
                <w:szCs w:val="26"/>
                <w:lang w:val="ro-MO"/>
              </w:rPr>
            </w:pPr>
            <w:r w:rsidRPr="00892EC1">
              <w:rPr>
                <w:rFonts w:ascii="Times New Roman" w:eastAsiaTheme="minorHAnsi" w:hAnsi="Times New Roman"/>
                <w:b/>
                <w:sz w:val="26"/>
                <w:szCs w:val="26"/>
                <w:lang w:val="ro-MO"/>
              </w:rPr>
              <w:t>”Star</w:t>
            </w:r>
            <w:r w:rsidR="006902AC">
              <w:rPr>
                <w:rFonts w:ascii="Times New Roman" w:eastAsiaTheme="minorHAnsi" w:hAnsi="Times New Roman"/>
                <w:b/>
                <w:sz w:val="26"/>
                <w:szCs w:val="26"/>
                <w:lang w:val="ro-MO"/>
              </w:rPr>
              <w:t xml:space="preserve"> </w:t>
            </w:r>
            <w:r w:rsidRPr="00892EC1">
              <w:rPr>
                <w:rFonts w:ascii="Times New Roman" w:eastAsiaTheme="minorHAnsi" w:hAnsi="Times New Roman"/>
                <w:b/>
                <w:sz w:val="26"/>
                <w:szCs w:val="26"/>
                <w:lang w:val="ro-MO"/>
              </w:rPr>
              <w:t>Net Soluții” S.R.L.</w:t>
            </w:r>
          </w:p>
        </w:tc>
        <w:tc>
          <w:tcPr>
            <w:tcW w:w="1559" w:type="dxa"/>
            <w:shd w:val="clear" w:color="auto" w:fill="8DB3E2" w:themeFill="text2" w:themeFillTint="66"/>
          </w:tcPr>
          <w:p w:rsidR="002A45E3" w:rsidRPr="001817F5" w:rsidRDefault="002A45E3" w:rsidP="00C92A65">
            <w:pPr>
              <w:ind w:right="-31" w:hanging="18"/>
              <w:jc w:val="center"/>
              <w:rPr>
                <w:rFonts w:ascii="Times New Roman" w:eastAsiaTheme="minorHAnsi" w:hAnsi="Times New Roman"/>
                <w:b/>
                <w:sz w:val="26"/>
                <w:szCs w:val="26"/>
                <w:lang w:val="ro-RO"/>
              </w:rPr>
            </w:pPr>
          </w:p>
        </w:tc>
        <w:tc>
          <w:tcPr>
            <w:tcW w:w="6254" w:type="dxa"/>
            <w:shd w:val="clear" w:color="auto" w:fill="8DB3E2" w:themeFill="text2" w:themeFillTint="66"/>
          </w:tcPr>
          <w:p w:rsidR="002A45E3" w:rsidRPr="001817F5" w:rsidRDefault="002A45E3" w:rsidP="00C92A65">
            <w:pPr>
              <w:ind w:right="175"/>
              <w:jc w:val="both"/>
              <w:rPr>
                <w:rFonts w:ascii="Times New Roman" w:hAnsi="Times New Roman"/>
                <w:sz w:val="26"/>
                <w:szCs w:val="26"/>
                <w:lang w:val="ro-RO"/>
              </w:rPr>
            </w:pPr>
          </w:p>
        </w:tc>
      </w:tr>
      <w:tr w:rsidR="002A45E3" w:rsidRPr="002A4F69" w:rsidTr="002A4F69">
        <w:trPr>
          <w:trHeight w:val="548"/>
        </w:trPr>
        <w:tc>
          <w:tcPr>
            <w:tcW w:w="692" w:type="dxa"/>
            <w:shd w:val="clear" w:color="auto" w:fill="auto"/>
          </w:tcPr>
          <w:p w:rsidR="002A45E3" w:rsidRPr="001817F5" w:rsidRDefault="002A45E3" w:rsidP="002E6290">
            <w:pPr>
              <w:pStyle w:val="ListParagraph"/>
              <w:numPr>
                <w:ilvl w:val="0"/>
                <w:numId w:val="42"/>
              </w:numPr>
              <w:tabs>
                <w:tab w:val="left" w:pos="318"/>
              </w:tabs>
              <w:ind w:left="176" w:right="-31" w:hanging="176"/>
              <w:jc w:val="both"/>
              <w:rPr>
                <w:rFonts w:ascii="Times New Roman" w:hAnsi="Times New Roman"/>
                <w:sz w:val="26"/>
                <w:szCs w:val="26"/>
                <w:lang w:val="ro-RO"/>
              </w:rPr>
            </w:pPr>
          </w:p>
        </w:tc>
        <w:tc>
          <w:tcPr>
            <w:tcW w:w="6804" w:type="dxa"/>
            <w:shd w:val="clear" w:color="auto" w:fill="auto"/>
          </w:tcPr>
          <w:p w:rsidR="002A45E3" w:rsidRDefault="002A45E3" w:rsidP="002A45E3">
            <w:pPr>
              <w:jc w:val="both"/>
              <w:rPr>
                <w:rFonts w:ascii="Times New Roman" w:hAnsi="Times New Roman"/>
                <w:sz w:val="26"/>
                <w:szCs w:val="26"/>
                <w:lang w:val="ro-MO"/>
              </w:rPr>
            </w:pPr>
            <w:r w:rsidRPr="00485537">
              <w:rPr>
                <w:rFonts w:ascii="Times New Roman" w:eastAsiaTheme="minorHAnsi" w:hAnsi="Times New Roman"/>
                <w:sz w:val="26"/>
                <w:szCs w:val="26"/>
                <w:lang w:val="ro-MO"/>
              </w:rPr>
              <w:t xml:space="preserve">Se propune completarea proiectului </w:t>
            </w:r>
            <w:r w:rsidRPr="00485537">
              <w:rPr>
                <w:rFonts w:ascii="Times New Roman" w:hAnsi="Times New Roman"/>
                <w:sz w:val="26"/>
                <w:szCs w:val="26"/>
                <w:lang w:val="ro-MO"/>
              </w:rPr>
              <w:t>Programului de elaborare a actelor de reglementare de către ANRCETI pentru anul 2020 cu  puncte noi:</w:t>
            </w:r>
          </w:p>
          <w:p w:rsidR="002A45E3" w:rsidRPr="00485537" w:rsidRDefault="002A45E3" w:rsidP="002A45E3">
            <w:pPr>
              <w:jc w:val="both"/>
              <w:rPr>
                <w:rFonts w:ascii="Times New Roman" w:eastAsiaTheme="minorHAnsi" w:hAnsi="Times New Roman"/>
                <w:sz w:val="26"/>
                <w:szCs w:val="26"/>
                <w:lang w:val="ro-MO"/>
              </w:rPr>
            </w:pPr>
            <w:r>
              <w:rPr>
                <w:rFonts w:ascii="Times New Roman" w:hAnsi="Times New Roman"/>
                <w:sz w:val="26"/>
                <w:szCs w:val="26"/>
                <w:lang w:val="ro-MO"/>
              </w:rPr>
              <w:t>Crearea cadrului normativ pentru impunerea operatorilor mobili pentru realizarea dreptului furnizorilor de a deveni operator MVNO. Spre exemplu prin stabilirea obligației operatorilor mobili care au atins o anumită arie de acoperire (Mai mare de 85%) din teritoriu sau care au atins o anumită cotă de piață, conform celor mai bune practici din UE, în speță România.</w:t>
            </w:r>
            <w:r w:rsidR="003872FE">
              <w:rPr>
                <w:rFonts w:ascii="Times New Roman" w:hAnsi="Times New Roman"/>
                <w:sz w:val="26"/>
                <w:szCs w:val="26"/>
                <w:lang w:val="ro-MO"/>
              </w:rPr>
              <w:t xml:space="preserve"> Din anul 2007 din momentul aprobării Legii comunicațiilor electronice nr.241/2007 în Republica Moldova nu a apărut nici un operator MVNO.</w:t>
            </w:r>
          </w:p>
        </w:tc>
        <w:tc>
          <w:tcPr>
            <w:tcW w:w="1559" w:type="dxa"/>
            <w:shd w:val="clear" w:color="auto" w:fill="auto"/>
          </w:tcPr>
          <w:p w:rsidR="002A45E3" w:rsidRPr="001817F5" w:rsidRDefault="00D25530" w:rsidP="00663F45">
            <w:pPr>
              <w:ind w:right="-31" w:hanging="18"/>
              <w:jc w:val="center"/>
              <w:rPr>
                <w:rFonts w:ascii="Times New Roman" w:eastAsiaTheme="minorHAnsi" w:hAnsi="Times New Roman"/>
                <w:b/>
                <w:sz w:val="26"/>
                <w:szCs w:val="26"/>
                <w:lang w:val="ro-RO"/>
              </w:rPr>
            </w:pPr>
            <w:r>
              <w:rPr>
                <w:rFonts w:ascii="Times New Roman" w:eastAsiaTheme="minorHAnsi" w:hAnsi="Times New Roman"/>
                <w:b/>
                <w:sz w:val="26"/>
                <w:szCs w:val="26"/>
                <w:lang w:val="ro-RO"/>
              </w:rPr>
              <w:t>Nu se acceptă</w:t>
            </w:r>
          </w:p>
        </w:tc>
        <w:tc>
          <w:tcPr>
            <w:tcW w:w="6254" w:type="dxa"/>
            <w:shd w:val="clear" w:color="auto" w:fill="auto"/>
          </w:tcPr>
          <w:p w:rsidR="00ED7C5E" w:rsidRDefault="00233086" w:rsidP="00ED7C5E">
            <w:pPr>
              <w:ind w:right="175"/>
              <w:jc w:val="both"/>
              <w:rPr>
                <w:rFonts w:ascii="Times New Roman" w:hAnsi="Times New Roman"/>
                <w:sz w:val="26"/>
                <w:szCs w:val="26"/>
                <w:lang w:val="ro-RO"/>
              </w:rPr>
            </w:pPr>
            <w:r>
              <w:rPr>
                <w:rFonts w:ascii="Times New Roman" w:hAnsi="Times New Roman"/>
                <w:sz w:val="26"/>
                <w:szCs w:val="26"/>
                <w:lang w:val="ro-RO"/>
              </w:rPr>
              <w:t xml:space="preserve">Cadrul legal existent prevede norme ce vizează subiectul abordat. Prevederi </w:t>
            </w:r>
            <w:r w:rsidR="00ED7C5E">
              <w:rPr>
                <w:rFonts w:ascii="Times New Roman" w:hAnsi="Times New Roman"/>
                <w:sz w:val="26"/>
                <w:szCs w:val="26"/>
                <w:lang w:val="ro-RO"/>
              </w:rPr>
              <w:t xml:space="preserve">speciale privind accesul MVNO, la rețelele mobile sunt prevăzute în </w:t>
            </w:r>
            <w:r w:rsidR="00ED7C5E" w:rsidRPr="00ED7C5E">
              <w:rPr>
                <w:rFonts w:ascii="Times New Roman" w:hAnsi="Times New Roman"/>
                <w:sz w:val="26"/>
                <w:szCs w:val="26"/>
                <w:lang w:val="ro-RO"/>
              </w:rPr>
              <w:t>Condiţiil</w:t>
            </w:r>
            <w:r w:rsidR="00ED7C5E">
              <w:rPr>
                <w:rFonts w:ascii="Times New Roman" w:hAnsi="Times New Roman"/>
                <w:sz w:val="26"/>
                <w:szCs w:val="26"/>
                <w:lang w:val="ro-RO"/>
              </w:rPr>
              <w:t>e</w:t>
            </w:r>
            <w:r w:rsidR="00ED7C5E" w:rsidRPr="00ED7C5E">
              <w:rPr>
                <w:rFonts w:ascii="Times New Roman" w:hAnsi="Times New Roman"/>
                <w:sz w:val="26"/>
                <w:szCs w:val="26"/>
                <w:lang w:val="ro-RO"/>
              </w:rPr>
              <w:t xml:space="preserve"> speciale tip de licenţă pentru utilizarea frecvenţelor/canalelor radio </w:t>
            </w:r>
            <w:r w:rsidR="00ED7C5E">
              <w:rPr>
                <w:rFonts w:ascii="Times New Roman" w:hAnsi="Times New Roman"/>
                <w:sz w:val="26"/>
                <w:szCs w:val="26"/>
                <w:lang w:val="ro-RO"/>
              </w:rPr>
              <w:t xml:space="preserve">din benzile de frecvențe radio: 800/900/1800/2100/2500/3400-3800 MHZ, </w:t>
            </w:r>
            <w:r w:rsidR="00ED7C5E" w:rsidRPr="00ED7C5E">
              <w:rPr>
                <w:rFonts w:ascii="Times New Roman" w:hAnsi="Times New Roman"/>
                <w:sz w:val="26"/>
                <w:szCs w:val="26"/>
                <w:lang w:val="ro-RO"/>
              </w:rPr>
              <w:t>în scopul furnizării reţelelor şi serviciilor publice de comunicaţii electronice mobile celulare terestre</w:t>
            </w:r>
            <w:r w:rsidR="00ED7C5E">
              <w:rPr>
                <w:rFonts w:ascii="Times New Roman" w:hAnsi="Times New Roman"/>
                <w:sz w:val="26"/>
                <w:szCs w:val="26"/>
                <w:lang w:val="ro-RO"/>
              </w:rPr>
              <w:t xml:space="preserve">. Acestea prevăd, în special, că </w:t>
            </w:r>
            <w:r w:rsidR="00ED7C5E" w:rsidRPr="00ED7C5E">
              <w:rPr>
                <w:rFonts w:ascii="Times New Roman" w:hAnsi="Times New Roman"/>
                <w:sz w:val="26"/>
                <w:szCs w:val="26"/>
                <w:lang w:val="ro-RO"/>
              </w:rPr>
              <w:t xml:space="preserve">titularul de licenţă </w:t>
            </w:r>
            <w:r w:rsidR="00ED7C5E">
              <w:rPr>
                <w:rFonts w:ascii="Times New Roman" w:hAnsi="Times New Roman"/>
                <w:sz w:val="26"/>
                <w:szCs w:val="26"/>
                <w:lang w:val="ro-RO"/>
              </w:rPr>
              <w:t xml:space="preserve">va </w:t>
            </w:r>
            <w:r w:rsidR="00ED7C5E" w:rsidRPr="00ED7C5E">
              <w:rPr>
                <w:rFonts w:ascii="Times New Roman" w:hAnsi="Times New Roman"/>
                <w:sz w:val="26"/>
                <w:szCs w:val="26"/>
                <w:lang w:val="ro-RO"/>
              </w:rPr>
              <w:t>furniz</w:t>
            </w:r>
            <w:r w:rsidR="00ED7C5E">
              <w:rPr>
                <w:rFonts w:ascii="Times New Roman" w:hAnsi="Times New Roman"/>
                <w:sz w:val="26"/>
                <w:szCs w:val="26"/>
                <w:lang w:val="ro-RO"/>
              </w:rPr>
              <w:t>a</w:t>
            </w:r>
            <w:r w:rsidR="00ED7C5E" w:rsidRPr="00ED7C5E">
              <w:rPr>
                <w:rFonts w:ascii="Times New Roman" w:hAnsi="Times New Roman"/>
                <w:sz w:val="26"/>
                <w:szCs w:val="26"/>
                <w:lang w:val="ro-RO"/>
              </w:rPr>
              <w:t xml:space="preserve"> accesul MVNO la reţeaua de comunicaţii electronice şi la celelalte echipamente de reţea (</w:t>
            </w:r>
            <w:proofErr w:type="spellStart"/>
            <w:r w:rsidR="00ED7C5E" w:rsidRPr="00ED7C5E">
              <w:rPr>
                <w:rFonts w:ascii="Times New Roman" w:hAnsi="Times New Roman"/>
                <w:sz w:val="26"/>
                <w:szCs w:val="26"/>
                <w:lang w:val="ro-RO"/>
              </w:rPr>
              <w:t>core</w:t>
            </w:r>
            <w:proofErr w:type="spellEnd"/>
            <w:r w:rsidR="00ED7C5E" w:rsidRPr="00ED7C5E">
              <w:rPr>
                <w:rFonts w:ascii="Times New Roman" w:hAnsi="Times New Roman"/>
                <w:sz w:val="26"/>
                <w:szCs w:val="26"/>
                <w:lang w:val="ro-RO"/>
              </w:rPr>
              <w:t xml:space="preserve"> </w:t>
            </w:r>
            <w:proofErr w:type="spellStart"/>
            <w:r w:rsidR="00ED7C5E" w:rsidRPr="00ED7C5E">
              <w:rPr>
                <w:rFonts w:ascii="Times New Roman" w:hAnsi="Times New Roman"/>
                <w:sz w:val="26"/>
                <w:szCs w:val="26"/>
                <w:lang w:val="ro-RO"/>
              </w:rPr>
              <w:t>network</w:t>
            </w:r>
            <w:proofErr w:type="spellEnd"/>
            <w:r w:rsidR="00ED7C5E" w:rsidRPr="00ED7C5E">
              <w:rPr>
                <w:rFonts w:ascii="Times New Roman" w:hAnsi="Times New Roman"/>
                <w:sz w:val="26"/>
                <w:szCs w:val="26"/>
                <w:lang w:val="ro-RO"/>
              </w:rPr>
              <w:t xml:space="preserve">) necesare furnizării serviciilor de comunicaţii </w:t>
            </w:r>
            <w:r w:rsidR="00ED7C5E" w:rsidRPr="00ED7C5E">
              <w:rPr>
                <w:rFonts w:ascii="Times New Roman" w:hAnsi="Times New Roman"/>
                <w:sz w:val="26"/>
                <w:szCs w:val="26"/>
                <w:lang w:val="ro-RO"/>
              </w:rPr>
              <w:lastRenderedPageBreak/>
              <w:t>electronice, în condiţiile acordurilor comerciale negociate şi încheiate benevol între furnizori</w:t>
            </w:r>
            <w:r w:rsidR="00ED7C5E">
              <w:rPr>
                <w:rFonts w:ascii="Times New Roman" w:hAnsi="Times New Roman"/>
                <w:sz w:val="26"/>
                <w:szCs w:val="26"/>
                <w:lang w:val="ro-RO"/>
              </w:rPr>
              <w:t xml:space="preserve">. Totodată, </w:t>
            </w:r>
            <w:r w:rsidR="00ED7C5E" w:rsidRPr="00ED7C5E">
              <w:rPr>
                <w:rFonts w:ascii="Times New Roman" w:hAnsi="Times New Roman"/>
                <w:sz w:val="26"/>
                <w:szCs w:val="26"/>
                <w:lang w:val="ro-RO"/>
              </w:rPr>
              <w:t xml:space="preserve">ANRCETI, prin </w:t>
            </w:r>
            <w:r w:rsidR="00ED7C5E" w:rsidRPr="007B0DF0">
              <w:rPr>
                <w:rFonts w:ascii="Times New Roman" w:hAnsi="Times New Roman"/>
                <w:sz w:val="26"/>
                <w:szCs w:val="26"/>
                <w:lang w:val="ro-RO"/>
              </w:rPr>
              <w:t>Hotărârea</w:t>
            </w:r>
            <w:r w:rsidR="00ED7C5E" w:rsidRPr="00ED7C5E">
              <w:rPr>
                <w:rFonts w:ascii="Times New Roman" w:hAnsi="Times New Roman"/>
                <w:sz w:val="26"/>
                <w:szCs w:val="26"/>
                <w:lang w:val="ro-RO"/>
              </w:rPr>
              <w:t xml:space="preserve">  nr. 28 din 21.09.2010 a aprobat Condiţiil</w:t>
            </w:r>
            <w:r w:rsidR="00ED7C5E">
              <w:rPr>
                <w:rFonts w:ascii="Times New Roman" w:hAnsi="Times New Roman"/>
                <w:sz w:val="26"/>
                <w:szCs w:val="26"/>
                <w:lang w:val="ro-RO"/>
              </w:rPr>
              <w:t>e</w:t>
            </w:r>
            <w:r w:rsidR="00ED7C5E" w:rsidRPr="00ED7C5E">
              <w:rPr>
                <w:rFonts w:ascii="Times New Roman" w:hAnsi="Times New Roman"/>
                <w:sz w:val="26"/>
                <w:szCs w:val="26"/>
                <w:lang w:val="ro-RO"/>
              </w:rPr>
              <w:t xml:space="preserve"> speciale de licenţă privind utilizarea numerelor non-geografice pentru reţele mobile virtuale</w:t>
            </w:r>
            <w:r w:rsidR="00ED7C5E">
              <w:rPr>
                <w:rFonts w:ascii="Times New Roman" w:hAnsi="Times New Roman"/>
                <w:sz w:val="26"/>
                <w:szCs w:val="26"/>
                <w:lang w:val="ro-RO"/>
              </w:rPr>
              <w:t>.</w:t>
            </w:r>
            <w:r w:rsidR="00ED7C5E" w:rsidRPr="00ED7C5E">
              <w:rPr>
                <w:lang w:val="ro-RO"/>
              </w:rPr>
              <w:t xml:space="preserve"> </w:t>
            </w:r>
            <w:r w:rsidR="00ED7C5E" w:rsidRPr="00ED7C5E">
              <w:rPr>
                <w:rFonts w:ascii="Times New Roman" w:hAnsi="Times New Roman"/>
                <w:sz w:val="26"/>
                <w:szCs w:val="26"/>
                <w:lang w:val="ro-RO"/>
              </w:rPr>
              <w:t>Potrivit acestor condiții, pot obţine licenţe privind utilizarea numerelor non-geografice pentru reţele mobile virtuale numai furnizorii care dispun de un acord semnat cu un furnizor de reţele publice de comunicaţii electronice mobile</w:t>
            </w:r>
            <w:r w:rsidR="00ED7C5E">
              <w:rPr>
                <w:rFonts w:ascii="Times New Roman" w:hAnsi="Times New Roman"/>
                <w:sz w:val="26"/>
                <w:szCs w:val="26"/>
                <w:lang w:val="ro-RO"/>
              </w:rPr>
              <w:t>. O asemenea prevedere se regăsește și în art. 27 alin. (4), lit. c) din Legea nr. 241/2007.</w:t>
            </w:r>
          </w:p>
          <w:p w:rsidR="00233086" w:rsidRDefault="00233086" w:rsidP="00233086">
            <w:pPr>
              <w:ind w:right="175"/>
              <w:jc w:val="both"/>
              <w:rPr>
                <w:rFonts w:ascii="Times New Roman" w:hAnsi="Times New Roman"/>
                <w:sz w:val="26"/>
                <w:szCs w:val="26"/>
                <w:lang w:val="ro-RO"/>
              </w:rPr>
            </w:pPr>
            <w:r>
              <w:rPr>
                <w:rFonts w:ascii="Times New Roman" w:hAnsi="Times New Roman"/>
                <w:sz w:val="26"/>
                <w:szCs w:val="26"/>
                <w:lang w:val="ro-RO"/>
              </w:rPr>
              <w:t>Menționăm că, până la moment nici un furnizor nu a sesizat ANRCETI despre refuzul furnizorilor de telefonie mobilă de a negocia un contract în acest sens.</w:t>
            </w:r>
          </w:p>
          <w:p w:rsidR="00233086" w:rsidRDefault="00233086" w:rsidP="00233086">
            <w:pPr>
              <w:ind w:right="175"/>
              <w:jc w:val="both"/>
              <w:rPr>
                <w:rFonts w:ascii="Times New Roman" w:hAnsi="Times New Roman"/>
                <w:sz w:val="26"/>
                <w:szCs w:val="26"/>
                <w:lang w:val="ro-RO"/>
              </w:rPr>
            </w:pPr>
            <w:r>
              <w:rPr>
                <w:rFonts w:ascii="Times New Roman" w:hAnsi="Times New Roman"/>
                <w:sz w:val="26"/>
                <w:szCs w:val="26"/>
                <w:lang w:val="ro-RO"/>
              </w:rPr>
              <w:t>Respectiv, până în prezent nu au fost identificate premize pentru intervenția Agenției prin impunerea unor obligații suplimentare.</w:t>
            </w:r>
          </w:p>
          <w:p w:rsidR="00233086" w:rsidRDefault="00233086" w:rsidP="00ED7C5E">
            <w:pPr>
              <w:ind w:right="175"/>
              <w:jc w:val="both"/>
              <w:rPr>
                <w:rFonts w:ascii="Times New Roman" w:hAnsi="Times New Roman"/>
                <w:sz w:val="26"/>
                <w:szCs w:val="26"/>
                <w:lang w:val="ro-RO"/>
              </w:rPr>
            </w:pPr>
          </w:p>
          <w:p w:rsidR="00ED7C5E" w:rsidRPr="00E61427" w:rsidRDefault="00ED7C5E" w:rsidP="00ED7C5E">
            <w:pPr>
              <w:ind w:right="175"/>
              <w:jc w:val="both"/>
              <w:rPr>
                <w:rFonts w:ascii="Times New Roman" w:hAnsi="Times New Roman"/>
                <w:sz w:val="24"/>
                <w:szCs w:val="24"/>
                <w:lang w:val="fr-CD"/>
              </w:rPr>
            </w:pPr>
          </w:p>
        </w:tc>
      </w:tr>
      <w:tr w:rsidR="002A45E3" w:rsidRPr="002A4F69" w:rsidTr="002A4F69">
        <w:trPr>
          <w:trHeight w:val="548"/>
        </w:trPr>
        <w:tc>
          <w:tcPr>
            <w:tcW w:w="692" w:type="dxa"/>
            <w:shd w:val="clear" w:color="auto" w:fill="auto"/>
          </w:tcPr>
          <w:p w:rsidR="002A45E3" w:rsidRPr="001817F5" w:rsidRDefault="002A45E3" w:rsidP="002E6290">
            <w:pPr>
              <w:pStyle w:val="ListParagraph"/>
              <w:numPr>
                <w:ilvl w:val="0"/>
                <w:numId w:val="42"/>
              </w:numPr>
              <w:tabs>
                <w:tab w:val="left" w:pos="318"/>
              </w:tabs>
              <w:ind w:left="176" w:right="-31" w:hanging="176"/>
              <w:jc w:val="both"/>
              <w:rPr>
                <w:rFonts w:ascii="Times New Roman" w:hAnsi="Times New Roman"/>
                <w:sz w:val="26"/>
                <w:szCs w:val="26"/>
                <w:lang w:val="ro-RO"/>
              </w:rPr>
            </w:pPr>
          </w:p>
        </w:tc>
        <w:tc>
          <w:tcPr>
            <w:tcW w:w="6804" w:type="dxa"/>
            <w:shd w:val="clear" w:color="auto" w:fill="auto"/>
          </w:tcPr>
          <w:p w:rsidR="003872FE" w:rsidRDefault="002A45E3" w:rsidP="002A45E3">
            <w:pPr>
              <w:jc w:val="both"/>
              <w:rPr>
                <w:rFonts w:ascii="Times New Roman" w:eastAsiaTheme="minorHAnsi" w:hAnsi="Times New Roman"/>
                <w:sz w:val="26"/>
                <w:szCs w:val="26"/>
                <w:lang w:val="ro-MO"/>
              </w:rPr>
            </w:pPr>
            <w:r>
              <w:rPr>
                <w:rFonts w:ascii="Times New Roman" w:eastAsiaTheme="minorHAnsi" w:hAnsi="Times New Roman"/>
                <w:sz w:val="26"/>
                <w:szCs w:val="26"/>
                <w:lang w:val="ro-MO"/>
              </w:rPr>
              <w:t>Reexaminarea Metodologiei de</w:t>
            </w:r>
            <w:r w:rsidR="006546D1">
              <w:rPr>
                <w:rFonts w:ascii="Times New Roman" w:eastAsiaTheme="minorHAnsi" w:hAnsi="Times New Roman"/>
                <w:sz w:val="26"/>
                <w:szCs w:val="26"/>
                <w:lang w:val="ro-MO"/>
              </w:rPr>
              <w:t xml:space="preserve"> calcul și aplicare a plăților </w:t>
            </w:r>
            <w:r>
              <w:rPr>
                <w:rFonts w:ascii="Times New Roman" w:eastAsiaTheme="minorHAnsi" w:hAnsi="Times New Roman"/>
                <w:sz w:val="26"/>
                <w:szCs w:val="26"/>
                <w:lang w:val="ro-MO"/>
              </w:rPr>
              <w:t xml:space="preserve">pentru </w:t>
            </w:r>
            <w:r w:rsidR="003872FE">
              <w:rPr>
                <w:rFonts w:ascii="Times New Roman" w:eastAsiaTheme="minorHAnsi" w:hAnsi="Times New Roman"/>
                <w:sz w:val="26"/>
                <w:szCs w:val="26"/>
                <w:lang w:val="ro-MO"/>
              </w:rPr>
              <w:t>organizarea, administrarea, operarea și întreținerea bazei de date centralizate, aprobate prin Ordinul nr.29 din 30.12.2014.</w:t>
            </w:r>
          </w:p>
          <w:p w:rsidR="002A45E3" w:rsidRPr="00485537" w:rsidRDefault="003872FE" w:rsidP="002A45E3">
            <w:pPr>
              <w:jc w:val="both"/>
              <w:rPr>
                <w:rFonts w:ascii="Times New Roman" w:eastAsiaTheme="minorHAnsi" w:hAnsi="Times New Roman"/>
                <w:sz w:val="26"/>
                <w:szCs w:val="26"/>
                <w:lang w:val="ro-MO"/>
              </w:rPr>
            </w:pPr>
            <w:r>
              <w:rPr>
                <w:rFonts w:ascii="Times New Roman" w:eastAsiaTheme="minorHAnsi" w:hAnsi="Times New Roman"/>
                <w:sz w:val="26"/>
                <w:szCs w:val="26"/>
                <w:lang w:val="ro-MO"/>
              </w:rPr>
              <w:t xml:space="preserve">Motivare lipsa transparenței parametrilor incluși în formula de calcul a serviciilor de asigurare a </w:t>
            </w:r>
            <w:proofErr w:type="spellStart"/>
            <w:r>
              <w:rPr>
                <w:rFonts w:ascii="Times New Roman" w:eastAsiaTheme="minorHAnsi" w:hAnsi="Times New Roman"/>
                <w:sz w:val="26"/>
                <w:szCs w:val="26"/>
                <w:lang w:val="ro-MO"/>
              </w:rPr>
              <w:t>portării</w:t>
            </w:r>
            <w:proofErr w:type="spellEnd"/>
            <w:r>
              <w:rPr>
                <w:rFonts w:ascii="Times New Roman" w:eastAsiaTheme="minorHAnsi" w:hAnsi="Times New Roman"/>
                <w:sz w:val="26"/>
                <w:szCs w:val="26"/>
                <w:lang w:val="ro-MO"/>
              </w:rPr>
              <w:t xml:space="preserve"> numerelor (achitări Furnizor&gt;NPBASE)</w:t>
            </w:r>
          </w:p>
        </w:tc>
        <w:tc>
          <w:tcPr>
            <w:tcW w:w="1559" w:type="dxa"/>
            <w:shd w:val="clear" w:color="auto" w:fill="auto"/>
          </w:tcPr>
          <w:p w:rsidR="002A45E3" w:rsidRPr="001817F5" w:rsidRDefault="00F26C2E" w:rsidP="00C92A65">
            <w:pPr>
              <w:ind w:right="-31" w:hanging="18"/>
              <w:jc w:val="center"/>
              <w:rPr>
                <w:rFonts w:ascii="Times New Roman" w:eastAsiaTheme="minorHAnsi" w:hAnsi="Times New Roman"/>
                <w:b/>
                <w:sz w:val="26"/>
                <w:szCs w:val="26"/>
                <w:lang w:val="ro-RO"/>
              </w:rPr>
            </w:pPr>
            <w:r>
              <w:rPr>
                <w:rFonts w:ascii="Times New Roman" w:eastAsiaTheme="minorHAnsi" w:hAnsi="Times New Roman"/>
                <w:b/>
                <w:sz w:val="26"/>
                <w:szCs w:val="26"/>
                <w:lang w:val="ro-RO"/>
              </w:rPr>
              <w:t>Nu se acceptă</w:t>
            </w:r>
          </w:p>
        </w:tc>
        <w:tc>
          <w:tcPr>
            <w:tcW w:w="6254" w:type="dxa"/>
            <w:shd w:val="clear" w:color="auto" w:fill="auto"/>
          </w:tcPr>
          <w:p w:rsidR="00233086" w:rsidRDefault="00233086" w:rsidP="00233086">
            <w:pPr>
              <w:ind w:right="175"/>
              <w:jc w:val="both"/>
              <w:rPr>
                <w:rFonts w:ascii="Times New Roman" w:hAnsi="Times New Roman"/>
                <w:sz w:val="26"/>
                <w:szCs w:val="26"/>
                <w:lang w:val="ro-RO"/>
              </w:rPr>
            </w:pPr>
            <w:r>
              <w:rPr>
                <w:rFonts w:ascii="Times New Roman" w:hAnsi="Times New Roman"/>
                <w:sz w:val="26"/>
                <w:szCs w:val="26"/>
                <w:lang w:val="ro-RO"/>
              </w:rPr>
              <w:t xml:space="preserve">Pe subiectul dat, ANRCETI se ghidează de </w:t>
            </w:r>
            <w:bookmarkStart w:id="0" w:name="_GoBack"/>
            <w:r>
              <w:rPr>
                <w:rFonts w:ascii="Times New Roman" w:hAnsi="Times New Roman"/>
                <w:sz w:val="26"/>
                <w:szCs w:val="26"/>
                <w:lang w:val="ro-RO"/>
              </w:rPr>
              <w:t>recomandărilor Grupului de</w:t>
            </w:r>
            <w:r w:rsidRPr="007B3BC4">
              <w:rPr>
                <w:rFonts w:ascii="Times New Roman" w:hAnsi="Times New Roman"/>
                <w:sz w:val="26"/>
                <w:szCs w:val="26"/>
                <w:lang w:val="ro-RO"/>
              </w:rPr>
              <w:t xml:space="preserve"> lucru, instituit prin Ordinul directorului ANRCETI nr.30 din 25</w:t>
            </w:r>
            <w:bookmarkEnd w:id="0"/>
            <w:r w:rsidRPr="007B3BC4">
              <w:rPr>
                <w:rFonts w:ascii="Times New Roman" w:hAnsi="Times New Roman"/>
                <w:sz w:val="26"/>
                <w:szCs w:val="26"/>
                <w:lang w:val="ro-RO"/>
              </w:rPr>
              <w:t>.09.2019</w:t>
            </w:r>
            <w:r>
              <w:rPr>
                <w:rFonts w:ascii="Times New Roman" w:hAnsi="Times New Roman"/>
                <w:sz w:val="26"/>
                <w:szCs w:val="26"/>
                <w:lang w:val="ro-RO"/>
              </w:rPr>
              <w:t xml:space="preserve">. </w:t>
            </w:r>
          </w:p>
          <w:p w:rsidR="002A45E3" w:rsidRPr="001817F5" w:rsidRDefault="002A45E3" w:rsidP="00C92A65">
            <w:pPr>
              <w:ind w:right="175"/>
              <w:jc w:val="both"/>
              <w:rPr>
                <w:rFonts w:ascii="Times New Roman" w:hAnsi="Times New Roman"/>
                <w:sz w:val="26"/>
                <w:szCs w:val="26"/>
                <w:lang w:val="ro-RO"/>
              </w:rPr>
            </w:pPr>
          </w:p>
        </w:tc>
      </w:tr>
      <w:tr w:rsidR="002A45E3" w:rsidRPr="00233086" w:rsidTr="002A4F69">
        <w:trPr>
          <w:trHeight w:val="548"/>
        </w:trPr>
        <w:tc>
          <w:tcPr>
            <w:tcW w:w="692" w:type="dxa"/>
            <w:shd w:val="clear" w:color="auto" w:fill="auto"/>
          </w:tcPr>
          <w:p w:rsidR="002A45E3" w:rsidRPr="001817F5" w:rsidRDefault="002A45E3" w:rsidP="002E6290">
            <w:pPr>
              <w:pStyle w:val="ListParagraph"/>
              <w:numPr>
                <w:ilvl w:val="0"/>
                <w:numId w:val="42"/>
              </w:numPr>
              <w:tabs>
                <w:tab w:val="left" w:pos="318"/>
              </w:tabs>
              <w:ind w:left="176" w:right="-31" w:hanging="176"/>
              <w:jc w:val="both"/>
              <w:rPr>
                <w:rFonts w:ascii="Times New Roman" w:hAnsi="Times New Roman"/>
                <w:sz w:val="26"/>
                <w:szCs w:val="26"/>
                <w:lang w:val="ro-RO"/>
              </w:rPr>
            </w:pPr>
          </w:p>
        </w:tc>
        <w:tc>
          <w:tcPr>
            <w:tcW w:w="6804" w:type="dxa"/>
            <w:shd w:val="clear" w:color="auto" w:fill="auto"/>
          </w:tcPr>
          <w:p w:rsidR="002A45E3" w:rsidRPr="00485537" w:rsidRDefault="00580BB1" w:rsidP="002A45E3">
            <w:pPr>
              <w:jc w:val="both"/>
              <w:rPr>
                <w:rFonts w:ascii="Times New Roman" w:eastAsiaTheme="minorHAnsi" w:hAnsi="Times New Roman"/>
                <w:sz w:val="26"/>
                <w:szCs w:val="26"/>
                <w:lang w:val="ro-MO"/>
              </w:rPr>
            </w:pPr>
            <w:r>
              <w:rPr>
                <w:rFonts w:ascii="Times New Roman" w:eastAsiaTheme="minorHAnsi" w:hAnsi="Times New Roman"/>
                <w:sz w:val="26"/>
                <w:szCs w:val="26"/>
                <w:lang w:val="ro-MO"/>
              </w:rPr>
              <w:t>Reevaluarea costului de portare a fiecărui număr în sensul diminuării</w:t>
            </w:r>
            <w:r w:rsidR="00892EC1">
              <w:rPr>
                <w:rFonts w:ascii="Times New Roman" w:eastAsiaTheme="minorHAnsi" w:hAnsi="Times New Roman"/>
                <w:sz w:val="26"/>
                <w:szCs w:val="26"/>
                <w:lang w:val="ro-MO"/>
              </w:rPr>
              <w:t xml:space="preserve"> </w:t>
            </w:r>
            <w:r>
              <w:rPr>
                <w:rFonts w:ascii="Times New Roman" w:eastAsiaTheme="minorHAnsi" w:hAnsi="Times New Roman"/>
                <w:sz w:val="26"/>
                <w:szCs w:val="26"/>
                <w:lang w:val="ro-MO"/>
              </w:rPr>
              <w:t>(achitări Furnizor Acceptor&gt;Furnizor Donor)</w:t>
            </w:r>
          </w:p>
        </w:tc>
        <w:tc>
          <w:tcPr>
            <w:tcW w:w="1559" w:type="dxa"/>
            <w:shd w:val="clear" w:color="auto" w:fill="auto"/>
          </w:tcPr>
          <w:p w:rsidR="002A45E3" w:rsidRPr="001817F5" w:rsidRDefault="00F26C2E" w:rsidP="00C92A65">
            <w:pPr>
              <w:ind w:right="-31" w:hanging="18"/>
              <w:jc w:val="center"/>
              <w:rPr>
                <w:rFonts w:ascii="Times New Roman" w:eastAsiaTheme="minorHAnsi" w:hAnsi="Times New Roman"/>
                <w:b/>
                <w:sz w:val="26"/>
                <w:szCs w:val="26"/>
                <w:lang w:val="ro-RO"/>
              </w:rPr>
            </w:pPr>
            <w:r>
              <w:rPr>
                <w:rFonts w:ascii="Times New Roman" w:eastAsiaTheme="minorHAnsi" w:hAnsi="Times New Roman"/>
                <w:b/>
                <w:sz w:val="26"/>
                <w:szCs w:val="26"/>
                <w:lang w:val="ro-RO"/>
              </w:rPr>
              <w:t>Nu se acceptă</w:t>
            </w:r>
          </w:p>
        </w:tc>
        <w:tc>
          <w:tcPr>
            <w:tcW w:w="6254" w:type="dxa"/>
            <w:shd w:val="clear" w:color="auto" w:fill="auto"/>
          </w:tcPr>
          <w:p w:rsidR="00233086" w:rsidRDefault="00233086" w:rsidP="00233086">
            <w:pPr>
              <w:ind w:right="175"/>
              <w:jc w:val="both"/>
              <w:rPr>
                <w:rFonts w:ascii="Times New Roman" w:hAnsi="Times New Roman"/>
                <w:sz w:val="26"/>
                <w:szCs w:val="26"/>
                <w:lang w:val="ro-RO"/>
              </w:rPr>
            </w:pPr>
            <w:r>
              <w:rPr>
                <w:rFonts w:ascii="Times New Roman" w:hAnsi="Times New Roman"/>
                <w:sz w:val="26"/>
                <w:szCs w:val="26"/>
                <w:lang w:val="ro-RO"/>
              </w:rPr>
              <w:t>Pe subiectul dat, ANRCETI se ghidează de recomandărilor Grupului de</w:t>
            </w:r>
            <w:r w:rsidRPr="007B3BC4">
              <w:rPr>
                <w:rFonts w:ascii="Times New Roman" w:hAnsi="Times New Roman"/>
                <w:sz w:val="26"/>
                <w:szCs w:val="26"/>
                <w:lang w:val="ro-RO"/>
              </w:rPr>
              <w:t xml:space="preserve"> lucru, instituit prin Ordinul directorului ANRCETI nr.30 din 25.09.2019</w:t>
            </w:r>
            <w:r>
              <w:rPr>
                <w:rFonts w:ascii="Times New Roman" w:hAnsi="Times New Roman"/>
                <w:sz w:val="26"/>
                <w:szCs w:val="26"/>
                <w:lang w:val="ro-RO"/>
              </w:rPr>
              <w:t xml:space="preserve">. </w:t>
            </w:r>
          </w:p>
          <w:p w:rsidR="00A0320D" w:rsidRDefault="00A0320D" w:rsidP="00A0320D">
            <w:pPr>
              <w:ind w:right="175"/>
              <w:jc w:val="both"/>
              <w:rPr>
                <w:rFonts w:ascii="Times New Roman" w:hAnsi="Times New Roman"/>
                <w:sz w:val="26"/>
                <w:szCs w:val="26"/>
                <w:lang w:val="ro-RO"/>
              </w:rPr>
            </w:pPr>
            <w:r>
              <w:rPr>
                <w:rFonts w:ascii="Times New Roman" w:hAnsi="Times New Roman"/>
                <w:sz w:val="26"/>
                <w:szCs w:val="26"/>
                <w:lang w:val="ro-RO"/>
              </w:rPr>
              <w:t xml:space="preserve">. </w:t>
            </w:r>
          </w:p>
          <w:p w:rsidR="002A45E3" w:rsidRPr="001817F5" w:rsidRDefault="002A45E3" w:rsidP="00F26C2E">
            <w:pPr>
              <w:ind w:right="175"/>
              <w:jc w:val="both"/>
              <w:rPr>
                <w:rFonts w:ascii="Times New Roman" w:hAnsi="Times New Roman"/>
                <w:sz w:val="26"/>
                <w:szCs w:val="26"/>
                <w:lang w:val="ro-RO"/>
              </w:rPr>
            </w:pPr>
          </w:p>
        </w:tc>
      </w:tr>
      <w:tr w:rsidR="002A45E3" w:rsidRPr="002A4F69" w:rsidTr="008D3737">
        <w:trPr>
          <w:trHeight w:val="548"/>
        </w:trPr>
        <w:tc>
          <w:tcPr>
            <w:tcW w:w="692" w:type="dxa"/>
            <w:shd w:val="clear" w:color="auto" w:fill="auto"/>
          </w:tcPr>
          <w:p w:rsidR="002A45E3" w:rsidRPr="001817F5" w:rsidRDefault="002A45E3" w:rsidP="002E6290">
            <w:pPr>
              <w:pStyle w:val="ListParagraph"/>
              <w:numPr>
                <w:ilvl w:val="0"/>
                <w:numId w:val="42"/>
              </w:numPr>
              <w:tabs>
                <w:tab w:val="left" w:pos="318"/>
              </w:tabs>
              <w:ind w:left="176" w:right="-31" w:hanging="176"/>
              <w:jc w:val="both"/>
              <w:rPr>
                <w:rFonts w:ascii="Times New Roman" w:hAnsi="Times New Roman"/>
                <w:sz w:val="26"/>
                <w:szCs w:val="26"/>
                <w:lang w:val="ro-RO"/>
              </w:rPr>
            </w:pPr>
          </w:p>
        </w:tc>
        <w:tc>
          <w:tcPr>
            <w:tcW w:w="6804" w:type="dxa"/>
            <w:shd w:val="clear" w:color="auto" w:fill="auto"/>
          </w:tcPr>
          <w:p w:rsidR="002A45E3" w:rsidRPr="00485537" w:rsidRDefault="00892EC1" w:rsidP="002A45E3">
            <w:pPr>
              <w:jc w:val="both"/>
              <w:rPr>
                <w:rFonts w:ascii="Times New Roman" w:eastAsiaTheme="minorHAnsi" w:hAnsi="Times New Roman"/>
                <w:sz w:val="26"/>
                <w:szCs w:val="26"/>
                <w:lang w:val="ro-MO"/>
              </w:rPr>
            </w:pPr>
            <w:r>
              <w:rPr>
                <w:rFonts w:ascii="Times New Roman" w:eastAsiaTheme="minorHAnsi" w:hAnsi="Times New Roman"/>
                <w:sz w:val="26"/>
                <w:szCs w:val="26"/>
                <w:lang w:val="ro-MO"/>
              </w:rPr>
              <w:t>Impunerea unor obligații pentru S.A. ”</w:t>
            </w:r>
            <w:proofErr w:type="spellStart"/>
            <w:r>
              <w:rPr>
                <w:rFonts w:ascii="Times New Roman" w:eastAsiaTheme="minorHAnsi" w:hAnsi="Times New Roman"/>
                <w:sz w:val="26"/>
                <w:szCs w:val="26"/>
                <w:lang w:val="ro-MO"/>
              </w:rPr>
              <w:t>Moldtelecom</w:t>
            </w:r>
            <w:proofErr w:type="spellEnd"/>
            <w:r>
              <w:rPr>
                <w:rFonts w:ascii="Times New Roman" w:eastAsiaTheme="minorHAnsi" w:hAnsi="Times New Roman"/>
                <w:sz w:val="26"/>
                <w:szCs w:val="26"/>
                <w:lang w:val="ro-MO"/>
              </w:rPr>
              <w:t>” în vederea accesării directe a rețelei S.A. ”</w:t>
            </w:r>
            <w:proofErr w:type="spellStart"/>
            <w:r>
              <w:rPr>
                <w:rFonts w:ascii="Times New Roman" w:eastAsiaTheme="minorHAnsi" w:hAnsi="Times New Roman"/>
                <w:sz w:val="26"/>
                <w:szCs w:val="26"/>
                <w:lang w:val="ro-MO"/>
              </w:rPr>
              <w:t>Moldtelecom</w:t>
            </w:r>
            <w:proofErr w:type="spellEnd"/>
            <w:r>
              <w:rPr>
                <w:rFonts w:ascii="Times New Roman" w:eastAsiaTheme="minorHAnsi" w:hAnsi="Times New Roman"/>
                <w:sz w:val="26"/>
                <w:szCs w:val="26"/>
                <w:lang w:val="ro-MO"/>
              </w:rPr>
              <w:t>” la nivel local/național cu semnarea unor contracte directe dintre operatorii alternativi și S.A. ”</w:t>
            </w:r>
            <w:proofErr w:type="spellStart"/>
            <w:r>
              <w:rPr>
                <w:rFonts w:ascii="Times New Roman" w:eastAsiaTheme="minorHAnsi" w:hAnsi="Times New Roman"/>
                <w:sz w:val="26"/>
                <w:szCs w:val="26"/>
                <w:lang w:val="ro-MO"/>
              </w:rPr>
              <w:t>Moldtelecom</w:t>
            </w:r>
            <w:proofErr w:type="spellEnd"/>
            <w:r>
              <w:rPr>
                <w:rFonts w:ascii="Times New Roman" w:eastAsiaTheme="minorHAnsi" w:hAnsi="Times New Roman"/>
                <w:sz w:val="26"/>
                <w:szCs w:val="26"/>
                <w:lang w:val="ro-MO"/>
              </w:rPr>
              <w:t>”</w:t>
            </w:r>
          </w:p>
        </w:tc>
        <w:tc>
          <w:tcPr>
            <w:tcW w:w="1559" w:type="dxa"/>
            <w:shd w:val="clear" w:color="auto" w:fill="auto"/>
          </w:tcPr>
          <w:p w:rsidR="002A45E3" w:rsidRPr="001817F5" w:rsidRDefault="00F46ADF" w:rsidP="00C92A65">
            <w:pPr>
              <w:ind w:right="-31" w:hanging="18"/>
              <w:jc w:val="center"/>
              <w:rPr>
                <w:rFonts w:ascii="Times New Roman" w:eastAsiaTheme="minorHAnsi" w:hAnsi="Times New Roman"/>
                <w:b/>
                <w:sz w:val="26"/>
                <w:szCs w:val="26"/>
                <w:lang w:val="ro-RO"/>
              </w:rPr>
            </w:pPr>
            <w:r>
              <w:rPr>
                <w:rFonts w:ascii="Times New Roman" w:eastAsiaTheme="minorHAnsi" w:hAnsi="Times New Roman"/>
                <w:b/>
                <w:sz w:val="26"/>
                <w:szCs w:val="26"/>
                <w:lang w:val="ro-RO"/>
              </w:rPr>
              <w:t>Nu se acceptă</w:t>
            </w:r>
          </w:p>
        </w:tc>
        <w:tc>
          <w:tcPr>
            <w:tcW w:w="6254" w:type="dxa"/>
            <w:shd w:val="clear" w:color="auto" w:fill="auto"/>
          </w:tcPr>
          <w:p w:rsidR="002A45E3" w:rsidRPr="001817F5" w:rsidRDefault="00F46ADF" w:rsidP="008D3737">
            <w:pPr>
              <w:ind w:right="175"/>
              <w:jc w:val="both"/>
              <w:rPr>
                <w:rFonts w:ascii="Times New Roman" w:hAnsi="Times New Roman"/>
                <w:sz w:val="26"/>
                <w:szCs w:val="26"/>
                <w:lang w:val="ro-RO"/>
              </w:rPr>
            </w:pPr>
            <w:r>
              <w:rPr>
                <w:rFonts w:ascii="Times New Roman" w:hAnsi="Times New Roman"/>
                <w:sz w:val="26"/>
                <w:szCs w:val="26"/>
                <w:lang w:val="ro-RO"/>
              </w:rPr>
              <w:t xml:space="preserve">ANRCETI, prin </w:t>
            </w:r>
            <w:r w:rsidR="002C75FD" w:rsidRPr="00A66953">
              <w:rPr>
                <w:rFonts w:ascii="Times New Roman" w:hAnsi="Times New Roman"/>
                <w:sz w:val="26"/>
                <w:szCs w:val="26"/>
                <w:lang w:val="ro-RO"/>
              </w:rPr>
              <w:t>H</w:t>
            </w:r>
            <w:r w:rsidR="002C75FD">
              <w:rPr>
                <w:rFonts w:ascii="Times New Roman" w:hAnsi="Times New Roman"/>
                <w:sz w:val="26"/>
                <w:szCs w:val="26"/>
                <w:lang w:val="ro-RO"/>
              </w:rPr>
              <w:t xml:space="preserve">otărârile </w:t>
            </w:r>
            <w:r w:rsidRPr="00A66953">
              <w:rPr>
                <w:rFonts w:ascii="Times New Roman" w:hAnsi="Times New Roman"/>
                <w:sz w:val="26"/>
                <w:szCs w:val="26"/>
                <w:lang w:val="ro-RO"/>
              </w:rPr>
              <w:t>C</w:t>
            </w:r>
            <w:r>
              <w:rPr>
                <w:rFonts w:ascii="Times New Roman" w:hAnsi="Times New Roman"/>
                <w:sz w:val="26"/>
                <w:szCs w:val="26"/>
                <w:lang w:val="ro-RO"/>
              </w:rPr>
              <w:t xml:space="preserve">onsiliului de </w:t>
            </w:r>
            <w:r w:rsidRPr="00A66953">
              <w:rPr>
                <w:rFonts w:ascii="Times New Roman" w:hAnsi="Times New Roman"/>
                <w:sz w:val="26"/>
                <w:szCs w:val="26"/>
                <w:lang w:val="ro-RO"/>
              </w:rPr>
              <w:t>A</w:t>
            </w:r>
            <w:r>
              <w:rPr>
                <w:rFonts w:ascii="Times New Roman" w:hAnsi="Times New Roman"/>
                <w:sz w:val="26"/>
                <w:szCs w:val="26"/>
                <w:lang w:val="ro-RO"/>
              </w:rPr>
              <w:t xml:space="preserve">dministrație </w:t>
            </w:r>
            <w:r w:rsidRPr="00A66953">
              <w:rPr>
                <w:rFonts w:ascii="Times New Roman" w:hAnsi="Times New Roman"/>
                <w:sz w:val="26"/>
                <w:szCs w:val="26"/>
                <w:lang w:val="ro-RO"/>
              </w:rPr>
              <w:t>nr.</w:t>
            </w:r>
            <w:r w:rsidR="008D3737">
              <w:rPr>
                <w:rFonts w:ascii="Times New Roman" w:hAnsi="Times New Roman"/>
                <w:sz w:val="26"/>
                <w:szCs w:val="26"/>
                <w:lang w:val="ro-RO"/>
              </w:rPr>
              <w:t xml:space="preserve"> </w:t>
            </w:r>
            <w:r w:rsidRPr="00A66953">
              <w:rPr>
                <w:rFonts w:ascii="Times New Roman" w:hAnsi="Times New Roman"/>
                <w:sz w:val="26"/>
                <w:szCs w:val="26"/>
                <w:lang w:val="ro-RO"/>
              </w:rPr>
              <w:t>29</w:t>
            </w:r>
            <w:r w:rsidR="008D3737">
              <w:rPr>
                <w:rFonts w:ascii="Times New Roman" w:hAnsi="Times New Roman"/>
                <w:sz w:val="26"/>
                <w:szCs w:val="26"/>
                <w:lang w:val="ro-RO"/>
              </w:rPr>
              <w:t>, 42, 43, 44</w:t>
            </w:r>
            <w:r>
              <w:rPr>
                <w:rFonts w:ascii="Times New Roman" w:hAnsi="Times New Roman"/>
                <w:sz w:val="26"/>
                <w:szCs w:val="26"/>
                <w:lang w:val="ro-RO"/>
              </w:rPr>
              <w:t xml:space="preserve"> din </w:t>
            </w:r>
            <w:r w:rsidRPr="00A66953">
              <w:rPr>
                <w:rFonts w:ascii="Times New Roman" w:hAnsi="Times New Roman"/>
                <w:sz w:val="26"/>
                <w:szCs w:val="26"/>
                <w:lang w:val="ro-RO"/>
              </w:rPr>
              <w:t xml:space="preserve">12.08.2015, </w:t>
            </w:r>
            <w:r>
              <w:rPr>
                <w:rFonts w:ascii="Times New Roman" w:hAnsi="Times New Roman"/>
                <w:sz w:val="26"/>
                <w:szCs w:val="26"/>
                <w:lang w:val="ro-RO"/>
              </w:rPr>
              <w:t xml:space="preserve">a efectuat modificări la obligațiile impuse </w:t>
            </w:r>
            <w:r w:rsidR="008D3737">
              <w:rPr>
                <w:rFonts w:ascii="Times New Roman" w:hAnsi="Times New Roman"/>
                <w:sz w:val="26"/>
                <w:szCs w:val="26"/>
                <w:lang w:val="ro-RO"/>
              </w:rPr>
              <w:t>furnizorilor de telefonie fixă și mobilă,</w:t>
            </w:r>
            <w:r>
              <w:rPr>
                <w:rFonts w:ascii="Times New Roman" w:hAnsi="Times New Roman"/>
                <w:sz w:val="26"/>
                <w:szCs w:val="26"/>
                <w:lang w:val="ro-RO"/>
              </w:rPr>
              <w:t xml:space="preserve">  în legătură cu puterea semnificativă pe </w:t>
            </w:r>
            <w:r w:rsidR="008D3737">
              <w:rPr>
                <w:rFonts w:ascii="Times New Roman" w:hAnsi="Times New Roman"/>
                <w:sz w:val="26"/>
                <w:szCs w:val="26"/>
                <w:lang w:val="ro-RO"/>
              </w:rPr>
              <w:t xml:space="preserve">piețele </w:t>
            </w:r>
            <w:r>
              <w:rPr>
                <w:rFonts w:ascii="Times New Roman" w:hAnsi="Times New Roman"/>
                <w:sz w:val="26"/>
                <w:szCs w:val="26"/>
                <w:lang w:val="ro-RO"/>
              </w:rPr>
              <w:t>terminării în rețeaua individuală de telefonie fixă</w:t>
            </w:r>
            <w:r w:rsidR="008D3737">
              <w:rPr>
                <w:rFonts w:ascii="Times New Roman" w:hAnsi="Times New Roman"/>
                <w:sz w:val="26"/>
                <w:szCs w:val="26"/>
                <w:lang w:val="ro-RO"/>
              </w:rPr>
              <w:t xml:space="preserve"> și mobilă</w:t>
            </w:r>
            <w:r>
              <w:rPr>
                <w:rFonts w:ascii="Times New Roman" w:hAnsi="Times New Roman"/>
                <w:sz w:val="26"/>
                <w:szCs w:val="26"/>
                <w:lang w:val="ro-RO"/>
              </w:rPr>
              <w:t xml:space="preserve">, prin care obligația oferirii accesului la rețea în vederea terminării apelurilor se extinde doar asupra apelurilor naționale. </w:t>
            </w:r>
          </w:p>
        </w:tc>
      </w:tr>
      <w:tr w:rsidR="00892EC1" w:rsidRPr="002A4F69" w:rsidTr="002A4F69">
        <w:trPr>
          <w:trHeight w:val="548"/>
        </w:trPr>
        <w:tc>
          <w:tcPr>
            <w:tcW w:w="692" w:type="dxa"/>
            <w:tcBorders>
              <w:bottom w:val="single" w:sz="4" w:space="0" w:color="auto"/>
            </w:tcBorders>
            <w:shd w:val="clear" w:color="auto" w:fill="auto"/>
          </w:tcPr>
          <w:p w:rsidR="00892EC1" w:rsidRPr="001817F5" w:rsidRDefault="00892EC1" w:rsidP="002E6290">
            <w:pPr>
              <w:pStyle w:val="ListParagraph"/>
              <w:numPr>
                <w:ilvl w:val="0"/>
                <w:numId w:val="42"/>
              </w:numPr>
              <w:tabs>
                <w:tab w:val="left" w:pos="318"/>
              </w:tabs>
              <w:ind w:left="176" w:right="-31" w:hanging="176"/>
              <w:jc w:val="both"/>
              <w:rPr>
                <w:rFonts w:ascii="Times New Roman" w:hAnsi="Times New Roman"/>
                <w:sz w:val="26"/>
                <w:szCs w:val="26"/>
                <w:lang w:val="ro-RO"/>
              </w:rPr>
            </w:pPr>
          </w:p>
        </w:tc>
        <w:tc>
          <w:tcPr>
            <w:tcW w:w="6804" w:type="dxa"/>
            <w:tcBorders>
              <w:bottom w:val="single" w:sz="4" w:space="0" w:color="auto"/>
            </w:tcBorders>
            <w:shd w:val="clear" w:color="auto" w:fill="auto"/>
          </w:tcPr>
          <w:p w:rsidR="00892EC1" w:rsidRDefault="00892EC1" w:rsidP="002A45E3">
            <w:pPr>
              <w:jc w:val="both"/>
              <w:rPr>
                <w:rFonts w:ascii="Times New Roman" w:eastAsiaTheme="minorHAnsi" w:hAnsi="Times New Roman"/>
                <w:sz w:val="26"/>
                <w:szCs w:val="26"/>
                <w:lang w:val="ro-MO"/>
              </w:rPr>
            </w:pPr>
            <w:r>
              <w:rPr>
                <w:rFonts w:ascii="Times New Roman" w:eastAsiaTheme="minorHAnsi" w:hAnsi="Times New Roman"/>
                <w:sz w:val="26"/>
                <w:szCs w:val="26"/>
                <w:lang w:val="ro-MO"/>
              </w:rPr>
              <w:t xml:space="preserve">Identificarea unei piețe noi de acces al utilizatorilor finali, persoane fizice și juridice, la un post mobil din rețeaua publică de telefonie cu amănuntul. Pe piața </w:t>
            </w:r>
            <w:r>
              <w:rPr>
                <w:rFonts w:ascii="Times New Roman" w:hAnsi="Times New Roman"/>
                <w:sz w:val="26"/>
                <w:szCs w:val="26"/>
                <w:lang w:val="ro-MO"/>
              </w:rPr>
              <w:t xml:space="preserve">comunicațiilor electronice pe o perioadă lungă de timp există situația </w:t>
            </w:r>
            <w:r w:rsidR="00FB2876">
              <w:rPr>
                <w:rFonts w:ascii="Times New Roman" w:hAnsi="Times New Roman"/>
                <w:sz w:val="26"/>
                <w:szCs w:val="26"/>
                <w:lang w:val="ro-MO"/>
              </w:rPr>
              <w:t>când</w:t>
            </w:r>
            <w:r>
              <w:rPr>
                <w:rFonts w:ascii="Times New Roman" w:hAnsi="Times New Roman"/>
                <w:sz w:val="26"/>
                <w:szCs w:val="26"/>
                <w:lang w:val="ro-MO"/>
              </w:rPr>
              <w:t xml:space="preserve"> compania </w:t>
            </w:r>
            <w:r w:rsidRPr="00892EC1">
              <w:rPr>
                <w:rFonts w:ascii="Times New Roman" w:hAnsi="Times New Roman"/>
                <w:sz w:val="26"/>
                <w:szCs w:val="26"/>
                <w:lang w:val="ro-RO"/>
              </w:rPr>
              <w:t>”Orange Moldova”</w:t>
            </w:r>
            <w:r w:rsidR="00663F45">
              <w:rPr>
                <w:rFonts w:ascii="Times New Roman" w:hAnsi="Times New Roman"/>
                <w:sz w:val="26"/>
                <w:szCs w:val="26"/>
                <w:lang w:val="ro-RO"/>
              </w:rPr>
              <w:t xml:space="preserve"> de facto deține cota de peste 63 % în piața de telefonie mobilă în funcție de venituri. În conformitate cu</w:t>
            </w:r>
            <w:r w:rsidR="00FB2876">
              <w:rPr>
                <w:rFonts w:ascii="Times New Roman" w:hAnsi="Times New Roman"/>
                <w:sz w:val="26"/>
                <w:szCs w:val="26"/>
                <w:lang w:val="ro-RO"/>
              </w:rPr>
              <w:t xml:space="preserve"> jurisprudența constantă și reg</w:t>
            </w:r>
            <w:r w:rsidR="00663F45">
              <w:rPr>
                <w:rFonts w:ascii="Times New Roman" w:hAnsi="Times New Roman"/>
                <w:sz w:val="26"/>
                <w:szCs w:val="26"/>
                <w:lang w:val="ro-RO"/>
              </w:rPr>
              <w:t xml:space="preserve">lementările UE, o cotă de piață foarte mare deținută de o întreprindere pentru o anumită perioadă – de peste 50%- este în sine, cu excepția unor circumstanțe excepționale, dovada existenței unei poziții dominante. Acest fapt afectează direct activitatea </w:t>
            </w:r>
            <w:r w:rsidR="00663F45" w:rsidRPr="00663F45">
              <w:rPr>
                <w:rFonts w:ascii="Times New Roman" w:eastAsiaTheme="minorHAnsi" w:hAnsi="Times New Roman"/>
                <w:sz w:val="26"/>
                <w:szCs w:val="26"/>
                <w:lang w:val="ro-MO"/>
              </w:rPr>
              <w:t>”Star</w:t>
            </w:r>
            <w:r w:rsidR="006902AC">
              <w:rPr>
                <w:rFonts w:ascii="Times New Roman" w:eastAsiaTheme="minorHAnsi" w:hAnsi="Times New Roman"/>
                <w:sz w:val="26"/>
                <w:szCs w:val="26"/>
                <w:lang w:val="ro-MO"/>
              </w:rPr>
              <w:t xml:space="preserve"> </w:t>
            </w:r>
            <w:r w:rsidR="00663F45" w:rsidRPr="00663F45">
              <w:rPr>
                <w:rFonts w:ascii="Times New Roman" w:eastAsiaTheme="minorHAnsi" w:hAnsi="Times New Roman"/>
                <w:sz w:val="26"/>
                <w:szCs w:val="26"/>
                <w:lang w:val="ro-MO"/>
              </w:rPr>
              <w:t>Net Soluții” S.R.L.,</w:t>
            </w:r>
            <w:r w:rsidR="00663F45">
              <w:rPr>
                <w:rFonts w:ascii="Times New Roman" w:eastAsiaTheme="minorHAnsi" w:hAnsi="Times New Roman"/>
                <w:b/>
                <w:sz w:val="26"/>
                <w:szCs w:val="26"/>
                <w:lang w:val="ro-MO"/>
              </w:rPr>
              <w:t xml:space="preserve"> </w:t>
            </w:r>
            <w:r w:rsidR="00663F45" w:rsidRPr="00663F45">
              <w:rPr>
                <w:rFonts w:ascii="Times New Roman" w:eastAsiaTheme="minorHAnsi" w:hAnsi="Times New Roman"/>
                <w:sz w:val="26"/>
                <w:szCs w:val="26"/>
                <w:lang w:val="ro-MO"/>
              </w:rPr>
              <w:t>clienții căreia sunt</w:t>
            </w:r>
            <w:r w:rsidR="00663F45">
              <w:rPr>
                <w:rFonts w:ascii="Times New Roman" w:eastAsiaTheme="minorHAnsi" w:hAnsi="Times New Roman"/>
                <w:sz w:val="26"/>
                <w:szCs w:val="26"/>
                <w:lang w:val="ro-MO"/>
              </w:rPr>
              <w:t xml:space="preserve"> abordați de către </w:t>
            </w:r>
            <w:r w:rsidR="00663F45" w:rsidRPr="00892EC1">
              <w:rPr>
                <w:rFonts w:ascii="Times New Roman" w:hAnsi="Times New Roman"/>
                <w:sz w:val="26"/>
                <w:szCs w:val="26"/>
                <w:lang w:val="ro-RO"/>
              </w:rPr>
              <w:t>”Orange Moldova”</w:t>
            </w:r>
            <w:r w:rsidR="00663F45">
              <w:rPr>
                <w:rFonts w:ascii="Times New Roman" w:hAnsi="Times New Roman"/>
                <w:sz w:val="26"/>
                <w:szCs w:val="26"/>
                <w:lang w:val="ro-RO"/>
              </w:rPr>
              <w:t xml:space="preserve"> prin oferte, care realizează împachetarea produselor din diferite țări.</w:t>
            </w:r>
          </w:p>
        </w:tc>
        <w:tc>
          <w:tcPr>
            <w:tcW w:w="1559" w:type="dxa"/>
            <w:tcBorders>
              <w:bottom w:val="single" w:sz="4" w:space="0" w:color="auto"/>
            </w:tcBorders>
            <w:shd w:val="clear" w:color="auto" w:fill="auto"/>
          </w:tcPr>
          <w:p w:rsidR="00892EC1" w:rsidRPr="001817F5" w:rsidRDefault="000A1F90" w:rsidP="00C92A65">
            <w:pPr>
              <w:ind w:right="-31" w:hanging="18"/>
              <w:jc w:val="center"/>
              <w:rPr>
                <w:rFonts w:ascii="Times New Roman" w:eastAsiaTheme="minorHAnsi" w:hAnsi="Times New Roman"/>
                <w:b/>
                <w:sz w:val="26"/>
                <w:szCs w:val="26"/>
                <w:lang w:val="ro-RO"/>
              </w:rPr>
            </w:pPr>
            <w:r>
              <w:rPr>
                <w:rFonts w:ascii="Times New Roman" w:eastAsiaTheme="minorHAnsi" w:hAnsi="Times New Roman"/>
                <w:b/>
                <w:sz w:val="26"/>
                <w:szCs w:val="26"/>
                <w:lang w:val="ro-RO"/>
              </w:rPr>
              <w:t>Nu se acceptă</w:t>
            </w:r>
          </w:p>
        </w:tc>
        <w:tc>
          <w:tcPr>
            <w:tcW w:w="6254" w:type="dxa"/>
            <w:tcBorders>
              <w:bottom w:val="single" w:sz="4" w:space="0" w:color="auto"/>
            </w:tcBorders>
            <w:shd w:val="clear" w:color="auto" w:fill="auto"/>
          </w:tcPr>
          <w:p w:rsidR="00E137C5" w:rsidRDefault="00E137C5" w:rsidP="00E137C5">
            <w:pPr>
              <w:ind w:right="175"/>
              <w:jc w:val="both"/>
              <w:rPr>
                <w:rFonts w:ascii="Times New Roman" w:hAnsi="Times New Roman"/>
                <w:sz w:val="26"/>
                <w:szCs w:val="26"/>
                <w:lang w:val="ro-RO"/>
              </w:rPr>
            </w:pPr>
            <w:r>
              <w:rPr>
                <w:rFonts w:ascii="Times New Roman" w:hAnsi="Times New Roman"/>
                <w:sz w:val="26"/>
                <w:szCs w:val="26"/>
                <w:lang w:val="ro-RO"/>
              </w:rPr>
              <w:t xml:space="preserve">Deși pe piața de comunicații mobile a Republicii Moldova există un furnizor cu o cotă de piață constant peste 50%, ANRCETI nu găsește acest motiv suficient în sine pentru examinarea includerii pieței cu amănuntul de telefonie mobilă în lista piețelor relevante în vederea reglementării </w:t>
            </w:r>
            <w:r>
              <w:rPr>
                <w:rFonts w:ascii="Times New Roman" w:hAnsi="Times New Roman"/>
                <w:i/>
                <w:sz w:val="26"/>
                <w:szCs w:val="26"/>
                <w:lang w:val="ro-RO"/>
              </w:rPr>
              <w:t>ex-ante</w:t>
            </w:r>
            <w:r>
              <w:rPr>
                <w:rFonts w:ascii="Times New Roman" w:hAnsi="Times New Roman"/>
                <w:sz w:val="26"/>
                <w:szCs w:val="26"/>
                <w:lang w:val="ro-RO"/>
              </w:rPr>
              <w:t xml:space="preserve">. ANRCETI notează că această piață (fiind integrată pe verticală cu o piață de servicii cu ridicata de telefonie/comunicații mobile) se caracterizează prin prezența a trei furnizori cu acoperire națională, comparabilă ca dimensiuni, un nivel ridicat de costuri fixe (irecuperabile, care permit reducerea tarifelor, temporar sau chiar de durată, sub nivelul costurilor totale medii), lipsa situației de cote de  piață echilibrate (ceea ce ar crea furnizorilor motivație de </w:t>
            </w:r>
            <w:r>
              <w:rPr>
                <w:rFonts w:ascii="Times New Roman" w:hAnsi="Times New Roman"/>
                <w:i/>
                <w:sz w:val="26"/>
                <w:szCs w:val="26"/>
                <w:lang w:val="ro-RO"/>
              </w:rPr>
              <w:t>non-combat</w:t>
            </w:r>
            <w:r>
              <w:rPr>
                <w:rFonts w:ascii="Times New Roman" w:hAnsi="Times New Roman"/>
                <w:sz w:val="26"/>
                <w:szCs w:val="26"/>
                <w:lang w:val="ro-RO"/>
              </w:rPr>
              <w:t xml:space="preserve"> efectiv pe piața cu amănuntul), iar o creștere mică dar permanentă a tarifelor de către un furnizor ipotetic monopolist ar putea fi combătută de utilizatori prin alegerea unor servicii similare. Prin urmare, piața respectivă cu amănuntul, în pofida barierelor înalte de intrare (legate de investiții înalte necesare în resurse de spectru și în infrastructura de rețea), are caracteristici care permit concluzia </w:t>
            </w:r>
            <w:r w:rsidR="003B7875">
              <w:rPr>
                <w:rFonts w:ascii="Times New Roman" w:hAnsi="Times New Roman"/>
                <w:sz w:val="26"/>
                <w:szCs w:val="26"/>
                <w:lang w:val="ro-RO"/>
              </w:rPr>
              <w:t xml:space="preserve">privind existența </w:t>
            </w:r>
            <w:r>
              <w:rPr>
                <w:rFonts w:ascii="Times New Roman" w:hAnsi="Times New Roman"/>
                <w:sz w:val="26"/>
                <w:szCs w:val="26"/>
                <w:lang w:val="ro-RO"/>
              </w:rPr>
              <w:t xml:space="preserve">unei concurențe eficiente și </w:t>
            </w:r>
            <w:r w:rsidR="003B7875">
              <w:rPr>
                <w:rFonts w:ascii="Times New Roman" w:hAnsi="Times New Roman"/>
                <w:sz w:val="26"/>
                <w:szCs w:val="26"/>
                <w:lang w:val="ro-RO"/>
              </w:rPr>
              <w:t xml:space="preserve">lipsa </w:t>
            </w:r>
            <w:r>
              <w:rPr>
                <w:rFonts w:ascii="Times New Roman" w:hAnsi="Times New Roman"/>
                <w:sz w:val="26"/>
                <w:szCs w:val="26"/>
                <w:lang w:val="ro-RO"/>
              </w:rPr>
              <w:t xml:space="preserve">necesității unei intervenții de reglementare </w:t>
            </w:r>
            <w:r>
              <w:rPr>
                <w:rFonts w:ascii="Times New Roman" w:hAnsi="Times New Roman"/>
                <w:i/>
                <w:sz w:val="26"/>
                <w:szCs w:val="26"/>
                <w:lang w:val="ro-RO"/>
              </w:rPr>
              <w:t>ex-ante</w:t>
            </w:r>
            <w:r>
              <w:rPr>
                <w:rFonts w:ascii="Times New Roman" w:hAnsi="Times New Roman"/>
                <w:sz w:val="26"/>
                <w:szCs w:val="26"/>
                <w:lang w:val="ro-RO"/>
              </w:rPr>
              <w:t xml:space="preserve"> fie direct pe </w:t>
            </w:r>
            <w:r>
              <w:rPr>
                <w:rFonts w:ascii="Times New Roman" w:hAnsi="Times New Roman"/>
                <w:sz w:val="26"/>
                <w:szCs w:val="26"/>
                <w:lang w:val="ro-RO"/>
              </w:rPr>
              <w:lastRenderedPageBreak/>
              <w:t>piața cu amănuntul în cauză, fie pe o piață din amonte</w:t>
            </w:r>
            <w:r w:rsidR="003B7875">
              <w:rPr>
                <w:rFonts w:ascii="Times New Roman" w:hAnsi="Times New Roman"/>
                <w:sz w:val="26"/>
                <w:szCs w:val="26"/>
                <w:lang w:val="ro-RO"/>
              </w:rPr>
              <w:t xml:space="preserve"> (cu excepția reglementării în legătură cu puterea semnificativă pe piața 7)</w:t>
            </w:r>
            <w:r>
              <w:rPr>
                <w:rFonts w:ascii="Times New Roman" w:hAnsi="Times New Roman"/>
                <w:sz w:val="26"/>
                <w:szCs w:val="26"/>
                <w:lang w:val="ro-RO"/>
              </w:rPr>
              <w:t>.</w:t>
            </w:r>
          </w:p>
          <w:p w:rsidR="00892EC1" w:rsidRPr="000A1F90" w:rsidRDefault="00E137C5" w:rsidP="00E137C5">
            <w:pPr>
              <w:pStyle w:val="tt"/>
              <w:jc w:val="both"/>
              <w:rPr>
                <w:b w:val="0"/>
                <w:sz w:val="26"/>
                <w:szCs w:val="26"/>
              </w:rPr>
            </w:pPr>
            <w:r w:rsidRPr="00E137C5">
              <w:rPr>
                <w:b w:val="0"/>
                <w:sz w:val="26"/>
                <w:szCs w:val="26"/>
              </w:rPr>
              <w:t xml:space="preserve">ANRCETI de asemenea notează că reglementarea </w:t>
            </w:r>
            <w:r w:rsidRPr="00E137C5">
              <w:rPr>
                <w:b w:val="0"/>
                <w:i/>
                <w:sz w:val="26"/>
                <w:szCs w:val="26"/>
              </w:rPr>
              <w:t>ex-ante</w:t>
            </w:r>
            <w:r w:rsidRPr="00E137C5">
              <w:rPr>
                <w:b w:val="0"/>
                <w:sz w:val="26"/>
                <w:szCs w:val="26"/>
              </w:rPr>
              <w:t xml:space="preserve"> nu reprezintă nici un mecanism de reducere forțată a cotelor substanțiale de piață, nici un mecanism de asigurare a accesului pe piață într-un mod necondiționat. Aceste măsuri au menirea asigurării faptului că puterea semnificativă nu poate fi utilizată în detrimentul concurenței, iar măsurile de asigurare a accesului nu trebuie să depășească această condiție.</w:t>
            </w:r>
          </w:p>
        </w:tc>
      </w:tr>
    </w:tbl>
    <w:p w:rsidR="001E1FE8" w:rsidRPr="001817F5" w:rsidRDefault="001E1FE8" w:rsidP="002E6290">
      <w:pPr>
        <w:tabs>
          <w:tab w:val="left" w:pos="5445"/>
        </w:tabs>
        <w:spacing w:after="0" w:line="240" w:lineRule="auto"/>
        <w:ind w:right="-31"/>
        <w:jc w:val="both"/>
        <w:rPr>
          <w:rFonts w:ascii="Times New Roman" w:hAnsi="Times New Roman"/>
          <w:sz w:val="26"/>
          <w:szCs w:val="26"/>
          <w:lang w:val="ro-RO"/>
        </w:rPr>
      </w:pPr>
    </w:p>
    <w:p w:rsidR="0012704E" w:rsidRPr="0012704E" w:rsidRDefault="00DB5006" w:rsidP="0012704E">
      <w:pPr>
        <w:autoSpaceDE w:val="0"/>
        <w:autoSpaceDN w:val="0"/>
        <w:adjustRightInd w:val="0"/>
        <w:jc w:val="both"/>
        <w:rPr>
          <w:rFonts w:ascii="Times New Roman" w:eastAsiaTheme="minorHAnsi" w:hAnsi="Times New Roman"/>
          <w:b/>
          <w:color w:val="000000"/>
          <w:sz w:val="26"/>
          <w:szCs w:val="26"/>
          <w:lang w:val="ro-MO"/>
        </w:rPr>
      </w:pPr>
      <w:r w:rsidRPr="0012704E">
        <w:rPr>
          <w:rFonts w:ascii="Times New Roman" w:hAnsi="Times New Roman"/>
          <w:b/>
          <w:sz w:val="26"/>
          <w:szCs w:val="26"/>
          <w:lang w:val="ro-RO"/>
        </w:rPr>
        <w:t xml:space="preserve">                      </w:t>
      </w:r>
      <w:r w:rsidR="0012704E" w:rsidRPr="0012704E">
        <w:rPr>
          <w:rFonts w:ascii="Times New Roman" w:eastAsiaTheme="minorHAnsi" w:hAnsi="Times New Roman"/>
          <w:b/>
          <w:color w:val="000000"/>
          <w:sz w:val="26"/>
          <w:szCs w:val="26"/>
          <w:lang w:val="ro-MO"/>
        </w:rPr>
        <w:t>Șef DRAS                                                                                                         Dumitru GRICIUC</w:t>
      </w:r>
    </w:p>
    <w:sectPr w:rsidR="0012704E" w:rsidRPr="0012704E" w:rsidSect="00877526">
      <w:headerReference w:type="default" r:id="rId9"/>
      <w:footerReference w:type="default" r:id="rId10"/>
      <w:pgSz w:w="16838" w:h="11906" w:orient="landscape" w:code="9"/>
      <w:pgMar w:top="567" w:right="851" w:bottom="567"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1F9" w:rsidRDefault="00ED41F9">
      <w:pPr>
        <w:spacing w:after="0" w:line="240" w:lineRule="auto"/>
      </w:pPr>
      <w:r>
        <w:separator/>
      </w:r>
    </w:p>
  </w:endnote>
  <w:endnote w:type="continuationSeparator" w:id="0">
    <w:p w:rsidR="00ED41F9" w:rsidRDefault="00ED4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2E" w:rsidRPr="00F33155" w:rsidRDefault="00DE09C7">
    <w:pPr>
      <w:pStyle w:val="Footer"/>
      <w:pBdr>
        <w:top w:val="thinThickSmallGap" w:sz="24" w:space="1" w:color="622423" w:themeColor="accent2" w:themeShade="7F"/>
      </w:pBdr>
      <w:rPr>
        <w:rStyle w:val="SubtleEmphasis"/>
        <w:rFonts w:eastAsiaTheme="majorEastAsia"/>
        <w:i w:val="0"/>
        <w:lang w:val="en-US"/>
      </w:rPr>
    </w:pPr>
    <w:r>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Pr="00F33155">
      <w:rPr>
        <w:rStyle w:val="SubtleEmphasis"/>
        <w:rFonts w:eastAsiaTheme="majorEastAsia"/>
        <w:i w:val="0"/>
        <w:lang w:val="en-US"/>
      </w:rPr>
      <w:t xml:space="preserve">Page </w:t>
    </w:r>
    <w:r w:rsidR="00866D5E" w:rsidRPr="00F33155">
      <w:rPr>
        <w:rStyle w:val="SubtleEmphasis"/>
        <w:rFonts w:eastAsiaTheme="majorEastAsia"/>
        <w:i w:val="0"/>
      </w:rPr>
      <w:fldChar w:fldCharType="begin"/>
    </w:r>
    <w:r w:rsidRPr="00F33155">
      <w:rPr>
        <w:rStyle w:val="SubtleEmphasis"/>
        <w:i w:val="0"/>
        <w:lang w:val="en-US"/>
      </w:rPr>
      <w:instrText xml:space="preserve"> PAGE   \* MERGEFORMAT </w:instrText>
    </w:r>
    <w:r w:rsidR="00866D5E" w:rsidRPr="00F33155">
      <w:rPr>
        <w:rStyle w:val="SubtleEmphasis"/>
        <w:rFonts w:eastAsiaTheme="majorEastAsia"/>
        <w:i w:val="0"/>
      </w:rPr>
      <w:fldChar w:fldCharType="separate"/>
    </w:r>
    <w:r w:rsidR="00061554">
      <w:rPr>
        <w:rStyle w:val="SubtleEmphasis"/>
        <w:i w:val="0"/>
        <w:noProof/>
        <w:lang w:val="en-US"/>
      </w:rPr>
      <w:t>4</w:t>
    </w:r>
    <w:r w:rsidR="00866D5E" w:rsidRPr="00F33155">
      <w:rPr>
        <w:rStyle w:val="SubtleEmphasis"/>
        <w:rFonts w:eastAsiaTheme="majorEastAsia"/>
        <w:i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1F9" w:rsidRDefault="00ED41F9">
      <w:pPr>
        <w:spacing w:after="0" w:line="240" w:lineRule="auto"/>
      </w:pPr>
      <w:r>
        <w:separator/>
      </w:r>
    </w:p>
  </w:footnote>
  <w:footnote w:type="continuationSeparator" w:id="0">
    <w:p w:rsidR="00ED41F9" w:rsidRDefault="00ED4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FD7" w:rsidRPr="00D22FD7" w:rsidRDefault="00ED41F9" w:rsidP="00905AFA">
    <w:pPr>
      <w:pStyle w:val="Header"/>
      <w:pBdr>
        <w:bottom w:val="thickThinSmallGap" w:sz="24" w:space="1" w:color="622423" w:themeColor="accent2" w:themeShade="7F"/>
      </w:pBdr>
      <w:rPr>
        <w:rFonts w:eastAsia="Calibri" w:cs="Calibri"/>
        <w:i/>
        <w:iCs/>
        <w:color w:val="1F497D"/>
        <w:sz w:val="19"/>
        <w:szCs w:val="19"/>
        <w:lang w:val="en-US"/>
      </w:rPr>
    </w:pPr>
    <w:sdt>
      <w:sdtPr>
        <w:rPr>
          <w:rFonts w:eastAsia="Calibri" w:cs="Calibri"/>
          <w:i/>
          <w:iCs/>
          <w:color w:val="1F497D"/>
          <w:sz w:val="19"/>
          <w:szCs w:val="19"/>
          <w:lang w:val="en-US"/>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r w:rsidR="008D7862">
          <w:rPr>
            <w:rFonts w:eastAsia="Calibri" w:cs="Calibri"/>
            <w:i/>
            <w:iCs/>
            <w:color w:val="1F497D"/>
            <w:sz w:val="19"/>
            <w:szCs w:val="19"/>
            <w:lang w:val="en-US"/>
          </w:rPr>
          <w:t xml:space="preserve">     </w:t>
        </w:r>
      </w:sdtContent>
    </w:sdt>
    <w:r w:rsidR="00DE09C7">
      <w:rPr>
        <w:rFonts w:cs="Calibri"/>
        <w:b/>
        <w:i/>
        <w:noProof/>
        <w:color w:val="0070C0"/>
        <w:lang w:eastAsia="ru-RU"/>
      </w:rPr>
      <w:drawing>
        <wp:inline distT="0" distB="0" distL="0" distR="0" wp14:anchorId="10F4C80D" wp14:editId="19AB4283">
          <wp:extent cx="963620" cy="690113"/>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239" cy="7077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567"/>
      </w:pPr>
      <w:rPr>
        <w:rFonts w:ascii="Times New Roman" w:hAnsi="Times New Roman" w:cs="Times New Roman"/>
        <w:b/>
        <w:bCs/>
        <w:w w:val="99"/>
        <w:sz w:val="26"/>
        <w:szCs w:val="26"/>
      </w:rPr>
    </w:lvl>
    <w:lvl w:ilvl="1">
      <w:start w:val="1"/>
      <w:numFmt w:val="decimal"/>
      <w:lvlText w:val="%1.%2"/>
      <w:lvlJc w:val="left"/>
      <w:pPr>
        <w:ind w:hanging="874"/>
      </w:pPr>
      <w:rPr>
        <w:rFonts w:ascii="Times New Roman" w:hAnsi="Times New Roman" w:cs="Times New Roman"/>
        <w:b/>
        <w:bCs/>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4"/>
    <w:multiLevelType w:val="multilevel"/>
    <w:tmpl w:val="00000887"/>
    <w:lvl w:ilvl="0">
      <w:start w:val="1"/>
      <w:numFmt w:val="decimal"/>
      <w:lvlText w:val="%1)"/>
      <w:lvlJc w:val="left"/>
      <w:pPr>
        <w:ind w:hanging="874"/>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6"/>
    <w:multiLevelType w:val="multilevel"/>
    <w:tmpl w:val="00000889"/>
    <w:lvl w:ilvl="0">
      <w:start w:val="6"/>
      <w:numFmt w:val="lowerLetter"/>
      <w:lvlText w:val="%1)"/>
      <w:lvlJc w:val="left"/>
      <w:pPr>
        <w:ind w:hanging="874"/>
      </w:pPr>
      <w:rPr>
        <w:rFonts w:ascii="Times New Roman" w:hAnsi="Times New Roman" w:cs="Times New Roman"/>
        <w:b w:val="0"/>
        <w:bCs w:val="0"/>
        <w:spacing w:val="2"/>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9"/>
    <w:multiLevelType w:val="multilevel"/>
    <w:tmpl w:val="0000088C"/>
    <w:lvl w:ilvl="0">
      <w:start w:val="1"/>
      <w:numFmt w:val="decimal"/>
      <w:lvlText w:val="%1)"/>
      <w:lvlJc w:val="left"/>
      <w:pPr>
        <w:ind w:hanging="567"/>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12"/>
    <w:multiLevelType w:val="multilevel"/>
    <w:tmpl w:val="00000895"/>
    <w:lvl w:ilvl="0">
      <w:start w:val="1"/>
      <w:numFmt w:val="decimal"/>
      <w:lvlText w:val="%1)"/>
      <w:lvlJc w:val="left"/>
      <w:pPr>
        <w:ind w:hanging="567"/>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670FE3"/>
    <w:multiLevelType w:val="hybridMultilevel"/>
    <w:tmpl w:val="2702DA34"/>
    <w:lvl w:ilvl="0" w:tplc="CC5698C4">
      <w:start w:val="1"/>
      <w:numFmt w:val="decimal"/>
      <w:lvlText w:val="(%1)"/>
      <w:lvlJc w:val="left"/>
      <w:pPr>
        <w:ind w:left="1977" w:hanging="141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133284C"/>
    <w:multiLevelType w:val="hybridMultilevel"/>
    <w:tmpl w:val="356A9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917571C"/>
    <w:multiLevelType w:val="hybridMultilevel"/>
    <w:tmpl w:val="21C04A34"/>
    <w:lvl w:ilvl="0" w:tplc="04090011">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B4222C3"/>
    <w:multiLevelType w:val="hybridMultilevel"/>
    <w:tmpl w:val="870687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0B835A46"/>
    <w:multiLevelType w:val="hybridMultilevel"/>
    <w:tmpl w:val="05A4BD06"/>
    <w:lvl w:ilvl="0" w:tplc="04090017">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0">
    <w:nsid w:val="0BB43353"/>
    <w:multiLevelType w:val="hybridMultilevel"/>
    <w:tmpl w:val="7BD652B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
    <w:nsid w:val="0FF963E7"/>
    <w:multiLevelType w:val="hybridMultilevel"/>
    <w:tmpl w:val="2EB88E94"/>
    <w:lvl w:ilvl="0" w:tplc="47D05726">
      <w:start w:val="1"/>
      <w:numFmt w:val="decimal"/>
      <w:lvlText w:val="%1)"/>
      <w:lvlJc w:val="left"/>
      <w:pPr>
        <w:ind w:left="1070" w:hanging="360"/>
      </w:pPr>
      <w:rPr>
        <w:rFonts w:hint="default"/>
      </w:rPr>
    </w:lvl>
    <w:lvl w:ilvl="1" w:tplc="04090011">
      <w:start w:val="1"/>
      <w:numFmt w:val="decimal"/>
      <w:lvlText w:val="%2)"/>
      <w:lvlJc w:val="left"/>
      <w:pPr>
        <w:ind w:left="2280" w:hanging="855"/>
      </w:pPr>
      <w:rPr>
        <w:rFonts w:hint="default"/>
      </w:r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nsid w:val="10F116D5"/>
    <w:multiLevelType w:val="hybridMultilevel"/>
    <w:tmpl w:val="58F2C9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086841"/>
    <w:multiLevelType w:val="hybridMultilevel"/>
    <w:tmpl w:val="A386BC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69F7B97"/>
    <w:multiLevelType w:val="hybridMultilevel"/>
    <w:tmpl w:val="EA2E7786"/>
    <w:lvl w:ilvl="0" w:tplc="BBE4CBC4">
      <w:start w:val="1"/>
      <w:numFmt w:val="decimal"/>
      <w:lvlText w:val="%1)"/>
      <w:lvlJc w:val="left"/>
      <w:pPr>
        <w:ind w:hanging="708"/>
      </w:pPr>
      <w:rPr>
        <w:rFonts w:ascii="Times New Roman" w:eastAsia="Times New Roman" w:hAnsi="Times New Roman" w:hint="default"/>
        <w:b w:val="0"/>
        <w:bCs/>
        <w:w w:val="99"/>
        <w:sz w:val="26"/>
        <w:szCs w:val="26"/>
      </w:rPr>
    </w:lvl>
    <w:lvl w:ilvl="1" w:tplc="515CA33C">
      <w:start w:val="1"/>
      <w:numFmt w:val="bullet"/>
      <w:lvlText w:val="•"/>
      <w:lvlJc w:val="left"/>
      <w:rPr>
        <w:rFonts w:hint="default"/>
      </w:rPr>
    </w:lvl>
    <w:lvl w:ilvl="2" w:tplc="C208437A">
      <w:start w:val="1"/>
      <w:numFmt w:val="bullet"/>
      <w:lvlText w:val="•"/>
      <w:lvlJc w:val="left"/>
      <w:rPr>
        <w:rFonts w:hint="default"/>
      </w:rPr>
    </w:lvl>
    <w:lvl w:ilvl="3" w:tplc="122EB0C4">
      <w:start w:val="1"/>
      <w:numFmt w:val="bullet"/>
      <w:lvlText w:val="•"/>
      <w:lvlJc w:val="left"/>
      <w:rPr>
        <w:rFonts w:hint="default"/>
      </w:rPr>
    </w:lvl>
    <w:lvl w:ilvl="4" w:tplc="F0F476BA">
      <w:start w:val="1"/>
      <w:numFmt w:val="bullet"/>
      <w:lvlText w:val="•"/>
      <w:lvlJc w:val="left"/>
      <w:rPr>
        <w:rFonts w:hint="default"/>
      </w:rPr>
    </w:lvl>
    <w:lvl w:ilvl="5" w:tplc="498A89EE">
      <w:start w:val="1"/>
      <w:numFmt w:val="bullet"/>
      <w:lvlText w:val="•"/>
      <w:lvlJc w:val="left"/>
      <w:rPr>
        <w:rFonts w:hint="default"/>
      </w:rPr>
    </w:lvl>
    <w:lvl w:ilvl="6" w:tplc="EF6A74A0">
      <w:start w:val="1"/>
      <w:numFmt w:val="bullet"/>
      <w:lvlText w:val="•"/>
      <w:lvlJc w:val="left"/>
      <w:rPr>
        <w:rFonts w:hint="default"/>
      </w:rPr>
    </w:lvl>
    <w:lvl w:ilvl="7" w:tplc="9CDC4170">
      <w:start w:val="1"/>
      <w:numFmt w:val="bullet"/>
      <w:lvlText w:val="•"/>
      <w:lvlJc w:val="left"/>
      <w:rPr>
        <w:rFonts w:hint="default"/>
      </w:rPr>
    </w:lvl>
    <w:lvl w:ilvl="8" w:tplc="D21AB37C">
      <w:start w:val="1"/>
      <w:numFmt w:val="bullet"/>
      <w:lvlText w:val="•"/>
      <w:lvlJc w:val="left"/>
      <w:rPr>
        <w:rFonts w:hint="default"/>
      </w:rPr>
    </w:lvl>
  </w:abstractNum>
  <w:abstractNum w:abstractNumId="15">
    <w:nsid w:val="1C5F0F8D"/>
    <w:multiLevelType w:val="hybridMultilevel"/>
    <w:tmpl w:val="8542C4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F70C94"/>
    <w:multiLevelType w:val="hybridMultilevel"/>
    <w:tmpl w:val="B26ED6C2"/>
    <w:lvl w:ilvl="0" w:tplc="59765F34">
      <w:start w:val="1"/>
      <w:numFmt w:val="lowerLetter"/>
      <w:lvlText w:val="%1."/>
      <w:lvlJc w:val="left"/>
      <w:pPr>
        <w:ind w:left="720" w:hanging="360"/>
      </w:pPr>
      <w:rPr>
        <w:rFonts w:eastAsia="Times New Roman"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BE77E9"/>
    <w:multiLevelType w:val="hybridMultilevel"/>
    <w:tmpl w:val="466AA22C"/>
    <w:lvl w:ilvl="0" w:tplc="DC0EA53A">
      <w:start w:val="6"/>
      <w:numFmt w:val="lowerLetter"/>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262763A8"/>
    <w:multiLevelType w:val="hybridMultilevel"/>
    <w:tmpl w:val="DC32E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3F04EC"/>
    <w:multiLevelType w:val="hybridMultilevel"/>
    <w:tmpl w:val="E5BE3EFC"/>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nsid w:val="276C10B5"/>
    <w:multiLevelType w:val="hybridMultilevel"/>
    <w:tmpl w:val="4202A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D734024"/>
    <w:multiLevelType w:val="hybridMultilevel"/>
    <w:tmpl w:val="A8E87198"/>
    <w:lvl w:ilvl="0" w:tplc="238C09CE">
      <w:start w:val="1"/>
      <w:numFmt w:val="lowerLetter"/>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22">
    <w:nsid w:val="304A424F"/>
    <w:multiLevelType w:val="hybridMultilevel"/>
    <w:tmpl w:val="48AE8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10570A"/>
    <w:multiLevelType w:val="hybridMultilevel"/>
    <w:tmpl w:val="FBA48300"/>
    <w:lvl w:ilvl="0" w:tplc="47D05726">
      <w:start w:val="1"/>
      <w:numFmt w:val="decimal"/>
      <w:lvlText w:val="%1)"/>
      <w:lvlJc w:val="left"/>
      <w:pPr>
        <w:ind w:left="644" w:hanging="360"/>
      </w:pPr>
      <w:rPr>
        <w:rFonts w:hint="default"/>
      </w:rPr>
    </w:lvl>
    <w:lvl w:ilvl="1" w:tplc="04090011">
      <w:start w:val="1"/>
      <w:numFmt w:val="decimal"/>
      <w:lvlText w:val="%2)"/>
      <w:lvlJc w:val="left"/>
      <w:pPr>
        <w:ind w:left="2280" w:hanging="855"/>
      </w:pPr>
      <w:rPr>
        <w:rFonts w:hint="default"/>
      </w:r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nsid w:val="385B3F0A"/>
    <w:multiLevelType w:val="hybridMultilevel"/>
    <w:tmpl w:val="C3DC692C"/>
    <w:lvl w:ilvl="0" w:tplc="C1BA91E4">
      <w:start w:val="1"/>
      <w:numFmt w:val="decimal"/>
      <w:lvlText w:val="%1."/>
      <w:lvlJc w:val="left"/>
      <w:pPr>
        <w:tabs>
          <w:tab w:val="num" w:pos="737"/>
        </w:tabs>
        <w:ind w:left="0" w:firstLine="567"/>
      </w:pPr>
      <w:rPr>
        <w:rFonts w:hint="default"/>
        <w:sz w:val="28"/>
        <w:szCs w:val="28"/>
      </w:rPr>
    </w:lvl>
    <w:lvl w:ilvl="1" w:tplc="00DAEF5C">
      <w:start w:val="1"/>
      <w:numFmt w:val="lowerLetter"/>
      <w:lvlText w:val="%2)"/>
      <w:lvlJc w:val="left"/>
      <w:pPr>
        <w:tabs>
          <w:tab w:val="num" w:pos="1788"/>
        </w:tabs>
        <w:ind w:left="1788" w:hanging="360"/>
      </w:pPr>
      <w:rPr>
        <w:rFonts w:hint="default"/>
      </w:rPr>
    </w:lvl>
    <w:lvl w:ilvl="2" w:tplc="1DAA4CB6">
      <w:start w:val="2"/>
      <w:numFmt w:val="decimal"/>
      <w:lvlText w:val="%3)"/>
      <w:lvlJc w:val="left"/>
      <w:pPr>
        <w:ind w:left="2688" w:hanging="360"/>
      </w:pPr>
      <w:rPr>
        <w:rFonts w:hint="default"/>
      </w:rPr>
    </w:lvl>
    <w:lvl w:ilvl="3" w:tplc="8918CEE4">
      <w:start w:val="2"/>
      <w:numFmt w:val="upperLetter"/>
      <w:lvlText w:val="%4)"/>
      <w:lvlJc w:val="left"/>
      <w:pPr>
        <w:ind w:left="3338" w:hanging="360"/>
      </w:pPr>
      <w:rPr>
        <w:rFonts w:hint="default"/>
      </w:rPr>
    </w:lvl>
    <w:lvl w:ilvl="4" w:tplc="5AF607FE">
      <w:start w:val="19"/>
      <w:numFmt w:val="decimal"/>
      <w:lvlText w:val="%5"/>
      <w:lvlJc w:val="left"/>
      <w:pPr>
        <w:ind w:left="3948" w:hanging="360"/>
      </w:pPr>
      <w:rPr>
        <w:rFonts w:hint="default"/>
      </w:r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38D04100"/>
    <w:multiLevelType w:val="multilevel"/>
    <w:tmpl w:val="04190023"/>
    <w:styleLink w:val="ArticleSection"/>
    <w:lvl w:ilvl="0">
      <w:start w:val="1"/>
      <w:numFmt w:val="upperRoman"/>
      <w:pStyle w:val="Heading1"/>
      <w:lvlText w:val="Статья %1."/>
      <w:lvlJc w:val="left"/>
      <w:pPr>
        <w:tabs>
          <w:tab w:val="num" w:pos="1800"/>
        </w:tabs>
      </w:pPr>
      <w:rPr>
        <w:rFonts w:cs="Times New Roman"/>
      </w:rPr>
    </w:lvl>
    <w:lvl w:ilvl="1">
      <w:start w:val="1"/>
      <w:numFmt w:val="decimalZero"/>
      <w:pStyle w:val="Heading2"/>
      <w:isLgl/>
      <w:lvlText w:val="Раздел %1.%2"/>
      <w:lvlJc w:val="left"/>
      <w:pPr>
        <w:tabs>
          <w:tab w:val="num" w:pos="180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6">
    <w:nsid w:val="44AF24D2"/>
    <w:multiLevelType w:val="hybridMultilevel"/>
    <w:tmpl w:val="A854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297B22"/>
    <w:multiLevelType w:val="hybridMultilevel"/>
    <w:tmpl w:val="197626C6"/>
    <w:lvl w:ilvl="0" w:tplc="D414AA0A">
      <w:start w:val="5"/>
      <w:numFmt w:val="decimal"/>
      <w:lvlText w:val="%1."/>
      <w:lvlJc w:val="left"/>
      <w:pPr>
        <w:ind w:hanging="850"/>
      </w:pPr>
      <w:rPr>
        <w:rFonts w:ascii="Times New Roman" w:eastAsia="Times New Roman" w:hAnsi="Times New Roman" w:hint="default"/>
        <w:w w:val="99"/>
        <w:sz w:val="26"/>
        <w:szCs w:val="26"/>
      </w:rPr>
    </w:lvl>
    <w:lvl w:ilvl="1" w:tplc="D49E4502">
      <w:start w:val="1"/>
      <w:numFmt w:val="decimal"/>
      <w:lvlText w:val="%2)"/>
      <w:lvlJc w:val="left"/>
      <w:pPr>
        <w:ind w:hanging="564"/>
      </w:pPr>
      <w:rPr>
        <w:rFonts w:ascii="Times New Roman" w:eastAsia="Times New Roman" w:hAnsi="Times New Roman" w:hint="default"/>
        <w:w w:val="99"/>
        <w:sz w:val="26"/>
        <w:szCs w:val="26"/>
      </w:rPr>
    </w:lvl>
    <w:lvl w:ilvl="2" w:tplc="CF5A5F74">
      <w:start w:val="1"/>
      <w:numFmt w:val="lowerLetter"/>
      <w:lvlText w:val="%3)"/>
      <w:lvlJc w:val="left"/>
      <w:pPr>
        <w:ind w:hanging="423"/>
      </w:pPr>
      <w:rPr>
        <w:rFonts w:ascii="Times New Roman" w:eastAsia="Times New Roman" w:hAnsi="Times New Roman" w:hint="default"/>
        <w:w w:val="99"/>
        <w:sz w:val="26"/>
        <w:szCs w:val="26"/>
      </w:rPr>
    </w:lvl>
    <w:lvl w:ilvl="3" w:tplc="5FBA0204">
      <w:start w:val="1"/>
      <w:numFmt w:val="bullet"/>
      <w:lvlText w:val="•"/>
      <w:lvlJc w:val="left"/>
      <w:rPr>
        <w:rFonts w:hint="default"/>
      </w:rPr>
    </w:lvl>
    <w:lvl w:ilvl="4" w:tplc="A00A253A">
      <w:start w:val="1"/>
      <w:numFmt w:val="bullet"/>
      <w:lvlText w:val="•"/>
      <w:lvlJc w:val="left"/>
      <w:rPr>
        <w:rFonts w:hint="default"/>
      </w:rPr>
    </w:lvl>
    <w:lvl w:ilvl="5" w:tplc="6E0A04FC">
      <w:start w:val="1"/>
      <w:numFmt w:val="bullet"/>
      <w:lvlText w:val="•"/>
      <w:lvlJc w:val="left"/>
      <w:rPr>
        <w:rFonts w:hint="default"/>
      </w:rPr>
    </w:lvl>
    <w:lvl w:ilvl="6" w:tplc="710A0718">
      <w:start w:val="1"/>
      <w:numFmt w:val="bullet"/>
      <w:lvlText w:val="•"/>
      <w:lvlJc w:val="left"/>
      <w:rPr>
        <w:rFonts w:hint="default"/>
      </w:rPr>
    </w:lvl>
    <w:lvl w:ilvl="7" w:tplc="6C78A354">
      <w:start w:val="1"/>
      <w:numFmt w:val="bullet"/>
      <w:lvlText w:val="•"/>
      <w:lvlJc w:val="left"/>
      <w:rPr>
        <w:rFonts w:hint="default"/>
      </w:rPr>
    </w:lvl>
    <w:lvl w:ilvl="8" w:tplc="568218C8">
      <w:start w:val="1"/>
      <w:numFmt w:val="bullet"/>
      <w:lvlText w:val="•"/>
      <w:lvlJc w:val="left"/>
      <w:rPr>
        <w:rFonts w:hint="default"/>
      </w:rPr>
    </w:lvl>
  </w:abstractNum>
  <w:abstractNum w:abstractNumId="28">
    <w:nsid w:val="476250D1"/>
    <w:multiLevelType w:val="hybridMultilevel"/>
    <w:tmpl w:val="B05062D0"/>
    <w:lvl w:ilvl="0" w:tplc="25069D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30360A"/>
    <w:multiLevelType w:val="hybridMultilevel"/>
    <w:tmpl w:val="C33671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5378BD"/>
    <w:multiLevelType w:val="hybridMultilevel"/>
    <w:tmpl w:val="54B8A9BC"/>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31">
    <w:nsid w:val="55E865EA"/>
    <w:multiLevelType w:val="multilevel"/>
    <w:tmpl w:val="D7E046A0"/>
    <w:lvl w:ilvl="0">
      <w:start w:val="1"/>
      <w:numFmt w:val="decimal"/>
      <w:lvlText w:val="%1."/>
      <w:lvlJc w:val="left"/>
      <w:pPr>
        <w:ind w:left="1707" w:hanging="114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2">
    <w:nsid w:val="59D92F2A"/>
    <w:multiLevelType w:val="hybridMultilevel"/>
    <w:tmpl w:val="95DA31E6"/>
    <w:lvl w:ilvl="0" w:tplc="FC2CEF86">
      <w:start w:val="1"/>
      <w:numFmt w:val="upperRoman"/>
      <w:lvlText w:val="%1."/>
      <w:lvlJc w:val="left"/>
      <w:pPr>
        <w:ind w:left="2989" w:hanging="720"/>
      </w:pPr>
      <w:rPr>
        <w:rFonts w:eastAsia="Calibri" w:hint="default"/>
        <w:b/>
      </w:rPr>
    </w:lvl>
    <w:lvl w:ilvl="1" w:tplc="CF36FB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D708E5"/>
    <w:multiLevelType w:val="hybridMultilevel"/>
    <w:tmpl w:val="1C46F3B4"/>
    <w:lvl w:ilvl="0" w:tplc="0418000F">
      <w:start w:val="1"/>
      <w:numFmt w:val="decimal"/>
      <w:lvlText w:val="%1."/>
      <w:lvlJc w:val="left"/>
      <w:pPr>
        <w:ind w:left="610" w:hanging="360"/>
      </w:pPr>
    </w:lvl>
    <w:lvl w:ilvl="1" w:tplc="04180019" w:tentative="1">
      <w:start w:val="1"/>
      <w:numFmt w:val="lowerLetter"/>
      <w:lvlText w:val="%2."/>
      <w:lvlJc w:val="left"/>
      <w:pPr>
        <w:ind w:left="1330" w:hanging="360"/>
      </w:pPr>
    </w:lvl>
    <w:lvl w:ilvl="2" w:tplc="0418001B" w:tentative="1">
      <w:start w:val="1"/>
      <w:numFmt w:val="lowerRoman"/>
      <w:lvlText w:val="%3."/>
      <w:lvlJc w:val="right"/>
      <w:pPr>
        <w:ind w:left="2050" w:hanging="180"/>
      </w:pPr>
    </w:lvl>
    <w:lvl w:ilvl="3" w:tplc="0418000F" w:tentative="1">
      <w:start w:val="1"/>
      <w:numFmt w:val="decimal"/>
      <w:lvlText w:val="%4."/>
      <w:lvlJc w:val="left"/>
      <w:pPr>
        <w:ind w:left="2770" w:hanging="360"/>
      </w:pPr>
    </w:lvl>
    <w:lvl w:ilvl="4" w:tplc="04180019" w:tentative="1">
      <w:start w:val="1"/>
      <w:numFmt w:val="lowerLetter"/>
      <w:lvlText w:val="%5."/>
      <w:lvlJc w:val="left"/>
      <w:pPr>
        <w:ind w:left="3490" w:hanging="360"/>
      </w:pPr>
    </w:lvl>
    <w:lvl w:ilvl="5" w:tplc="0418001B" w:tentative="1">
      <w:start w:val="1"/>
      <w:numFmt w:val="lowerRoman"/>
      <w:lvlText w:val="%6."/>
      <w:lvlJc w:val="right"/>
      <w:pPr>
        <w:ind w:left="4210" w:hanging="180"/>
      </w:pPr>
    </w:lvl>
    <w:lvl w:ilvl="6" w:tplc="0418000F" w:tentative="1">
      <w:start w:val="1"/>
      <w:numFmt w:val="decimal"/>
      <w:lvlText w:val="%7."/>
      <w:lvlJc w:val="left"/>
      <w:pPr>
        <w:ind w:left="4930" w:hanging="360"/>
      </w:pPr>
    </w:lvl>
    <w:lvl w:ilvl="7" w:tplc="04180019" w:tentative="1">
      <w:start w:val="1"/>
      <w:numFmt w:val="lowerLetter"/>
      <w:lvlText w:val="%8."/>
      <w:lvlJc w:val="left"/>
      <w:pPr>
        <w:ind w:left="5650" w:hanging="360"/>
      </w:pPr>
    </w:lvl>
    <w:lvl w:ilvl="8" w:tplc="0418001B" w:tentative="1">
      <w:start w:val="1"/>
      <w:numFmt w:val="lowerRoman"/>
      <w:lvlText w:val="%9."/>
      <w:lvlJc w:val="right"/>
      <w:pPr>
        <w:ind w:left="6370" w:hanging="180"/>
      </w:pPr>
    </w:lvl>
  </w:abstractNum>
  <w:abstractNum w:abstractNumId="34">
    <w:nsid w:val="5C852148"/>
    <w:multiLevelType w:val="hybridMultilevel"/>
    <w:tmpl w:val="0336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8002E5"/>
    <w:multiLevelType w:val="hybridMultilevel"/>
    <w:tmpl w:val="49F4859E"/>
    <w:lvl w:ilvl="0" w:tplc="0409000F">
      <w:start w:val="1"/>
      <w:numFmt w:val="decimal"/>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36">
    <w:nsid w:val="700A0395"/>
    <w:multiLevelType w:val="hybridMultilevel"/>
    <w:tmpl w:val="7D1C12C2"/>
    <w:lvl w:ilvl="0" w:tplc="F02ECB94">
      <w:start w:val="1"/>
      <w:numFmt w:val="decimal"/>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37">
    <w:nsid w:val="77AC4847"/>
    <w:multiLevelType w:val="hybridMultilevel"/>
    <w:tmpl w:val="1C46F3B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78407DE4"/>
    <w:multiLevelType w:val="hybridMultilevel"/>
    <w:tmpl w:val="F4FE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8714E3"/>
    <w:multiLevelType w:val="hybridMultilevel"/>
    <w:tmpl w:val="2424FA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7CC60EC7"/>
    <w:multiLevelType w:val="hybridMultilevel"/>
    <w:tmpl w:val="559CA212"/>
    <w:lvl w:ilvl="0" w:tplc="2E8C3558">
      <w:start w:val="1"/>
      <w:numFmt w:val="upperRoman"/>
      <w:lvlText w:val="%1."/>
      <w:lvlJc w:val="left"/>
      <w:pPr>
        <w:ind w:hanging="850"/>
        <w:jc w:val="right"/>
      </w:pPr>
      <w:rPr>
        <w:rFonts w:ascii="Times New Roman" w:eastAsia="Times New Roman" w:hAnsi="Times New Roman" w:hint="default"/>
        <w:b/>
        <w:bCs/>
        <w:spacing w:val="-1"/>
        <w:w w:val="99"/>
        <w:sz w:val="26"/>
        <w:szCs w:val="26"/>
      </w:rPr>
    </w:lvl>
    <w:lvl w:ilvl="1" w:tplc="EC481DAC">
      <w:start w:val="1"/>
      <w:numFmt w:val="decimal"/>
      <w:lvlText w:val="%2."/>
      <w:lvlJc w:val="left"/>
      <w:pPr>
        <w:ind w:hanging="850"/>
      </w:pPr>
      <w:rPr>
        <w:rFonts w:ascii="Times New Roman" w:eastAsia="Times New Roman" w:hAnsi="Times New Roman" w:hint="default"/>
        <w:w w:val="99"/>
        <w:sz w:val="26"/>
        <w:szCs w:val="26"/>
      </w:rPr>
    </w:lvl>
    <w:lvl w:ilvl="2" w:tplc="D85A861C">
      <w:start w:val="1"/>
      <w:numFmt w:val="bullet"/>
      <w:lvlText w:val="•"/>
      <w:lvlJc w:val="left"/>
      <w:rPr>
        <w:rFonts w:hint="default"/>
      </w:rPr>
    </w:lvl>
    <w:lvl w:ilvl="3" w:tplc="7EEE15D2">
      <w:start w:val="1"/>
      <w:numFmt w:val="bullet"/>
      <w:lvlText w:val="•"/>
      <w:lvlJc w:val="left"/>
      <w:rPr>
        <w:rFonts w:hint="default"/>
      </w:rPr>
    </w:lvl>
    <w:lvl w:ilvl="4" w:tplc="70201974">
      <w:start w:val="1"/>
      <w:numFmt w:val="bullet"/>
      <w:lvlText w:val="•"/>
      <w:lvlJc w:val="left"/>
      <w:rPr>
        <w:rFonts w:hint="default"/>
      </w:rPr>
    </w:lvl>
    <w:lvl w:ilvl="5" w:tplc="EF24CB6E">
      <w:start w:val="1"/>
      <w:numFmt w:val="bullet"/>
      <w:lvlText w:val="•"/>
      <w:lvlJc w:val="left"/>
      <w:rPr>
        <w:rFonts w:hint="default"/>
      </w:rPr>
    </w:lvl>
    <w:lvl w:ilvl="6" w:tplc="BD5C0B98">
      <w:start w:val="1"/>
      <w:numFmt w:val="bullet"/>
      <w:lvlText w:val="•"/>
      <w:lvlJc w:val="left"/>
      <w:rPr>
        <w:rFonts w:hint="default"/>
      </w:rPr>
    </w:lvl>
    <w:lvl w:ilvl="7" w:tplc="14682AB0">
      <w:start w:val="1"/>
      <w:numFmt w:val="bullet"/>
      <w:lvlText w:val="•"/>
      <w:lvlJc w:val="left"/>
      <w:rPr>
        <w:rFonts w:hint="default"/>
      </w:rPr>
    </w:lvl>
    <w:lvl w:ilvl="8" w:tplc="FFA4C946">
      <w:start w:val="1"/>
      <w:numFmt w:val="bullet"/>
      <w:lvlText w:val="•"/>
      <w:lvlJc w:val="left"/>
      <w:rPr>
        <w:rFonts w:hint="default"/>
      </w:rPr>
    </w:lvl>
  </w:abstractNum>
  <w:abstractNum w:abstractNumId="41">
    <w:nsid w:val="7D201B1B"/>
    <w:multiLevelType w:val="hybridMultilevel"/>
    <w:tmpl w:val="1E669558"/>
    <w:lvl w:ilvl="0" w:tplc="E6BEA842">
      <w:start w:val="23"/>
      <w:numFmt w:val="decimal"/>
      <w:lvlText w:val="%1."/>
      <w:lvlJc w:val="left"/>
      <w:pPr>
        <w:ind w:hanging="375"/>
      </w:pPr>
      <w:rPr>
        <w:rFonts w:ascii="Arial" w:eastAsia="Arial" w:hAnsi="Arial" w:hint="default"/>
        <w:color w:val="4B4B4B"/>
        <w:w w:val="71"/>
        <w:sz w:val="29"/>
        <w:szCs w:val="29"/>
      </w:rPr>
    </w:lvl>
    <w:lvl w:ilvl="1" w:tplc="550871BC">
      <w:start w:val="1"/>
      <w:numFmt w:val="decimal"/>
      <w:lvlText w:val="%2."/>
      <w:lvlJc w:val="left"/>
      <w:pPr>
        <w:ind w:hanging="332"/>
      </w:pPr>
      <w:rPr>
        <w:rFonts w:ascii="Times New Roman" w:eastAsia="Times New Roman" w:hAnsi="Times New Roman" w:hint="default"/>
        <w:color w:val="2A312A"/>
        <w:w w:val="114"/>
        <w:sz w:val="22"/>
        <w:szCs w:val="22"/>
      </w:rPr>
    </w:lvl>
    <w:lvl w:ilvl="2" w:tplc="97E00D32">
      <w:start w:val="6"/>
      <w:numFmt w:val="lowerLetter"/>
      <w:lvlText w:val="%3)"/>
      <w:lvlJc w:val="left"/>
      <w:pPr>
        <w:ind w:hanging="173"/>
      </w:pPr>
      <w:rPr>
        <w:rFonts w:ascii="Arial" w:eastAsia="Arial" w:hAnsi="Arial" w:hint="default"/>
        <w:color w:val="2A312A"/>
        <w:w w:val="88"/>
        <w:sz w:val="21"/>
        <w:szCs w:val="21"/>
      </w:rPr>
    </w:lvl>
    <w:lvl w:ilvl="3" w:tplc="869C96FC">
      <w:start w:val="1"/>
      <w:numFmt w:val="lowerLetter"/>
      <w:lvlText w:val="%4."/>
      <w:lvlJc w:val="left"/>
      <w:pPr>
        <w:ind w:hanging="346"/>
      </w:pPr>
      <w:rPr>
        <w:rFonts w:ascii="Arial" w:eastAsia="Arial" w:hAnsi="Arial" w:hint="default"/>
        <w:color w:val="2A312A"/>
        <w:w w:val="89"/>
        <w:sz w:val="22"/>
        <w:szCs w:val="22"/>
      </w:rPr>
    </w:lvl>
    <w:lvl w:ilvl="4" w:tplc="BB820506">
      <w:start w:val="1"/>
      <w:numFmt w:val="bullet"/>
      <w:lvlText w:val="•"/>
      <w:lvlJc w:val="left"/>
      <w:rPr>
        <w:rFonts w:hint="default"/>
      </w:rPr>
    </w:lvl>
    <w:lvl w:ilvl="5" w:tplc="08503058">
      <w:start w:val="1"/>
      <w:numFmt w:val="bullet"/>
      <w:lvlText w:val="•"/>
      <w:lvlJc w:val="left"/>
      <w:rPr>
        <w:rFonts w:hint="default"/>
      </w:rPr>
    </w:lvl>
    <w:lvl w:ilvl="6" w:tplc="1E62E100">
      <w:start w:val="1"/>
      <w:numFmt w:val="bullet"/>
      <w:lvlText w:val="•"/>
      <w:lvlJc w:val="left"/>
      <w:rPr>
        <w:rFonts w:hint="default"/>
      </w:rPr>
    </w:lvl>
    <w:lvl w:ilvl="7" w:tplc="5440A46C">
      <w:start w:val="1"/>
      <w:numFmt w:val="bullet"/>
      <w:lvlText w:val="•"/>
      <w:lvlJc w:val="left"/>
      <w:rPr>
        <w:rFonts w:hint="default"/>
      </w:rPr>
    </w:lvl>
    <w:lvl w:ilvl="8" w:tplc="696A90B8">
      <w:start w:val="1"/>
      <w:numFmt w:val="bullet"/>
      <w:lvlText w:val="•"/>
      <w:lvlJc w:val="left"/>
      <w:rPr>
        <w:rFonts w:hint="default"/>
      </w:rPr>
    </w:lvl>
  </w:abstractNum>
  <w:abstractNum w:abstractNumId="42">
    <w:nsid w:val="7F71662D"/>
    <w:multiLevelType w:val="hybridMultilevel"/>
    <w:tmpl w:val="1550EACA"/>
    <w:lvl w:ilvl="0" w:tplc="9EE89A6E">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abstractNumId w:val="25"/>
  </w:num>
  <w:num w:numId="2">
    <w:abstractNumId w:val="29"/>
  </w:num>
  <w:num w:numId="3">
    <w:abstractNumId w:val="28"/>
  </w:num>
  <w:num w:numId="4">
    <w:abstractNumId w:val="32"/>
  </w:num>
  <w:num w:numId="5">
    <w:abstractNumId w:val="30"/>
  </w:num>
  <w:num w:numId="6">
    <w:abstractNumId w:val="34"/>
  </w:num>
  <w:num w:numId="7">
    <w:abstractNumId w:val="7"/>
  </w:num>
  <w:num w:numId="8">
    <w:abstractNumId w:val="11"/>
  </w:num>
  <w:num w:numId="9">
    <w:abstractNumId w:val="19"/>
  </w:num>
  <w:num w:numId="10">
    <w:abstractNumId w:val="10"/>
  </w:num>
  <w:num w:numId="11">
    <w:abstractNumId w:val="8"/>
  </w:num>
  <w:num w:numId="12">
    <w:abstractNumId w:val="5"/>
  </w:num>
  <w:num w:numId="13">
    <w:abstractNumId w:val="27"/>
  </w:num>
  <w:num w:numId="14">
    <w:abstractNumId w:val="4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8"/>
  </w:num>
  <w:num w:numId="18">
    <w:abstractNumId w:val="41"/>
  </w:num>
  <w:num w:numId="19">
    <w:abstractNumId w:val="15"/>
  </w:num>
  <w:num w:numId="20">
    <w:abstractNumId w:val="16"/>
  </w:num>
  <w:num w:numId="21">
    <w:abstractNumId w:val="9"/>
  </w:num>
  <w:num w:numId="22">
    <w:abstractNumId w:val="25"/>
  </w:num>
  <w:num w:numId="23">
    <w:abstractNumId w:val="14"/>
  </w:num>
  <w:num w:numId="24">
    <w:abstractNumId w:val="24"/>
  </w:num>
  <w:num w:numId="25">
    <w:abstractNumId w:val="31"/>
  </w:num>
  <w:num w:numId="26">
    <w:abstractNumId w:val="12"/>
  </w:num>
  <w:num w:numId="27">
    <w:abstractNumId w:val="17"/>
  </w:num>
  <w:num w:numId="28">
    <w:abstractNumId w:val="39"/>
  </w:num>
  <w:num w:numId="29">
    <w:abstractNumId w:val="4"/>
  </w:num>
  <w:num w:numId="30">
    <w:abstractNumId w:val="20"/>
  </w:num>
  <w:num w:numId="31">
    <w:abstractNumId w:val="36"/>
  </w:num>
  <w:num w:numId="32">
    <w:abstractNumId w:val="6"/>
  </w:num>
  <w:num w:numId="33">
    <w:abstractNumId w:val="1"/>
  </w:num>
  <w:num w:numId="34">
    <w:abstractNumId w:val="0"/>
  </w:num>
  <w:num w:numId="35">
    <w:abstractNumId w:val="2"/>
  </w:num>
  <w:num w:numId="36">
    <w:abstractNumId w:val="3"/>
  </w:num>
  <w:num w:numId="37">
    <w:abstractNumId w:val="21"/>
  </w:num>
  <w:num w:numId="38">
    <w:abstractNumId w:val="26"/>
  </w:num>
  <w:num w:numId="39">
    <w:abstractNumId w:val="35"/>
  </w:num>
  <w:num w:numId="40">
    <w:abstractNumId w:val="42"/>
  </w:num>
  <w:num w:numId="41">
    <w:abstractNumId w:val="22"/>
  </w:num>
  <w:num w:numId="42">
    <w:abstractNumId w:val="18"/>
  </w:num>
  <w:num w:numId="43">
    <w:abstractNumId w:val="13"/>
  </w:num>
  <w:num w:numId="44">
    <w:abstractNumId w:val="37"/>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587"/>
    <w:rsid w:val="00000A61"/>
    <w:rsid w:val="00003B7C"/>
    <w:rsid w:val="000061FC"/>
    <w:rsid w:val="00010AC9"/>
    <w:rsid w:val="00011A16"/>
    <w:rsid w:val="000176FA"/>
    <w:rsid w:val="00020BBD"/>
    <w:rsid w:val="0002250B"/>
    <w:rsid w:val="000238FC"/>
    <w:rsid w:val="00031644"/>
    <w:rsid w:val="00032933"/>
    <w:rsid w:val="00032A67"/>
    <w:rsid w:val="00041E26"/>
    <w:rsid w:val="00042558"/>
    <w:rsid w:val="00044116"/>
    <w:rsid w:val="0004662B"/>
    <w:rsid w:val="000471F9"/>
    <w:rsid w:val="00047582"/>
    <w:rsid w:val="000555D8"/>
    <w:rsid w:val="0006143F"/>
    <w:rsid w:val="00061554"/>
    <w:rsid w:val="0006258B"/>
    <w:rsid w:val="00063A98"/>
    <w:rsid w:val="00065712"/>
    <w:rsid w:val="000719B5"/>
    <w:rsid w:val="0007335F"/>
    <w:rsid w:val="00073D96"/>
    <w:rsid w:val="000862E1"/>
    <w:rsid w:val="00087B08"/>
    <w:rsid w:val="000905C9"/>
    <w:rsid w:val="000A1F90"/>
    <w:rsid w:val="000A2B44"/>
    <w:rsid w:val="000B01F4"/>
    <w:rsid w:val="000B6DFD"/>
    <w:rsid w:val="000B714D"/>
    <w:rsid w:val="000C04D8"/>
    <w:rsid w:val="000C1B68"/>
    <w:rsid w:val="000C5D1E"/>
    <w:rsid w:val="000D27F7"/>
    <w:rsid w:val="000D32E4"/>
    <w:rsid w:val="000D766A"/>
    <w:rsid w:val="000E2890"/>
    <w:rsid w:val="000E38C5"/>
    <w:rsid w:val="000E4C03"/>
    <w:rsid w:val="000E732A"/>
    <w:rsid w:val="000E77A0"/>
    <w:rsid w:val="000F1A11"/>
    <w:rsid w:val="000F31E4"/>
    <w:rsid w:val="000F4256"/>
    <w:rsid w:val="000F481B"/>
    <w:rsid w:val="00102148"/>
    <w:rsid w:val="001046C3"/>
    <w:rsid w:val="00107B21"/>
    <w:rsid w:val="001102D9"/>
    <w:rsid w:val="00114AD8"/>
    <w:rsid w:val="00115F04"/>
    <w:rsid w:val="00116E74"/>
    <w:rsid w:val="001229DC"/>
    <w:rsid w:val="00123921"/>
    <w:rsid w:val="00125BDA"/>
    <w:rsid w:val="0012704E"/>
    <w:rsid w:val="00133390"/>
    <w:rsid w:val="00134418"/>
    <w:rsid w:val="00135336"/>
    <w:rsid w:val="00136F69"/>
    <w:rsid w:val="00137C2C"/>
    <w:rsid w:val="00141F1F"/>
    <w:rsid w:val="001472BE"/>
    <w:rsid w:val="00151BC3"/>
    <w:rsid w:val="00152D8C"/>
    <w:rsid w:val="00154BA9"/>
    <w:rsid w:val="00160EE0"/>
    <w:rsid w:val="00161E47"/>
    <w:rsid w:val="00163BC8"/>
    <w:rsid w:val="001678FC"/>
    <w:rsid w:val="001741AD"/>
    <w:rsid w:val="0017779B"/>
    <w:rsid w:val="001817F5"/>
    <w:rsid w:val="00183739"/>
    <w:rsid w:val="00183B41"/>
    <w:rsid w:val="00184280"/>
    <w:rsid w:val="00191F8B"/>
    <w:rsid w:val="00195BC9"/>
    <w:rsid w:val="001A2770"/>
    <w:rsid w:val="001A3E9E"/>
    <w:rsid w:val="001A5DD6"/>
    <w:rsid w:val="001A6F73"/>
    <w:rsid w:val="001B088F"/>
    <w:rsid w:val="001B11D2"/>
    <w:rsid w:val="001B22D0"/>
    <w:rsid w:val="001B38CE"/>
    <w:rsid w:val="001C38ED"/>
    <w:rsid w:val="001C3C1F"/>
    <w:rsid w:val="001C5E05"/>
    <w:rsid w:val="001D79B5"/>
    <w:rsid w:val="001E0CFA"/>
    <w:rsid w:val="001E1FE8"/>
    <w:rsid w:val="001E52D1"/>
    <w:rsid w:val="001E5631"/>
    <w:rsid w:val="001E7A9B"/>
    <w:rsid w:val="001F1006"/>
    <w:rsid w:val="001F466D"/>
    <w:rsid w:val="001F75EE"/>
    <w:rsid w:val="002079A1"/>
    <w:rsid w:val="002115BB"/>
    <w:rsid w:val="00214043"/>
    <w:rsid w:val="00217DA0"/>
    <w:rsid w:val="002230CB"/>
    <w:rsid w:val="0023056E"/>
    <w:rsid w:val="00232DA9"/>
    <w:rsid w:val="00233086"/>
    <w:rsid w:val="002349B5"/>
    <w:rsid w:val="002354AB"/>
    <w:rsid w:val="00235656"/>
    <w:rsid w:val="002472E3"/>
    <w:rsid w:val="00251672"/>
    <w:rsid w:val="00252084"/>
    <w:rsid w:val="00252C11"/>
    <w:rsid w:val="002604BC"/>
    <w:rsid w:val="00260E33"/>
    <w:rsid w:val="002610D6"/>
    <w:rsid w:val="00261736"/>
    <w:rsid w:val="00261B80"/>
    <w:rsid w:val="00265D9C"/>
    <w:rsid w:val="00266C8D"/>
    <w:rsid w:val="00267DE2"/>
    <w:rsid w:val="00273DE8"/>
    <w:rsid w:val="00275C13"/>
    <w:rsid w:val="002773FE"/>
    <w:rsid w:val="00277A1F"/>
    <w:rsid w:val="00280075"/>
    <w:rsid w:val="00281BA0"/>
    <w:rsid w:val="00282D41"/>
    <w:rsid w:val="0028320A"/>
    <w:rsid w:val="002939F7"/>
    <w:rsid w:val="00296A79"/>
    <w:rsid w:val="002A08B1"/>
    <w:rsid w:val="002A0A41"/>
    <w:rsid w:val="002A11F6"/>
    <w:rsid w:val="002A45E3"/>
    <w:rsid w:val="002A4F69"/>
    <w:rsid w:val="002A608C"/>
    <w:rsid w:val="002A779E"/>
    <w:rsid w:val="002B00F8"/>
    <w:rsid w:val="002B0EB8"/>
    <w:rsid w:val="002B7A27"/>
    <w:rsid w:val="002C372A"/>
    <w:rsid w:val="002C6F3D"/>
    <w:rsid w:val="002C75FD"/>
    <w:rsid w:val="002D09B9"/>
    <w:rsid w:val="002D0DD8"/>
    <w:rsid w:val="002D1317"/>
    <w:rsid w:val="002D52E1"/>
    <w:rsid w:val="002D7148"/>
    <w:rsid w:val="002E28E8"/>
    <w:rsid w:val="002E48CE"/>
    <w:rsid w:val="002E4CE6"/>
    <w:rsid w:val="002E580F"/>
    <w:rsid w:val="002E6290"/>
    <w:rsid w:val="00310625"/>
    <w:rsid w:val="00315FDF"/>
    <w:rsid w:val="00320F62"/>
    <w:rsid w:val="00324EEB"/>
    <w:rsid w:val="003254D9"/>
    <w:rsid w:val="00325DAA"/>
    <w:rsid w:val="00327F11"/>
    <w:rsid w:val="00330A24"/>
    <w:rsid w:val="003315ED"/>
    <w:rsid w:val="003323A0"/>
    <w:rsid w:val="0033374D"/>
    <w:rsid w:val="00334990"/>
    <w:rsid w:val="00341E8A"/>
    <w:rsid w:val="0034330B"/>
    <w:rsid w:val="0034366F"/>
    <w:rsid w:val="003438C2"/>
    <w:rsid w:val="003449E9"/>
    <w:rsid w:val="0034528A"/>
    <w:rsid w:val="00346622"/>
    <w:rsid w:val="003471FB"/>
    <w:rsid w:val="00351576"/>
    <w:rsid w:val="003518F7"/>
    <w:rsid w:val="00356905"/>
    <w:rsid w:val="003605C1"/>
    <w:rsid w:val="0036407A"/>
    <w:rsid w:val="00365212"/>
    <w:rsid w:val="00366FA7"/>
    <w:rsid w:val="003702D8"/>
    <w:rsid w:val="00370797"/>
    <w:rsid w:val="003725DB"/>
    <w:rsid w:val="00380563"/>
    <w:rsid w:val="003814F7"/>
    <w:rsid w:val="00382CE4"/>
    <w:rsid w:val="00382D5E"/>
    <w:rsid w:val="0038416B"/>
    <w:rsid w:val="003844DE"/>
    <w:rsid w:val="003845CD"/>
    <w:rsid w:val="00386990"/>
    <w:rsid w:val="003872FE"/>
    <w:rsid w:val="003900C3"/>
    <w:rsid w:val="00396554"/>
    <w:rsid w:val="003A34D6"/>
    <w:rsid w:val="003A7BBF"/>
    <w:rsid w:val="003B605B"/>
    <w:rsid w:val="003B7875"/>
    <w:rsid w:val="003C44FE"/>
    <w:rsid w:val="003C4AD4"/>
    <w:rsid w:val="003D0683"/>
    <w:rsid w:val="003D0E3A"/>
    <w:rsid w:val="003D2307"/>
    <w:rsid w:val="003D23A0"/>
    <w:rsid w:val="003D3294"/>
    <w:rsid w:val="003D74BE"/>
    <w:rsid w:val="003D7F51"/>
    <w:rsid w:val="003E13B4"/>
    <w:rsid w:val="003E32CE"/>
    <w:rsid w:val="003E34BC"/>
    <w:rsid w:val="003F0DFE"/>
    <w:rsid w:val="003F166D"/>
    <w:rsid w:val="003F1886"/>
    <w:rsid w:val="003F2965"/>
    <w:rsid w:val="003F64C9"/>
    <w:rsid w:val="00400833"/>
    <w:rsid w:val="004046DC"/>
    <w:rsid w:val="00410E2E"/>
    <w:rsid w:val="00411589"/>
    <w:rsid w:val="00411F04"/>
    <w:rsid w:val="00412B3F"/>
    <w:rsid w:val="004172E6"/>
    <w:rsid w:val="00420091"/>
    <w:rsid w:val="0042091A"/>
    <w:rsid w:val="00421239"/>
    <w:rsid w:val="00421C36"/>
    <w:rsid w:val="004261EB"/>
    <w:rsid w:val="00426D11"/>
    <w:rsid w:val="004278D8"/>
    <w:rsid w:val="004313A1"/>
    <w:rsid w:val="00432F65"/>
    <w:rsid w:val="004339EE"/>
    <w:rsid w:val="00443ED6"/>
    <w:rsid w:val="004447E1"/>
    <w:rsid w:val="00446B4B"/>
    <w:rsid w:val="00450D1E"/>
    <w:rsid w:val="0045702E"/>
    <w:rsid w:val="00460D9F"/>
    <w:rsid w:val="00463F11"/>
    <w:rsid w:val="00465736"/>
    <w:rsid w:val="0046700C"/>
    <w:rsid w:val="00470A37"/>
    <w:rsid w:val="00472166"/>
    <w:rsid w:val="00472322"/>
    <w:rsid w:val="004756B2"/>
    <w:rsid w:val="004765B6"/>
    <w:rsid w:val="00480B8A"/>
    <w:rsid w:val="00482EC0"/>
    <w:rsid w:val="00485537"/>
    <w:rsid w:val="00485BB2"/>
    <w:rsid w:val="00485C1C"/>
    <w:rsid w:val="00490557"/>
    <w:rsid w:val="00491002"/>
    <w:rsid w:val="004918D9"/>
    <w:rsid w:val="00491AB8"/>
    <w:rsid w:val="00492F8D"/>
    <w:rsid w:val="00493D5D"/>
    <w:rsid w:val="0049461E"/>
    <w:rsid w:val="00497CD1"/>
    <w:rsid w:val="004A21B1"/>
    <w:rsid w:val="004A222B"/>
    <w:rsid w:val="004A2C2D"/>
    <w:rsid w:val="004A31D7"/>
    <w:rsid w:val="004A39E3"/>
    <w:rsid w:val="004A6364"/>
    <w:rsid w:val="004B142E"/>
    <w:rsid w:val="004B29CB"/>
    <w:rsid w:val="004B474A"/>
    <w:rsid w:val="004B74AF"/>
    <w:rsid w:val="004B768C"/>
    <w:rsid w:val="004C4E23"/>
    <w:rsid w:val="004C4EA6"/>
    <w:rsid w:val="004C6458"/>
    <w:rsid w:val="004D0F70"/>
    <w:rsid w:val="004D12DD"/>
    <w:rsid w:val="004D3256"/>
    <w:rsid w:val="004E195B"/>
    <w:rsid w:val="004E230C"/>
    <w:rsid w:val="004E3AB6"/>
    <w:rsid w:val="004E419E"/>
    <w:rsid w:val="004F22A7"/>
    <w:rsid w:val="004F7517"/>
    <w:rsid w:val="00501410"/>
    <w:rsid w:val="005030DC"/>
    <w:rsid w:val="00511B7A"/>
    <w:rsid w:val="00512DDF"/>
    <w:rsid w:val="0051425E"/>
    <w:rsid w:val="00515590"/>
    <w:rsid w:val="005162FF"/>
    <w:rsid w:val="005212DD"/>
    <w:rsid w:val="005219AB"/>
    <w:rsid w:val="00526EC2"/>
    <w:rsid w:val="005273BC"/>
    <w:rsid w:val="00533D84"/>
    <w:rsid w:val="00536B6E"/>
    <w:rsid w:val="0054119A"/>
    <w:rsid w:val="00546C43"/>
    <w:rsid w:val="005475B2"/>
    <w:rsid w:val="00551925"/>
    <w:rsid w:val="0055492C"/>
    <w:rsid w:val="005712D7"/>
    <w:rsid w:val="00571385"/>
    <w:rsid w:val="00574013"/>
    <w:rsid w:val="00580B17"/>
    <w:rsid w:val="00580BB1"/>
    <w:rsid w:val="00592043"/>
    <w:rsid w:val="00593650"/>
    <w:rsid w:val="005A1142"/>
    <w:rsid w:val="005A1394"/>
    <w:rsid w:val="005A26D7"/>
    <w:rsid w:val="005A3970"/>
    <w:rsid w:val="005A6BFA"/>
    <w:rsid w:val="005C04E7"/>
    <w:rsid w:val="005C08CF"/>
    <w:rsid w:val="005C149D"/>
    <w:rsid w:val="005C5626"/>
    <w:rsid w:val="005C6E31"/>
    <w:rsid w:val="005C7F0F"/>
    <w:rsid w:val="005D1DA1"/>
    <w:rsid w:val="005D3AE4"/>
    <w:rsid w:val="005D4B53"/>
    <w:rsid w:val="005D56A8"/>
    <w:rsid w:val="005D62FD"/>
    <w:rsid w:val="005D7326"/>
    <w:rsid w:val="005D7F6C"/>
    <w:rsid w:val="005E5B72"/>
    <w:rsid w:val="005E721F"/>
    <w:rsid w:val="00601CEE"/>
    <w:rsid w:val="00602787"/>
    <w:rsid w:val="0060472A"/>
    <w:rsid w:val="00604C9D"/>
    <w:rsid w:val="00606C2F"/>
    <w:rsid w:val="0061521A"/>
    <w:rsid w:val="0062545F"/>
    <w:rsid w:val="00625671"/>
    <w:rsid w:val="00630070"/>
    <w:rsid w:val="00631562"/>
    <w:rsid w:val="00642578"/>
    <w:rsid w:val="00650010"/>
    <w:rsid w:val="00650636"/>
    <w:rsid w:val="00653D3C"/>
    <w:rsid w:val="006546D1"/>
    <w:rsid w:val="006553E1"/>
    <w:rsid w:val="00656739"/>
    <w:rsid w:val="00663F45"/>
    <w:rsid w:val="006653E3"/>
    <w:rsid w:val="00672D93"/>
    <w:rsid w:val="006751F3"/>
    <w:rsid w:val="006762BF"/>
    <w:rsid w:val="0068473D"/>
    <w:rsid w:val="006902AC"/>
    <w:rsid w:val="00690658"/>
    <w:rsid w:val="006956C8"/>
    <w:rsid w:val="006A0DEE"/>
    <w:rsid w:val="006A3D1C"/>
    <w:rsid w:val="006A625D"/>
    <w:rsid w:val="006A72B8"/>
    <w:rsid w:val="006A7AF2"/>
    <w:rsid w:val="006B11FE"/>
    <w:rsid w:val="006B247D"/>
    <w:rsid w:val="006C308E"/>
    <w:rsid w:val="006C3C20"/>
    <w:rsid w:val="006C6CDF"/>
    <w:rsid w:val="006D12E8"/>
    <w:rsid w:val="006D262C"/>
    <w:rsid w:val="006D4323"/>
    <w:rsid w:val="006D5371"/>
    <w:rsid w:val="006D5939"/>
    <w:rsid w:val="006D6D92"/>
    <w:rsid w:val="006E1C7D"/>
    <w:rsid w:val="006E4039"/>
    <w:rsid w:val="006E418A"/>
    <w:rsid w:val="006E6C64"/>
    <w:rsid w:val="006F4D6A"/>
    <w:rsid w:val="006F53F3"/>
    <w:rsid w:val="006F7644"/>
    <w:rsid w:val="00702E50"/>
    <w:rsid w:val="0070409D"/>
    <w:rsid w:val="007043D0"/>
    <w:rsid w:val="00707284"/>
    <w:rsid w:val="00710F2F"/>
    <w:rsid w:val="007127E3"/>
    <w:rsid w:val="007209B0"/>
    <w:rsid w:val="007247E4"/>
    <w:rsid w:val="007252A5"/>
    <w:rsid w:val="0073197C"/>
    <w:rsid w:val="00732333"/>
    <w:rsid w:val="00733450"/>
    <w:rsid w:val="00735D77"/>
    <w:rsid w:val="007426A0"/>
    <w:rsid w:val="00743341"/>
    <w:rsid w:val="007440A6"/>
    <w:rsid w:val="00744EBE"/>
    <w:rsid w:val="007458F3"/>
    <w:rsid w:val="00745F09"/>
    <w:rsid w:val="00755815"/>
    <w:rsid w:val="00757166"/>
    <w:rsid w:val="00757C0F"/>
    <w:rsid w:val="0076056E"/>
    <w:rsid w:val="0076220B"/>
    <w:rsid w:val="00764FE5"/>
    <w:rsid w:val="007668BD"/>
    <w:rsid w:val="00771078"/>
    <w:rsid w:val="00773728"/>
    <w:rsid w:val="0077606D"/>
    <w:rsid w:val="00776E05"/>
    <w:rsid w:val="00784E73"/>
    <w:rsid w:val="00786698"/>
    <w:rsid w:val="007870E8"/>
    <w:rsid w:val="007878CA"/>
    <w:rsid w:val="0079217E"/>
    <w:rsid w:val="00795DC8"/>
    <w:rsid w:val="00797A44"/>
    <w:rsid w:val="007A1E53"/>
    <w:rsid w:val="007A24CB"/>
    <w:rsid w:val="007A3F90"/>
    <w:rsid w:val="007A4E00"/>
    <w:rsid w:val="007A4E8E"/>
    <w:rsid w:val="007A5197"/>
    <w:rsid w:val="007A7379"/>
    <w:rsid w:val="007B1459"/>
    <w:rsid w:val="007B184D"/>
    <w:rsid w:val="007B3BC4"/>
    <w:rsid w:val="007B3C4A"/>
    <w:rsid w:val="007C129E"/>
    <w:rsid w:val="007C4997"/>
    <w:rsid w:val="007D2510"/>
    <w:rsid w:val="007D32DB"/>
    <w:rsid w:val="007D607C"/>
    <w:rsid w:val="007D6AA7"/>
    <w:rsid w:val="007D75C3"/>
    <w:rsid w:val="007E352B"/>
    <w:rsid w:val="007E6227"/>
    <w:rsid w:val="007E72D9"/>
    <w:rsid w:val="007F0007"/>
    <w:rsid w:val="007F00ED"/>
    <w:rsid w:val="007F0553"/>
    <w:rsid w:val="007F5258"/>
    <w:rsid w:val="007F7971"/>
    <w:rsid w:val="00801833"/>
    <w:rsid w:val="00803367"/>
    <w:rsid w:val="00804CDD"/>
    <w:rsid w:val="008071E3"/>
    <w:rsid w:val="008121BD"/>
    <w:rsid w:val="00812EEE"/>
    <w:rsid w:val="0081728E"/>
    <w:rsid w:val="00817483"/>
    <w:rsid w:val="00821282"/>
    <w:rsid w:val="0082256E"/>
    <w:rsid w:val="008228F3"/>
    <w:rsid w:val="008229C9"/>
    <w:rsid w:val="00822E50"/>
    <w:rsid w:val="00823386"/>
    <w:rsid w:val="00824143"/>
    <w:rsid w:val="00830BDD"/>
    <w:rsid w:val="008354B2"/>
    <w:rsid w:val="0083586A"/>
    <w:rsid w:val="00836D57"/>
    <w:rsid w:val="008407B5"/>
    <w:rsid w:val="008410EF"/>
    <w:rsid w:val="0084260F"/>
    <w:rsid w:val="00846015"/>
    <w:rsid w:val="00847C7D"/>
    <w:rsid w:val="0085069B"/>
    <w:rsid w:val="00850FD1"/>
    <w:rsid w:val="008550AC"/>
    <w:rsid w:val="0085573D"/>
    <w:rsid w:val="0085606C"/>
    <w:rsid w:val="00866D5E"/>
    <w:rsid w:val="008702B5"/>
    <w:rsid w:val="0087213F"/>
    <w:rsid w:val="00873B43"/>
    <w:rsid w:val="00875A15"/>
    <w:rsid w:val="00876369"/>
    <w:rsid w:val="00877526"/>
    <w:rsid w:val="00880ACE"/>
    <w:rsid w:val="00885527"/>
    <w:rsid w:val="00890CF5"/>
    <w:rsid w:val="00891502"/>
    <w:rsid w:val="00891AB5"/>
    <w:rsid w:val="00891B35"/>
    <w:rsid w:val="00892EC1"/>
    <w:rsid w:val="008938F0"/>
    <w:rsid w:val="008974C0"/>
    <w:rsid w:val="008A1F43"/>
    <w:rsid w:val="008A2048"/>
    <w:rsid w:val="008A3D89"/>
    <w:rsid w:val="008A422A"/>
    <w:rsid w:val="008A5125"/>
    <w:rsid w:val="008A59A5"/>
    <w:rsid w:val="008A65EB"/>
    <w:rsid w:val="008A6C88"/>
    <w:rsid w:val="008B5588"/>
    <w:rsid w:val="008C33F9"/>
    <w:rsid w:val="008C41A7"/>
    <w:rsid w:val="008D18BB"/>
    <w:rsid w:val="008D1D64"/>
    <w:rsid w:val="008D2106"/>
    <w:rsid w:val="008D3737"/>
    <w:rsid w:val="008D3DE9"/>
    <w:rsid w:val="008D6989"/>
    <w:rsid w:val="008D6C95"/>
    <w:rsid w:val="008D753A"/>
    <w:rsid w:val="008D7699"/>
    <w:rsid w:val="008D7862"/>
    <w:rsid w:val="008D7CE8"/>
    <w:rsid w:val="008E0231"/>
    <w:rsid w:val="008E5B51"/>
    <w:rsid w:val="008F147E"/>
    <w:rsid w:val="008F2BA3"/>
    <w:rsid w:val="008F77F2"/>
    <w:rsid w:val="008F79C6"/>
    <w:rsid w:val="00902A87"/>
    <w:rsid w:val="009052CC"/>
    <w:rsid w:val="00905AFA"/>
    <w:rsid w:val="0091293D"/>
    <w:rsid w:val="0091691B"/>
    <w:rsid w:val="00920C2E"/>
    <w:rsid w:val="00925AFA"/>
    <w:rsid w:val="00930922"/>
    <w:rsid w:val="009339DE"/>
    <w:rsid w:val="009370BB"/>
    <w:rsid w:val="00937780"/>
    <w:rsid w:val="00937E19"/>
    <w:rsid w:val="00940E7C"/>
    <w:rsid w:val="00940F2A"/>
    <w:rsid w:val="00943D69"/>
    <w:rsid w:val="00947501"/>
    <w:rsid w:val="00950DC5"/>
    <w:rsid w:val="00952FD3"/>
    <w:rsid w:val="00955191"/>
    <w:rsid w:val="00962283"/>
    <w:rsid w:val="00962EE8"/>
    <w:rsid w:val="0096739E"/>
    <w:rsid w:val="00971084"/>
    <w:rsid w:val="00975B82"/>
    <w:rsid w:val="00984909"/>
    <w:rsid w:val="009869B4"/>
    <w:rsid w:val="009878AE"/>
    <w:rsid w:val="0099225F"/>
    <w:rsid w:val="009935F0"/>
    <w:rsid w:val="00996901"/>
    <w:rsid w:val="009A36CB"/>
    <w:rsid w:val="009A7C47"/>
    <w:rsid w:val="009B525C"/>
    <w:rsid w:val="009C18EF"/>
    <w:rsid w:val="009C2B6E"/>
    <w:rsid w:val="009C38A2"/>
    <w:rsid w:val="009C3AE5"/>
    <w:rsid w:val="009C5B0C"/>
    <w:rsid w:val="009C6B5E"/>
    <w:rsid w:val="009C7632"/>
    <w:rsid w:val="009C7D24"/>
    <w:rsid w:val="009D108A"/>
    <w:rsid w:val="009D1241"/>
    <w:rsid w:val="009D15E5"/>
    <w:rsid w:val="009D3270"/>
    <w:rsid w:val="009D6380"/>
    <w:rsid w:val="009D768E"/>
    <w:rsid w:val="009E7433"/>
    <w:rsid w:val="009F4E5A"/>
    <w:rsid w:val="009F6630"/>
    <w:rsid w:val="009F6B6D"/>
    <w:rsid w:val="009F73F5"/>
    <w:rsid w:val="00A00AFF"/>
    <w:rsid w:val="00A027EC"/>
    <w:rsid w:val="00A0319E"/>
    <w:rsid w:val="00A0320D"/>
    <w:rsid w:val="00A06957"/>
    <w:rsid w:val="00A069F6"/>
    <w:rsid w:val="00A10E05"/>
    <w:rsid w:val="00A1269D"/>
    <w:rsid w:val="00A14480"/>
    <w:rsid w:val="00A16B51"/>
    <w:rsid w:val="00A1703F"/>
    <w:rsid w:val="00A174F8"/>
    <w:rsid w:val="00A176FC"/>
    <w:rsid w:val="00A20CFD"/>
    <w:rsid w:val="00A21053"/>
    <w:rsid w:val="00A2326E"/>
    <w:rsid w:val="00A2559F"/>
    <w:rsid w:val="00A25A56"/>
    <w:rsid w:val="00A27642"/>
    <w:rsid w:val="00A3092F"/>
    <w:rsid w:val="00A3224B"/>
    <w:rsid w:val="00A32FFC"/>
    <w:rsid w:val="00A33E12"/>
    <w:rsid w:val="00A3450E"/>
    <w:rsid w:val="00A3595B"/>
    <w:rsid w:val="00A40400"/>
    <w:rsid w:val="00A418EC"/>
    <w:rsid w:val="00A42573"/>
    <w:rsid w:val="00A45CBA"/>
    <w:rsid w:val="00A45E0C"/>
    <w:rsid w:val="00A46CB2"/>
    <w:rsid w:val="00A54E98"/>
    <w:rsid w:val="00A57C2C"/>
    <w:rsid w:val="00A64196"/>
    <w:rsid w:val="00A74778"/>
    <w:rsid w:val="00A86366"/>
    <w:rsid w:val="00A91487"/>
    <w:rsid w:val="00A91762"/>
    <w:rsid w:val="00A9189A"/>
    <w:rsid w:val="00AA01B5"/>
    <w:rsid w:val="00AA1283"/>
    <w:rsid w:val="00AA3C59"/>
    <w:rsid w:val="00AA3F48"/>
    <w:rsid w:val="00AA48A8"/>
    <w:rsid w:val="00AA50BE"/>
    <w:rsid w:val="00AA5778"/>
    <w:rsid w:val="00AA6B24"/>
    <w:rsid w:val="00AB00CA"/>
    <w:rsid w:val="00AB0D09"/>
    <w:rsid w:val="00AB53A3"/>
    <w:rsid w:val="00AB7ABE"/>
    <w:rsid w:val="00AC0616"/>
    <w:rsid w:val="00AC33CC"/>
    <w:rsid w:val="00AC3762"/>
    <w:rsid w:val="00AC5601"/>
    <w:rsid w:val="00AC5F80"/>
    <w:rsid w:val="00AC6C96"/>
    <w:rsid w:val="00AC74D7"/>
    <w:rsid w:val="00AD100B"/>
    <w:rsid w:val="00AD6E1E"/>
    <w:rsid w:val="00AE27AA"/>
    <w:rsid w:val="00AE4446"/>
    <w:rsid w:val="00AE4C31"/>
    <w:rsid w:val="00AF5931"/>
    <w:rsid w:val="00AF7D2C"/>
    <w:rsid w:val="00B003E4"/>
    <w:rsid w:val="00B008BA"/>
    <w:rsid w:val="00B0182A"/>
    <w:rsid w:val="00B01EA0"/>
    <w:rsid w:val="00B0673F"/>
    <w:rsid w:val="00B069ED"/>
    <w:rsid w:val="00B1352A"/>
    <w:rsid w:val="00B16E3C"/>
    <w:rsid w:val="00B2539B"/>
    <w:rsid w:val="00B27884"/>
    <w:rsid w:val="00B31688"/>
    <w:rsid w:val="00B34E72"/>
    <w:rsid w:val="00B44DD3"/>
    <w:rsid w:val="00B464E3"/>
    <w:rsid w:val="00B532AE"/>
    <w:rsid w:val="00B56BD3"/>
    <w:rsid w:val="00B56CF3"/>
    <w:rsid w:val="00B61013"/>
    <w:rsid w:val="00B62932"/>
    <w:rsid w:val="00B630E8"/>
    <w:rsid w:val="00B63FA5"/>
    <w:rsid w:val="00B663AB"/>
    <w:rsid w:val="00B70043"/>
    <w:rsid w:val="00B72394"/>
    <w:rsid w:val="00B726B8"/>
    <w:rsid w:val="00B72C3B"/>
    <w:rsid w:val="00B772AA"/>
    <w:rsid w:val="00B77354"/>
    <w:rsid w:val="00B8101C"/>
    <w:rsid w:val="00B82C25"/>
    <w:rsid w:val="00B84D47"/>
    <w:rsid w:val="00B876DB"/>
    <w:rsid w:val="00B936AB"/>
    <w:rsid w:val="00B94F28"/>
    <w:rsid w:val="00B9757F"/>
    <w:rsid w:val="00BA1494"/>
    <w:rsid w:val="00BA1D2B"/>
    <w:rsid w:val="00BA2950"/>
    <w:rsid w:val="00BA3C7E"/>
    <w:rsid w:val="00BA70FD"/>
    <w:rsid w:val="00BB0D02"/>
    <w:rsid w:val="00BB180C"/>
    <w:rsid w:val="00BB5CC0"/>
    <w:rsid w:val="00BC22BC"/>
    <w:rsid w:val="00BC2C73"/>
    <w:rsid w:val="00BC2D94"/>
    <w:rsid w:val="00BC4382"/>
    <w:rsid w:val="00BD02DD"/>
    <w:rsid w:val="00BD411F"/>
    <w:rsid w:val="00BD4393"/>
    <w:rsid w:val="00BD6407"/>
    <w:rsid w:val="00BE1EFA"/>
    <w:rsid w:val="00BE26D1"/>
    <w:rsid w:val="00BE2CF0"/>
    <w:rsid w:val="00BE313A"/>
    <w:rsid w:val="00BE7A66"/>
    <w:rsid w:val="00BF00B9"/>
    <w:rsid w:val="00BF14DB"/>
    <w:rsid w:val="00BF296B"/>
    <w:rsid w:val="00BF2BF6"/>
    <w:rsid w:val="00BF30FA"/>
    <w:rsid w:val="00BF370A"/>
    <w:rsid w:val="00BF4E03"/>
    <w:rsid w:val="00C0228E"/>
    <w:rsid w:val="00C0418F"/>
    <w:rsid w:val="00C068DE"/>
    <w:rsid w:val="00C112D5"/>
    <w:rsid w:val="00C11A67"/>
    <w:rsid w:val="00C124A9"/>
    <w:rsid w:val="00C156C7"/>
    <w:rsid w:val="00C1682A"/>
    <w:rsid w:val="00C16A48"/>
    <w:rsid w:val="00C16E51"/>
    <w:rsid w:val="00C2029F"/>
    <w:rsid w:val="00C22303"/>
    <w:rsid w:val="00C2692F"/>
    <w:rsid w:val="00C2717D"/>
    <w:rsid w:val="00C30EBE"/>
    <w:rsid w:val="00C33E81"/>
    <w:rsid w:val="00C3722E"/>
    <w:rsid w:val="00C40B25"/>
    <w:rsid w:val="00C43D4F"/>
    <w:rsid w:val="00C44FAD"/>
    <w:rsid w:val="00C47BED"/>
    <w:rsid w:val="00C55A0B"/>
    <w:rsid w:val="00C56F2A"/>
    <w:rsid w:val="00C613EE"/>
    <w:rsid w:val="00C620FD"/>
    <w:rsid w:val="00C675FB"/>
    <w:rsid w:val="00C717CF"/>
    <w:rsid w:val="00C7310E"/>
    <w:rsid w:val="00C80B90"/>
    <w:rsid w:val="00C8570F"/>
    <w:rsid w:val="00C91987"/>
    <w:rsid w:val="00C92A65"/>
    <w:rsid w:val="00C956AB"/>
    <w:rsid w:val="00C97987"/>
    <w:rsid w:val="00C97E46"/>
    <w:rsid w:val="00CA4912"/>
    <w:rsid w:val="00CA6FD4"/>
    <w:rsid w:val="00CB09C9"/>
    <w:rsid w:val="00CB22EC"/>
    <w:rsid w:val="00CB3186"/>
    <w:rsid w:val="00CB362C"/>
    <w:rsid w:val="00CB7734"/>
    <w:rsid w:val="00CC0705"/>
    <w:rsid w:val="00CC1EDA"/>
    <w:rsid w:val="00CC4587"/>
    <w:rsid w:val="00CC4BD1"/>
    <w:rsid w:val="00CC7FD9"/>
    <w:rsid w:val="00CD2636"/>
    <w:rsid w:val="00CD302D"/>
    <w:rsid w:val="00CD31E8"/>
    <w:rsid w:val="00CD63F2"/>
    <w:rsid w:val="00CE038E"/>
    <w:rsid w:val="00CE1E9C"/>
    <w:rsid w:val="00CE2A00"/>
    <w:rsid w:val="00CF1B1B"/>
    <w:rsid w:val="00CF2A3E"/>
    <w:rsid w:val="00CF4139"/>
    <w:rsid w:val="00CF421A"/>
    <w:rsid w:val="00D00476"/>
    <w:rsid w:val="00D02A35"/>
    <w:rsid w:val="00D0551A"/>
    <w:rsid w:val="00D11D90"/>
    <w:rsid w:val="00D22FD7"/>
    <w:rsid w:val="00D23C4C"/>
    <w:rsid w:val="00D25530"/>
    <w:rsid w:val="00D26E3F"/>
    <w:rsid w:val="00D27F06"/>
    <w:rsid w:val="00D35E53"/>
    <w:rsid w:val="00D403E3"/>
    <w:rsid w:val="00D40DEE"/>
    <w:rsid w:val="00D46DE0"/>
    <w:rsid w:val="00D507F6"/>
    <w:rsid w:val="00D53353"/>
    <w:rsid w:val="00D56F0D"/>
    <w:rsid w:val="00D57702"/>
    <w:rsid w:val="00D5787B"/>
    <w:rsid w:val="00D63E5E"/>
    <w:rsid w:val="00D64CB6"/>
    <w:rsid w:val="00D65CFF"/>
    <w:rsid w:val="00D70688"/>
    <w:rsid w:val="00D716E1"/>
    <w:rsid w:val="00D72BE0"/>
    <w:rsid w:val="00D75521"/>
    <w:rsid w:val="00D759A1"/>
    <w:rsid w:val="00D80079"/>
    <w:rsid w:val="00D83920"/>
    <w:rsid w:val="00D85A5A"/>
    <w:rsid w:val="00D872C8"/>
    <w:rsid w:val="00D946CB"/>
    <w:rsid w:val="00DA5343"/>
    <w:rsid w:val="00DB17A8"/>
    <w:rsid w:val="00DB2DFC"/>
    <w:rsid w:val="00DB5006"/>
    <w:rsid w:val="00DC15DD"/>
    <w:rsid w:val="00DC3BD1"/>
    <w:rsid w:val="00DC3BE9"/>
    <w:rsid w:val="00DC6B2B"/>
    <w:rsid w:val="00DC7B0E"/>
    <w:rsid w:val="00DD0D0A"/>
    <w:rsid w:val="00DD1661"/>
    <w:rsid w:val="00DD5BF3"/>
    <w:rsid w:val="00DD648E"/>
    <w:rsid w:val="00DD7266"/>
    <w:rsid w:val="00DD794A"/>
    <w:rsid w:val="00DE00BE"/>
    <w:rsid w:val="00DE09C7"/>
    <w:rsid w:val="00DE15DD"/>
    <w:rsid w:val="00DE7AC7"/>
    <w:rsid w:val="00DF01EE"/>
    <w:rsid w:val="00DF30C3"/>
    <w:rsid w:val="00DF767F"/>
    <w:rsid w:val="00DF7C59"/>
    <w:rsid w:val="00E03F9C"/>
    <w:rsid w:val="00E053E3"/>
    <w:rsid w:val="00E11740"/>
    <w:rsid w:val="00E137C5"/>
    <w:rsid w:val="00E13E94"/>
    <w:rsid w:val="00E23A4E"/>
    <w:rsid w:val="00E23BBF"/>
    <w:rsid w:val="00E24484"/>
    <w:rsid w:val="00E25A8C"/>
    <w:rsid w:val="00E25B89"/>
    <w:rsid w:val="00E31740"/>
    <w:rsid w:val="00E35527"/>
    <w:rsid w:val="00E40D97"/>
    <w:rsid w:val="00E436EE"/>
    <w:rsid w:val="00E509E2"/>
    <w:rsid w:val="00E5107F"/>
    <w:rsid w:val="00E525B4"/>
    <w:rsid w:val="00E61427"/>
    <w:rsid w:val="00E6376D"/>
    <w:rsid w:val="00E65D8F"/>
    <w:rsid w:val="00E66F0A"/>
    <w:rsid w:val="00E71EE5"/>
    <w:rsid w:val="00E729AC"/>
    <w:rsid w:val="00E847F0"/>
    <w:rsid w:val="00E919A4"/>
    <w:rsid w:val="00E92547"/>
    <w:rsid w:val="00E92F4E"/>
    <w:rsid w:val="00E94765"/>
    <w:rsid w:val="00E95287"/>
    <w:rsid w:val="00E96806"/>
    <w:rsid w:val="00EA359D"/>
    <w:rsid w:val="00EA56CD"/>
    <w:rsid w:val="00EB0BB7"/>
    <w:rsid w:val="00EB30D5"/>
    <w:rsid w:val="00EB33F2"/>
    <w:rsid w:val="00EC0D9A"/>
    <w:rsid w:val="00EC47F2"/>
    <w:rsid w:val="00ED027D"/>
    <w:rsid w:val="00ED0EEA"/>
    <w:rsid w:val="00ED39D7"/>
    <w:rsid w:val="00ED41F9"/>
    <w:rsid w:val="00ED7C5E"/>
    <w:rsid w:val="00EF7EC8"/>
    <w:rsid w:val="00F02FCB"/>
    <w:rsid w:val="00F03618"/>
    <w:rsid w:val="00F10DDE"/>
    <w:rsid w:val="00F17CEF"/>
    <w:rsid w:val="00F21EBF"/>
    <w:rsid w:val="00F23A02"/>
    <w:rsid w:val="00F23BF3"/>
    <w:rsid w:val="00F26C2E"/>
    <w:rsid w:val="00F33155"/>
    <w:rsid w:val="00F34290"/>
    <w:rsid w:val="00F35C86"/>
    <w:rsid w:val="00F372B2"/>
    <w:rsid w:val="00F421C5"/>
    <w:rsid w:val="00F4308C"/>
    <w:rsid w:val="00F43B78"/>
    <w:rsid w:val="00F440F7"/>
    <w:rsid w:val="00F46ADF"/>
    <w:rsid w:val="00F506D9"/>
    <w:rsid w:val="00F51F4C"/>
    <w:rsid w:val="00F52AAF"/>
    <w:rsid w:val="00F53D7E"/>
    <w:rsid w:val="00F55531"/>
    <w:rsid w:val="00F572AA"/>
    <w:rsid w:val="00F629F9"/>
    <w:rsid w:val="00F62A6D"/>
    <w:rsid w:val="00F749F6"/>
    <w:rsid w:val="00F75E1B"/>
    <w:rsid w:val="00F77235"/>
    <w:rsid w:val="00F81304"/>
    <w:rsid w:val="00F907CC"/>
    <w:rsid w:val="00F927D7"/>
    <w:rsid w:val="00F92E2B"/>
    <w:rsid w:val="00F95D4A"/>
    <w:rsid w:val="00FA028A"/>
    <w:rsid w:val="00FA2DE7"/>
    <w:rsid w:val="00FA39ED"/>
    <w:rsid w:val="00FA7A71"/>
    <w:rsid w:val="00FB060A"/>
    <w:rsid w:val="00FB2876"/>
    <w:rsid w:val="00FB3282"/>
    <w:rsid w:val="00FB7E97"/>
    <w:rsid w:val="00FC340A"/>
    <w:rsid w:val="00FC61D4"/>
    <w:rsid w:val="00FD33D1"/>
    <w:rsid w:val="00FD5EF7"/>
    <w:rsid w:val="00FD6EF4"/>
    <w:rsid w:val="00FD7D8A"/>
    <w:rsid w:val="00FE2C7D"/>
    <w:rsid w:val="00FE5D76"/>
    <w:rsid w:val="00FE7C5C"/>
    <w:rsid w:val="00FF26AC"/>
    <w:rsid w:val="00FF70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C9"/>
    <w:rPr>
      <w:rFonts w:ascii="Calibri" w:eastAsia="Times New Roman" w:hAnsi="Calibri" w:cs="Times New Roman"/>
    </w:rPr>
  </w:style>
  <w:style w:type="paragraph" w:styleId="Heading1">
    <w:name w:val="heading 1"/>
    <w:basedOn w:val="Normal"/>
    <w:next w:val="Normal"/>
    <w:link w:val="Heading1Char"/>
    <w:uiPriority w:val="99"/>
    <w:qFormat/>
    <w:rsid w:val="008229C9"/>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229C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229C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229C9"/>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8229C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229C9"/>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8229C9"/>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229C9"/>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8229C9"/>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29C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8229C9"/>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8229C9"/>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229C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229C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8229C9"/>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229C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229C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229C9"/>
    <w:rPr>
      <w:rFonts w:ascii="Arial" w:eastAsia="Times New Roman" w:hAnsi="Arial" w:cs="Arial"/>
    </w:rPr>
  </w:style>
  <w:style w:type="paragraph" w:styleId="ListParagraph">
    <w:name w:val="List Paragraph"/>
    <w:basedOn w:val="Normal"/>
    <w:uiPriority w:val="34"/>
    <w:qFormat/>
    <w:rsid w:val="008229C9"/>
    <w:pPr>
      <w:ind w:left="720"/>
      <w:contextualSpacing/>
    </w:pPr>
  </w:style>
  <w:style w:type="paragraph" w:styleId="BodyText">
    <w:name w:val="Body Text"/>
    <w:basedOn w:val="Normal"/>
    <w:link w:val="BodyTextChar"/>
    <w:uiPriority w:val="99"/>
    <w:rsid w:val="008229C9"/>
    <w:pPr>
      <w:spacing w:after="0" w:line="240" w:lineRule="auto"/>
      <w:jc w:val="both"/>
    </w:pPr>
    <w:rPr>
      <w:rFonts w:ascii="Times New Roman" w:hAnsi="Times New Roman"/>
      <w:sz w:val="24"/>
      <w:szCs w:val="20"/>
      <w:lang w:val="en-US" w:eastAsia="ru-RU"/>
    </w:rPr>
  </w:style>
  <w:style w:type="character" w:customStyle="1" w:styleId="BodyTextChar">
    <w:name w:val="Body Text Char"/>
    <w:basedOn w:val="DefaultParagraphFont"/>
    <w:link w:val="BodyText"/>
    <w:uiPriority w:val="99"/>
    <w:rsid w:val="008229C9"/>
    <w:rPr>
      <w:rFonts w:ascii="Times New Roman" w:eastAsia="Times New Roman" w:hAnsi="Times New Roman" w:cs="Times New Roman"/>
      <w:sz w:val="24"/>
      <w:szCs w:val="20"/>
      <w:lang w:val="en-US" w:eastAsia="ru-RU"/>
    </w:rPr>
  </w:style>
  <w:style w:type="paragraph" w:styleId="Header">
    <w:name w:val="header"/>
    <w:basedOn w:val="Normal"/>
    <w:link w:val="HeaderChar"/>
    <w:uiPriority w:val="99"/>
    <w:rsid w:val="008229C9"/>
    <w:pPr>
      <w:tabs>
        <w:tab w:val="center" w:pos="4677"/>
        <w:tab w:val="right" w:pos="9355"/>
      </w:tabs>
      <w:spacing w:after="0" w:line="240" w:lineRule="auto"/>
    </w:pPr>
  </w:style>
  <w:style w:type="character" w:customStyle="1" w:styleId="HeaderChar">
    <w:name w:val="Header Char"/>
    <w:basedOn w:val="DefaultParagraphFont"/>
    <w:link w:val="Header"/>
    <w:uiPriority w:val="99"/>
    <w:rsid w:val="008229C9"/>
    <w:rPr>
      <w:rFonts w:ascii="Calibri" w:eastAsia="Times New Roman" w:hAnsi="Calibri" w:cs="Times New Roman"/>
    </w:rPr>
  </w:style>
  <w:style w:type="paragraph" w:styleId="Footer">
    <w:name w:val="footer"/>
    <w:basedOn w:val="Normal"/>
    <w:link w:val="FooterChar"/>
    <w:uiPriority w:val="99"/>
    <w:rsid w:val="008229C9"/>
    <w:pPr>
      <w:tabs>
        <w:tab w:val="center" w:pos="4677"/>
        <w:tab w:val="right" w:pos="9355"/>
      </w:tabs>
      <w:spacing w:after="0" w:line="240" w:lineRule="auto"/>
    </w:pPr>
  </w:style>
  <w:style w:type="character" w:customStyle="1" w:styleId="FooterChar">
    <w:name w:val="Footer Char"/>
    <w:basedOn w:val="DefaultParagraphFont"/>
    <w:link w:val="Footer"/>
    <w:uiPriority w:val="99"/>
    <w:rsid w:val="008229C9"/>
    <w:rPr>
      <w:rFonts w:ascii="Calibri" w:eastAsia="Times New Roman" w:hAnsi="Calibri" w:cs="Times New Roman"/>
    </w:rPr>
  </w:style>
  <w:style w:type="numbering" w:styleId="ArticleSection">
    <w:name w:val="Outline List 3"/>
    <w:basedOn w:val="NoList"/>
    <w:uiPriority w:val="99"/>
    <w:semiHidden/>
    <w:unhideWhenUsed/>
    <w:rsid w:val="008229C9"/>
    <w:pPr>
      <w:numPr>
        <w:numId w:val="1"/>
      </w:numPr>
    </w:pPr>
  </w:style>
  <w:style w:type="character" w:styleId="SubtleEmphasis">
    <w:name w:val="Subtle Emphasis"/>
    <w:basedOn w:val="DefaultParagraphFont"/>
    <w:uiPriority w:val="19"/>
    <w:qFormat/>
    <w:rsid w:val="008229C9"/>
    <w:rPr>
      <w:i/>
      <w:iCs/>
      <w:color w:val="808080" w:themeColor="text1" w:themeTint="7F"/>
    </w:rPr>
  </w:style>
  <w:style w:type="paragraph" w:styleId="BalloonText">
    <w:name w:val="Balloon Text"/>
    <w:basedOn w:val="Normal"/>
    <w:link w:val="BalloonTextChar"/>
    <w:uiPriority w:val="99"/>
    <w:semiHidden/>
    <w:unhideWhenUsed/>
    <w:rsid w:val="00822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9C9"/>
    <w:rPr>
      <w:rFonts w:ascii="Tahoma" w:eastAsia="Times New Roman" w:hAnsi="Tahoma" w:cs="Tahoma"/>
      <w:sz w:val="16"/>
      <w:szCs w:val="16"/>
    </w:rPr>
  </w:style>
  <w:style w:type="paragraph" w:customStyle="1" w:styleId="cb">
    <w:name w:val="cb"/>
    <w:basedOn w:val="Normal"/>
    <w:uiPriority w:val="99"/>
    <w:rsid w:val="008229C9"/>
    <w:pPr>
      <w:spacing w:after="0" w:line="240" w:lineRule="auto"/>
      <w:jc w:val="center"/>
    </w:pPr>
    <w:rPr>
      <w:rFonts w:ascii="Times New Roman" w:hAnsi="Times New Roman"/>
      <w:b/>
      <w:bCs/>
      <w:sz w:val="24"/>
      <w:szCs w:val="24"/>
      <w:lang w:val="en-US"/>
    </w:rPr>
  </w:style>
  <w:style w:type="paragraph" w:customStyle="1" w:styleId="Default">
    <w:name w:val="Default"/>
    <w:rsid w:val="00940E7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7B1459"/>
    <w:rPr>
      <w:rFonts w:ascii="Times New Roman" w:hAnsi="Times New Roman"/>
      <w:sz w:val="24"/>
      <w:szCs w:val="24"/>
    </w:rPr>
  </w:style>
  <w:style w:type="paragraph" w:customStyle="1" w:styleId="TableParagraph">
    <w:name w:val="Table Paragraph"/>
    <w:basedOn w:val="Normal"/>
    <w:uiPriority w:val="1"/>
    <w:qFormat/>
    <w:rsid w:val="00351576"/>
    <w:pPr>
      <w:widowControl w:val="0"/>
      <w:spacing w:after="0" w:line="240" w:lineRule="auto"/>
    </w:pPr>
    <w:rPr>
      <w:rFonts w:asciiTheme="minorHAnsi" w:eastAsiaTheme="minorHAnsi" w:hAnsiTheme="minorHAnsi" w:cstheme="minorBidi"/>
      <w:lang w:val="en-US"/>
    </w:rPr>
  </w:style>
  <w:style w:type="paragraph" w:styleId="NoSpacing">
    <w:name w:val="No Spacing"/>
    <w:uiPriority w:val="1"/>
    <w:qFormat/>
    <w:rsid w:val="00351576"/>
    <w:pPr>
      <w:spacing w:after="0" w:line="240" w:lineRule="auto"/>
    </w:pPr>
    <w:rPr>
      <w:rFonts w:ascii="Calibri" w:eastAsia="Times New Roman" w:hAnsi="Calibri" w:cs="Times New Roman"/>
    </w:rPr>
  </w:style>
  <w:style w:type="paragraph" w:customStyle="1" w:styleId="Subtitle1">
    <w:name w:val="Subtitle1"/>
    <w:basedOn w:val="Normal"/>
    <w:rsid w:val="00351576"/>
    <w:pPr>
      <w:spacing w:after="0" w:line="520" w:lineRule="exact"/>
    </w:pPr>
    <w:rPr>
      <w:rFonts w:ascii="Helvetica" w:hAnsi="Helvetica"/>
      <w:b/>
      <w:bCs/>
      <w:sz w:val="32"/>
      <w:szCs w:val="32"/>
      <w:lang w:val="en-GB" w:bidi="he-IL"/>
    </w:rPr>
  </w:style>
  <w:style w:type="character" w:styleId="Emphasis">
    <w:name w:val="Emphasis"/>
    <w:basedOn w:val="DefaultParagraphFont"/>
    <w:uiPriority w:val="20"/>
    <w:qFormat/>
    <w:rsid w:val="00351576"/>
    <w:rPr>
      <w:i/>
      <w:iCs/>
    </w:rPr>
  </w:style>
  <w:style w:type="paragraph" w:styleId="Title">
    <w:name w:val="Title"/>
    <w:basedOn w:val="Normal"/>
    <w:next w:val="Normal"/>
    <w:link w:val="TitleChar"/>
    <w:uiPriority w:val="10"/>
    <w:qFormat/>
    <w:rsid w:val="003515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1576"/>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334990"/>
    <w:rPr>
      <w:b/>
      <w:bCs/>
      <w:i/>
      <w:iCs/>
      <w:color w:val="4F81BD" w:themeColor="accent1"/>
    </w:rPr>
  </w:style>
  <w:style w:type="paragraph" w:styleId="IntenseQuote">
    <w:name w:val="Intense Quote"/>
    <w:basedOn w:val="Normal"/>
    <w:next w:val="Normal"/>
    <w:link w:val="IntenseQuoteChar"/>
    <w:uiPriority w:val="30"/>
    <w:qFormat/>
    <w:rsid w:val="0033499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34990"/>
    <w:rPr>
      <w:rFonts w:ascii="Calibri" w:eastAsia="Times New Roman" w:hAnsi="Calibri" w:cs="Times New Roman"/>
      <w:b/>
      <w:bCs/>
      <w:i/>
      <w:iCs/>
      <w:color w:val="4F81BD" w:themeColor="accent1"/>
    </w:rPr>
  </w:style>
  <w:style w:type="paragraph" w:customStyle="1" w:styleId="cn">
    <w:name w:val="cn"/>
    <w:basedOn w:val="Normal"/>
    <w:rsid w:val="007F0007"/>
    <w:pPr>
      <w:spacing w:after="0" w:line="240" w:lineRule="auto"/>
      <w:jc w:val="center"/>
    </w:pPr>
    <w:rPr>
      <w:rFonts w:ascii="Times New Roman" w:hAnsi="Times New Roman"/>
      <w:sz w:val="24"/>
      <w:szCs w:val="24"/>
      <w:lang w:eastAsia="ru-RU"/>
    </w:rPr>
  </w:style>
  <w:style w:type="paragraph" w:customStyle="1" w:styleId="pb">
    <w:name w:val="pb"/>
    <w:basedOn w:val="Normal"/>
    <w:rsid w:val="007F0007"/>
    <w:pPr>
      <w:spacing w:after="0" w:line="240" w:lineRule="auto"/>
      <w:jc w:val="center"/>
    </w:pPr>
    <w:rPr>
      <w:rFonts w:ascii="Times New Roman" w:hAnsi="Times New Roman"/>
      <w:i/>
      <w:iCs/>
      <w:color w:val="663300"/>
      <w:sz w:val="20"/>
      <w:szCs w:val="20"/>
      <w:lang w:eastAsia="ru-RU"/>
    </w:rPr>
  </w:style>
  <w:style w:type="table" w:styleId="TableGrid">
    <w:name w:val="Table Grid"/>
    <w:basedOn w:val="TableNormal"/>
    <w:uiPriority w:val="59"/>
    <w:rsid w:val="000E4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717CF"/>
    <w:rPr>
      <w:sz w:val="16"/>
      <w:szCs w:val="16"/>
    </w:rPr>
  </w:style>
  <w:style w:type="paragraph" w:styleId="CommentText">
    <w:name w:val="annotation text"/>
    <w:basedOn w:val="Normal"/>
    <w:link w:val="CommentTextChar"/>
    <w:uiPriority w:val="99"/>
    <w:semiHidden/>
    <w:unhideWhenUsed/>
    <w:rsid w:val="00C717CF"/>
    <w:pPr>
      <w:spacing w:line="240" w:lineRule="auto"/>
    </w:pPr>
    <w:rPr>
      <w:sz w:val="20"/>
      <w:szCs w:val="20"/>
    </w:rPr>
  </w:style>
  <w:style w:type="character" w:customStyle="1" w:styleId="CommentTextChar">
    <w:name w:val="Comment Text Char"/>
    <w:basedOn w:val="DefaultParagraphFont"/>
    <w:link w:val="CommentText"/>
    <w:uiPriority w:val="99"/>
    <w:semiHidden/>
    <w:rsid w:val="00C717C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17CF"/>
    <w:rPr>
      <w:b/>
      <w:bCs/>
    </w:rPr>
  </w:style>
  <w:style w:type="character" w:customStyle="1" w:styleId="CommentSubjectChar">
    <w:name w:val="Comment Subject Char"/>
    <w:basedOn w:val="CommentTextChar"/>
    <w:link w:val="CommentSubject"/>
    <w:uiPriority w:val="99"/>
    <w:semiHidden/>
    <w:rsid w:val="00C717CF"/>
    <w:rPr>
      <w:rFonts w:ascii="Calibri" w:eastAsia="Times New Roman" w:hAnsi="Calibri" w:cs="Times New Roman"/>
      <w:b/>
      <w:bCs/>
      <w:sz w:val="20"/>
      <w:szCs w:val="20"/>
    </w:rPr>
  </w:style>
  <w:style w:type="paragraph" w:styleId="Subtitle">
    <w:name w:val="Subtitle"/>
    <w:basedOn w:val="Normal"/>
    <w:next w:val="Normal"/>
    <w:link w:val="SubtitleChar"/>
    <w:uiPriority w:val="11"/>
    <w:qFormat/>
    <w:rsid w:val="009622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2283"/>
    <w:rPr>
      <w:rFonts w:asciiTheme="majorHAnsi" w:eastAsiaTheme="majorEastAsia" w:hAnsiTheme="majorHAnsi" w:cstheme="majorBidi"/>
      <w:i/>
      <w:iCs/>
      <w:color w:val="4F81BD" w:themeColor="accent1"/>
      <w:spacing w:val="15"/>
      <w:sz w:val="24"/>
      <w:szCs w:val="24"/>
    </w:rPr>
  </w:style>
  <w:style w:type="paragraph" w:styleId="EndnoteText">
    <w:name w:val="endnote text"/>
    <w:basedOn w:val="Normal"/>
    <w:link w:val="EndnoteTextChar"/>
    <w:uiPriority w:val="99"/>
    <w:semiHidden/>
    <w:unhideWhenUsed/>
    <w:rsid w:val="008721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213F"/>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87213F"/>
    <w:rPr>
      <w:vertAlign w:val="superscript"/>
    </w:rPr>
  </w:style>
  <w:style w:type="character" w:styleId="Hyperlink">
    <w:name w:val="Hyperlink"/>
    <w:basedOn w:val="DefaultParagraphFont"/>
    <w:uiPriority w:val="99"/>
    <w:unhideWhenUsed/>
    <w:rsid w:val="00D0551A"/>
    <w:rPr>
      <w:color w:val="0000FF" w:themeColor="hyperlink"/>
      <w:u w:val="single"/>
    </w:rPr>
  </w:style>
  <w:style w:type="paragraph" w:styleId="BodyTextIndent">
    <w:name w:val="Body Text Indent"/>
    <w:basedOn w:val="Normal"/>
    <w:link w:val="BodyTextIndentChar"/>
    <w:uiPriority w:val="99"/>
    <w:unhideWhenUsed/>
    <w:rsid w:val="00AB0D09"/>
    <w:pPr>
      <w:spacing w:after="120"/>
      <w:ind w:left="283"/>
    </w:pPr>
  </w:style>
  <w:style w:type="character" w:customStyle="1" w:styleId="BodyTextIndentChar">
    <w:name w:val="Body Text Indent Char"/>
    <w:basedOn w:val="DefaultParagraphFont"/>
    <w:link w:val="BodyTextIndent"/>
    <w:uiPriority w:val="99"/>
    <w:rsid w:val="00AB0D09"/>
    <w:rPr>
      <w:rFonts w:ascii="Calibri" w:eastAsia="Times New Roman" w:hAnsi="Calibri" w:cs="Times New Roman"/>
    </w:rPr>
  </w:style>
  <w:style w:type="paragraph" w:styleId="FootnoteText">
    <w:name w:val="footnote text"/>
    <w:basedOn w:val="Normal"/>
    <w:link w:val="FootnoteTextChar"/>
    <w:uiPriority w:val="99"/>
    <w:semiHidden/>
    <w:unhideWhenUsed/>
    <w:rsid w:val="008172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28E"/>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1728E"/>
    <w:rPr>
      <w:vertAlign w:val="superscript"/>
    </w:rPr>
  </w:style>
  <w:style w:type="character" w:styleId="Strong">
    <w:name w:val="Strong"/>
    <w:basedOn w:val="DefaultParagraphFont"/>
    <w:qFormat/>
    <w:rsid w:val="000A2B44"/>
    <w:rPr>
      <w:b/>
      <w:bCs/>
    </w:rPr>
  </w:style>
  <w:style w:type="character" w:customStyle="1" w:styleId="def">
    <w:name w:val="def"/>
    <w:basedOn w:val="DefaultParagraphFont"/>
    <w:rsid w:val="00A45CBA"/>
  </w:style>
  <w:style w:type="paragraph" w:customStyle="1" w:styleId="tt">
    <w:name w:val="tt"/>
    <w:basedOn w:val="Normal"/>
    <w:rsid w:val="0076220B"/>
    <w:pPr>
      <w:spacing w:after="0" w:line="240" w:lineRule="auto"/>
      <w:jc w:val="center"/>
    </w:pPr>
    <w:rPr>
      <w:rFonts w:ascii="Times New Roman" w:hAnsi="Times New Roman"/>
      <w:b/>
      <w:bCs/>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C9"/>
    <w:rPr>
      <w:rFonts w:ascii="Calibri" w:eastAsia="Times New Roman" w:hAnsi="Calibri" w:cs="Times New Roman"/>
    </w:rPr>
  </w:style>
  <w:style w:type="paragraph" w:styleId="Heading1">
    <w:name w:val="heading 1"/>
    <w:basedOn w:val="Normal"/>
    <w:next w:val="Normal"/>
    <w:link w:val="Heading1Char"/>
    <w:uiPriority w:val="99"/>
    <w:qFormat/>
    <w:rsid w:val="008229C9"/>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229C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229C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229C9"/>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8229C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229C9"/>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8229C9"/>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229C9"/>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8229C9"/>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29C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8229C9"/>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8229C9"/>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229C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229C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8229C9"/>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229C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229C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229C9"/>
    <w:rPr>
      <w:rFonts w:ascii="Arial" w:eastAsia="Times New Roman" w:hAnsi="Arial" w:cs="Arial"/>
    </w:rPr>
  </w:style>
  <w:style w:type="paragraph" w:styleId="ListParagraph">
    <w:name w:val="List Paragraph"/>
    <w:basedOn w:val="Normal"/>
    <w:uiPriority w:val="34"/>
    <w:qFormat/>
    <w:rsid w:val="008229C9"/>
    <w:pPr>
      <w:ind w:left="720"/>
      <w:contextualSpacing/>
    </w:pPr>
  </w:style>
  <w:style w:type="paragraph" w:styleId="BodyText">
    <w:name w:val="Body Text"/>
    <w:basedOn w:val="Normal"/>
    <w:link w:val="BodyTextChar"/>
    <w:uiPriority w:val="99"/>
    <w:rsid w:val="008229C9"/>
    <w:pPr>
      <w:spacing w:after="0" w:line="240" w:lineRule="auto"/>
      <w:jc w:val="both"/>
    </w:pPr>
    <w:rPr>
      <w:rFonts w:ascii="Times New Roman" w:hAnsi="Times New Roman"/>
      <w:sz w:val="24"/>
      <w:szCs w:val="20"/>
      <w:lang w:val="en-US" w:eastAsia="ru-RU"/>
    </w:rPr>
  </w:style>
  <w:style w:type="character" w:customStyle="1" w:styleId="BodyTextChar">
    <w:name w:val="Body Text Char"/>
    <w:basedOn w:val="DefaultParagraphFont"/>
    <w:link w:val="BodyText"/>
    <w:uiPriority w:val="99"/>
    <w:rsid w:val="008229C9"/>
    <w:rPr>
      <w:rFonts w:ascii="Times New Roman" w:eastAsia="Times New Roman" w:hAnsi="Times New Roman" w:cs="Times New Roman"/>
      <w:sz w:val="24"/>
      <w:szCs w:val="20"/>
      <w:lang w:val="en-US" w:eastAsia="ru-RU"/>
    </w:rPr>
  </w:style>
  <w:style w:type="paragraph" w:styleId="Header">
    <w:name w:val="header"/>
    <w:basedOn w:val="Normal"/>
    <w:link w:val="HeaderChar"/>
    <w:uiPriority w:val="99"/>
    <w:rsid w:val="008229C9"/>
    <w:pPr>
      <w:tabs>
        <w:tab w:val="center" w:pos="4677"/>
        <w:tab w:val="right" w:pos="9355"/>
      </w:tabs>
      <w:spacing w:after="0" w:line="240" w:lineRule="auto"/>
    </w:pPr>
  </w:style>
  <w:style w:type="character" w:customStyle="1" w:styleId="HeaderChar">
    <w:name w:val="Header Char"/>
    <w:basedOn w:val="DefaultParagraphFont"/>
    <w:link w:val="Header"/>
    <w:uiPriority w:val="99"/>
    <w:rsid w:val="008229C9"/>
    <w:rPr>
      <w:rFonts w:ascii="Calibri" w:eastAsia="Times New Roman" w:hAnsi="Calibri" w:cs="Times New Roman"/>
    </w:rPr>
  </w:style>
  <w:style w:type="paragraph" w:styleId="Footer">
    <w:name w:val="footer"/>
    <w:basedOn w:val="Normal"/>
    <w:link w:val="FooterChar"/>
    <w:uiPriority w:val="99"/>
    <w:rsid w:val="008229C9"/>
    <w:pPr>
      <w:tabs>
        <w:tab w:val="center" w:pos="4677"/>
        <w:tab w:val="right" w:pos="9355"/>
      </w:tabs>
      <w:spacing w:after="0" w:line="240" w:lineRule="auto"/>
    </w:pPr>
  </w:style>
  <w:style w:type="character" w:customStyle="1" w:styleId="FooterChar">
    <w:name w:val="Footer Char"/>
    <w:basedOn w:val="DefaultParagraphFont"/>
    <w:link w:val="Footer"/>
    <w:uiPriority w:val="99"/>
    <w:rsid w:val="008229C9"/>
    <w:rPr>
      <w:rFonts w:ascii="Calibri" w:eastAsia="Times New Roman" w:hAnsi="Calibri" w:cs="Times New Roman"/>
    </w:rPr>
  </w:style>
  <w:style w:type="numbering" w:styleId="ArticleSection">
    <w:name w:val="Outline List 3"/>
    <w:basedOn w:val="NoList"/>
    <w:uiPriority w:val="99"/>
    <w:semiHidden/>
    <w:unhideWhenUsed/>
    <w:rsid w:val="008229C9"/>
    <w:pPr>
      <w:numPr>
        <w:numId w:val="1"/>
      </w:numPr>
    </w:pPr>
  </w:style>
  <w:style w:type="character" w:styleId="SubtleEmphasis">
    <w:name w:val="Subtle Emphasis"/>
    <w:basedOn w:val="DefaultParagraphFont"/>
    <w:uiPriority w:val="19"/>
    <w:qFormat/>
    <w:rsid w:val="008229C9"/>
    <w:rPr>
      <w:i/>
      <w:iCs/>
      <w:color w:val="808080" w:themeColor="text1" w:themeTint="7F"/>
    </w:rPr>
  </w:style>
  <w:style w:type="paragraph" w:styleId="BalloonText">
    <w:name w:val="Balloon Text"/>
    <w:basedOn w:val="Normal"/>
    <w:link w:val="BalloonTextChar"/>
    <w:uiPriority w:val="99"/>
    <w:semiHidden/>
    <w:unhideWhenUsed/>
    <w:rsid w:val="00822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9C9"/>
    <w:rPr>
      <w:rFonts w:ascii="Tahoma" w:eastAsia="Times New Roman" w:hAnsi="Tahoma" w:cs="Tahoma"/>
      <w:sz w:val="16"/>
      <w:szCs w:val="16"/>
    </w:rPr>
  </w:style>
  <w:style w:type="paragraph" w:customStyle="1" w:styleId="cb">
    <w:name w:val="cb"/>
    <w:basedOn w:val="Normal"/>
    <w:uiPriority w:val="99"/>
    <w:rsid w:val="008229C9"/>
    <w:pPr>
      <w:spacing w:after="0" w:line="240" w:lineRule="auto"/>
      <w:jc w:val="center"/>
    </w:pPr>
    <w:rPr>
      <w:rFonts w:ascii="Times New Roman" w:hAnsi="Times New Roman"/>
      <w:b/>
      <w:bCs/>
      <w:sz w:val="24"/>
      <w:szCs w:val="24"/>
      <w:lang w:val="en-US"/>
    </w:rPr>
  </w:style>
  <w:style w:type="paragraph" w:customStyle="1" w:styleId="Default">
    <w:name w:val="Default"/>
    <w:rsid w:val="00940E7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7B1459"/>
    <w:rPr>
      <w:rFonts w:ascii="Times New Roman" w:hAnsi="Times New Roman"/>
      <w:sz w:val="24"/>
      <w:szCs w:val="24"/>
    </w:rPr>
  </w:style>
  <w:style w:type="paragraph" w:customStyle="1" w:styleId="TableParagraph">
    <w:name w:val="Table Paragraph"/>
    <w:basedOn w:val="Normal"/>
    <w:uiPriority w:val="1"/>
    <w:qFormat/>
    <w:rsid w:val="00351576"/>
    <w:pPr>
      <w:widowControl w:val="0"/>
      <w:spacing w:after="0" w:line="240" w:lineRule="auto"/>
    </w:pPr>
    <w:rPr>
      <w:rFonts w:asciiTheme="minorHAnsi" w:eastAsiaTheme="minorHAnsi" w:hAnsiTheme="minorHAnsi" w:cstheme="minorBidi"/>
      <w:lang w:val="en-US"/>
    </w:rPr>
  </w:style>
  <w:style w:type="paragraph" w:styleId="NoSpacing">
    <w:name w:val="No Spacing"/>
    <w:uiPriority w:val="1"/>
    <w:qFormat/>
    <w:rsid w:val="00351576"/>
    <w:pPr>
      <w:spacing w:after="0" w:line="240" w:lineRule="auto"/>
    </w:pPr>
    <w:rPr>
      <w:rFonts w:ascii="Calibri" w:eastAsia="Times New Roman" w:hAnsi="Calibri" w:cs="Times New Roman"/>
    </w:rPr>
  </w:style>
  <w:style w:type="paragraph" w:customStyle="1" w:styleId="Subtitle1">
    <w:name w:val="Subtitle1"/>
    <w:basedOn w:val="Normal"/>
    <w:rsid w:val="00351576"/>
    <w:pPr>
      <w:spacing w:after="0" w:line="520" w:lineRule="exact"/>
    </w:pPr>
    <w:rPr>
      <w:rFonts w:ascii="Helvetica" w:hAnsi="Helvetica"/>
      <w:b/>
      <w:bCs/>
      <w:sz w:val="32"/>
      <w:szCs w:val="32"/>
      <w:lang w:val="en-GB" w:bidi="he-IL"/>
    </w:rPr>
  </w:style>
  <w:style w:type="character" w:styleId="Emphasis">
    <w:name w:val="Emphasis"/>
    <w:basedOn w:val="DefaultParagraphFont"/>
    <w:uiPriority w:val="20"/>
    <w:qFormat/>
    <w:rsid w:val="00351576"/>
    <w:rPr>
      <w:i/>
      <w:iCs/>
    </w:rPr>
  </w:style>
  <w:style w:type="paragraph" w:styleId="Title">
    <w:name w:val="Title"/>
    <w:basedOn w:val="Normal"/>
    <w:next w:val="Normal"/>
    <w:link w:val="TitleChar"/>
    <w:uiPriority w:val="10"/>
    <w:qFormat/>
    <w:rsid w:val="003515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1576"/>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334990"/>
    <w:rPr>
      <w:b/>
      <w:bCs/>
      <w:i/>
      <w:iCs/>
      <w:color w:val="4F81BD" w:themeColor="accent1"/>
    </w:rPr>
  </w:style>
  <w:style w:type="paragraph" w:styleId="IntenseQuote">
    <w:name w:val="Intense Quote"/>
    <w:basedOn w:val="Normal"/>
    <w:next w:val="Normal"/>
    <w:link w:val="IntenseQuoteChar"/>
    <w:uiPriority w:val="30"/>
    <w:qFormat/>
    <w:rsid w:val="0033499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34990"/>
    <w:rPr>
      <w:rFonts w:ascii="Calibri" w:eastAsia="Times New Roman" w:hAnsi="Calibri" w:cs="Times New Roman"/>
      <w:b/>
      <w:bCs/>
      <w:i/>
      <w:iCs/>
      <w:color w:val="4F81BD" w:themeColor="accent1"/>
    </w:rPr>
  </w:style>
  <w:style w:type="paragraph" w:customStyle="1" w:styleId="cn">
    <w:name w:val="cn"/>
    <w:basedOn w:val="Normal"/>
    <w:rsid w:val="007F0007"/>
    <w:pPr>
      <w:spacing w:after="0" w:line="240" w:lineRule="auto"/>
      <w:jc w:val="center"/>
    </w:pPr>
    <w:rPr>
      <w:rFonts w:ascii="Times New Roman" w:hAnsi="Times New Roman"/>
      <w:sz w:val="24"/>
      <w:szCs w:val="24"/>
      <w:lang w:eastAsia="ru-RU"/>
    </w:rPr>
  </w:style>
  <w:style w:type="paragraph" w:customStyle="1" w:styleId="pb">
    <w:name w:val="pb"/>
    <w:basedOn w:val="Normal"/>
    <w:rsid w:val="007F0007"/>
    <w:pPr>
      <w:spacing w:after="0" w:line="240" w:lineRule="auto"/>
      <w:jc w:val="center"/>
    </w:pPr>
    <w:rPr>
      <w:rFonts w:ascii="Times New Roman" w:hAnsi="Times New Roman"/>
      <w:i/>
      <w:iCs/>
      <w:color w:val="663300"/>
      <w:sz w:val="20"/>
      <w:szCs w:val="20"/>
      <w:lang w:eastAsia="ru-RU"/>
    </w:rPr>
  </w:style>
  <w:style w:type="table" w:styleId="TableGrid">
    <w:name w:val="Table Grid"/>
    <w:basedOn w:val="TableNormal"/>
    <w:uiPriority w:val="59"/>
    <w:rsid w:val="000E4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717CF"/>
    <w:rPr>
      <w:sz w:val="16"/>
      <w:szCs w:val="16"/>
    </w:rPr>
  </w:style>
  <w:style w:type="paragraph" w:styleId="CommentText">
    <w:name w:val="annotation text"/>
    <w:basedOn w:val="Normal"/>
    <w:link w:val="CommentTextChar"/>
    <w:uiPriority w:val="99"/>
    <w:semiHidden/>
    <w:unhideWhenUsed/>
    <w:rsid w:val="00C717CF"/>
    <w:pPr>
      <w:spacing w:line="240" w:lineRule="auto"/>
    </w:pPr>
    <w:rPr>
      <w:sz w:val="20"/>
      <w:szCs w:val="20"/>
    </w:rPr>
  </w:style>
  <w:style w:type="character" w:customStyle="1" w:styleId="CommentTextChar">
    <w:name w:val="Comment Text Char"/>
    <w:basedOn w:val="DefaultParagraphFont"/>
    <w:link w:val="CommentText"/>
    <w:uiPriority w:val="99"/>
    <w:semiHidden/>
    <w:rsid w:val="00C717C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17CF"/>
    <w:rPr>
      <w:b/>
      <w:bCs/>
    </w:rPr>
  </w:style>
  <w:style w:type="character" w:customStyle="1" w:styleId="CommentSubjectChar">
    <w:name w:val="Comment Subject Char"/>
    <w:basedOn w:val="CommentTextChar"/>
    <w:link w:val="CommentSubject"/>
    <w:uiPriority w:val="99"/>
    <w:semiHidden/>
    <w:rsid w:val="00C717CF"/>
    <w:rPr>
      <w:rFonts w:ascii="Calibri" w:eastAsia="Times New Roman" w:hAnsi="Calibri" w:cs="Times New Roman"/>
      <w:b/>
      <w:bCs/>
      <w:sz w:val="20"/>
      <w:szCs w:val="20"/>
    </w:rPr>
  </w:style>
  <w:style w:type="paragraph" w:styleId="Subtitle">
    <w:name w:val="Subtitle"/>
    <w:basedOn w:val="Normal"/>
    <w:next w:val="Normal"/>
    <w:link w:val="SubtitleChar"/>
    <w:uiPriority w:val="11"/>
    <w:qFormat/>
    <w:rsid w:val="009622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2283"/>
    <w:rPr>
      <w:rFonts w:asciiTheme="majorHAnsi" w:eastAsiaTheme="majorEastAsia" w:hAnsiTheme="majorHAnsi" w:cstheme="majorBidi"/>
      <w:i/>
      <w:iCs/>
      <w:color w:val="4F81BD" w:themeColor="accent1"/>
      <w:spacing w:val="15"/>
      <w:sz w:val="24"/>
      <w:szCs w:val="24"/>
    </w:rPr>
  </w:style>
  <w:style w:type="paragraph" w:styleId="EndnoteText">
    <w:name w:val="endnote text"/>
    <w:basedOn w:val="Normal"/>
    <w:link w:val="EndnoteTextChar"/>
    <w:uiPriority w:val="99"/>
    <w:semiHidden/>
    <w:unhideWhenUsed/>
    <w:rsid w:val="008721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213F"/>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87213F"/>
    <w:rPr>
      <w:vertAlign w:val="superscript"/>
    </w:rPr>
  </w:style>
  <w:style w:type="character" w:styleId="Hyperlink">
    <w:name w:val="Hyperlink"/>
    <w:basedOn w:val="DefaultParagraphFont"/>
    <w:uiPriority w:val="99"/>
    <w:unhideWhenUsed/>
    <w:rsid w:val="00D0551A"/>
    <w:rPr>
      <w:color w:val="0000FF" w:themeColor="hyperlink"/>
      <w:u w:val="single"/>
    </w:rPr>
  </w:style>
  <w:style w:type="paragraph" w:styleId="BodyTextIndent">
    <w:name w:val="Body Text Indent"/>
    <w:basedOn w:val="Normal"/>
    <w:link w:val="BodyTextIndentChar"/>
    <w:uiPriority w:val="99"/>
    <w:unhideWhenUsed/>
    <w:rsid w:val="00AB0D09"/>
    <w:pPr>
      <w:spacing w:after="120"/>
      <w:ind w:left="283"/>
    </w:pPr>
  </w:style>
  <w:style w:type="character" w:customStyle="1" w:styleId="BodyTextIndentChar">
    <w:name w:val="Body Text Indent Char"/>
    <w:basedOn w:val="DefaultParagraphFont"/>
    <w:link w:val="BodyTextIndent"/>
    <w:uiPriority w:val="99"/>
    <w:rsid w:val="00AB0D09"/>
    <w:rPr>
      <w:rFonts w:ascii="Calibri" w:eastAsia="Times New Roman" w:hAnsi="Calibri" w:cs="Times New Roman"/>
    </w:rPr>
  </w:style>
  <w:style w:type="paragraph" w:styleId="FootnoteText">
    <w:name w:val="footnote text"/>
    <w:basedOn w:val="Normal"/>
    <w:link w:val="FootnoteTextChar"/>
    <w:uiPriority w:val="99"/>
    <w:semiHidden/>
    <w:unhideWhenUsed/>
    <w:rsid w:val="008172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28E"/>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1728E"/>
    <w:rPr>
      <w:vertAlign w:val="superscript"/>
    </w:rPr>
  </w:style>
  <w:style w:type="character" w:styleId="Strong">
    <w:name w:val="Strong"/>
    <w:basedOn w:val="DefaultParagraphFont"/>
    <w:qFormat/>
    <w:rsid w:val="000A2B44"/>
    <w:rPr>
      <w:b/>
      <w:bCs/>
    </w:rPr>
  </w:style>
  <w:style w:type="character" w:customStyle="1" w:styleId="def">
    <w:name w:val="def"/>
    <w:basedOn w:val="DefaultParagraphFont"/>
    <w:rsid w:val="00A45CBA"/>
  </w:style>
  <w:style w:type="paragraph" w:customStyle="1" w:styleId="tt">
    <w:name w:val="tt"/>
    <w:basedOn w:val="Normal"/>
    <w:rsid w:val="0076220B"/>
    <w:pPr>
      <w:spacing w:after="0" w:line="240" w:lineRule="auto"/>
      <w:jc w:val="center"/>
    </w:pPr>
    <w:rPr>
      <w:rFonts w:ascii="Times New Roman" w:hAnsi="Times New Roman"/>
      <w:b/>
      <w:bCs/>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1910">
      <w:bodyDiv w:val="1"/>
      <w:marLeft w:val="0"/>
      <w:marRight w:val="0"/>
      <w:marTop w:val="0"/>
      <w:marBottom w:val="0"/>
      <w:divBdr>
        <w:top w:val="none" w:sz="0" w:space="0" w:color="auto"/>
        <w:left w:val="none" w:sz="0" w:space="0" w:color="auto"/>
        <w:bottom w:val="none" w:sz="0" w:space="0" w:color="auto"/>
        <w:right w:val="none" w:sz="0" w:space="0" w:color="auto"/>
      </w:divBdr>
    </w:div>
    <w:div w:id="163864427">
      <w:bodyDiv w:val="1"/>
      <w:marLeft w:val="0"/>
      <w:marRight w:val="0"/>
      <w:marTop w:val="0"/>
      <w:marBottom w:val="0"/>
      <w:divBdr>
        <w:top w:val="none" w:sz="0" w:space="0" w:color="auto"/>
        <w:left w:val="none" w:sz="0" w:space="0" w:color="auto"/>
        <w:bottom w:val="none" w:sz="0" w:space="0" w:color="auto"/>
        <w:right w:val="none" w:sz="0" w:space="0" w:color="auto"/>
      </w:divBdr>
    </w:div>
    <w:div w:id="221907993">
      <w:bodyDiv w:val="1"/>
      <w:marLeft w:val="0"/>
      <w:marRight w:val="0"/>
      <w:marTop w:val="0"/>
      <w:marBottom w:val="0"/>
      <w:divBdr>
        <w:top w:val="none" w:sz="0" w:space="0" w:color="auto"/>
        <w:left w:val="none" w:sz="0" w:space="0" w:color="auto"/>
        <w:bottom w:val="none" w:sz="0" w:space="0" w:color="auto"/>
        <w:right w:val="none" w:sz="0" w:space="0" w:color="auto"/>
      </w:divBdr>
    </w:div>
    <w:div w:id="241648600">
      <w:bodyDiv w:val="1"/>
      <w:marLeft w:val="0"/>
      <w:marRight w:val="0"/>
      <w:marTop w:val="0"/>
      <w:marBottom w:val="0"/>
      <w:divBdr>
        <w:top w:val="none" w:sz="0" w:space="0" w:color="auto"/>
        <w:left w:val="none" w:sz="0" w:space="0" w:color="auto"/>
        <w:bottom w:val="none" w:sz="0" w:space="0" w:color="auto"/>
        <w:right w:val="none" w:sz="0" w:space="0" w:color="auto"/>
      </w:divBdr>
    </w:div>
    <w:div w:id="350184069">
      <w:bodyDiv w:val="1"/>
      <w:marLeft w:val="0"/>
      <w:marRight w:val="0"/>
      <w:marTop w:val="0"/>
      <w:marBottom w:val="0"/>
      <w:divBdr>
        <w:top w:val="none" w:sz="0" w:space="0" w:color="auto"/>
        <w:left w:val="none" w:sz="0" w:space="0" w:color="auto"/>
        <w:bottom w:val="none" w:sz="0" w:space="0" w:color="auto"/>
        <w:right w:val="none" w:sz="0" w:space="0" w:color="auto"/>
      </w:divBdr>
    </w:div>
    <w:div w:id="413091018">
      <w:bodyDiv w:val="1"/>
      <w:marLeft w:val="0"/>
      <w:marRight w:val="0"/>
      <w:marTop w:val="0"/>
      <w:marBottom w:val="0"/>
      <w:divBdr>
        <w:top w:val="none" w:sz="0" w:space="0" w:color="auto"/>
        <w:left w:val="none" w:sz="0" w:space="0" w:color="auto"/>
        <w:bottom w:val="none" w:sz="0" w:space="0" w:color="auto"/>
        <w:right w:val="none" w:sz="0" w:space="0" w:color="auto"/>
      </w:divBdr>
    </w:div>
    <w:div w:id="493186900">
      <w:bodyDiv w:val="1"/>
      <w:marLeft w:val="0"/>
      <w:marRight w:val="0"/>
      <w:marTop w:val="0"/>
      <w:marBottom w:val="0"/>
      <w:divBdr>
        <w:top w:val="none" w:sz="0" w:space="0" w:color="auto"/>
        <w:left w:val="none" w:sz="0" w:space="0" w:color="auto"/>
        <w:bottom w:val="none" w:sz="0" w:space="0" w:color="auto"/>
        <w:right w:val="none" w:sz="0" w:space="0" w:color="auto"/>
      </w:divBdr>
    </w:div>
    <w:div w:id="661393945">
      <w:bodyDiv w:val="1"/>
      <w:marLeft w:val="0"/>
      <w:marRight w:val="0"/>
      <w:marTop w:val="0"/>
      <w:marBottom w:val="0"/>
      <w:divBdr>
        <w:top w:val="none" w:sz="0" w:space="0" w:color="auto"/>
        <w:left w:val="none" w:sz="0" w:space="0" w:color="auto"/>
        <w:bottom w:val="none" w:sz="0" w:space="0" w:color="auto"/>
        <w:right w:val="none" w:sz="0" w:space="0" w:color="auto"/>
      </w:divBdr>
    </w:div>
    <w:div w:id="671572352">
      <w:bodyDiv w:val="1"/>
      <w:marLeft w:val="0"/>
      <w:marRight w:val="0"/>
      <w:marTop w:val="0"/>
      <w:marBottom w:val="0"/>
      <w:divBdr>
        <w:top w:val="none" w:sz="0" w:space="0" w:color="auto"/>
        <w:left w:val="none" w:sz="0" w:space="0" w:color="auto"/>
        <w:bottom w:val="none" w:sz="0" w:space="0" w:color="auto"/>
        <w:right w:val="none" w:sz="0" w:space="0" w:color="auto"/>
      </w:divBdr>
    </w:div>
    <w:div w:id="689842726">
      <w:bodyDiv w:val="1"/>
      <w:marLeft w:val="0"/>
      <w:marRight w:val="0"/>
      <w:marTop w:val="0"/>
      <w:marBottom w:val="0"/>
      <w:divBdr>
        <w:top w:val="none" w:sz="0" w:space="0" w:color="auto"/>
        <w:left w:val="none" w:sz="0" w:space="0" w:color="auto"/>
        <w:bottom w:val="none" w:sz="0" w:space="0" w:color="auto"/>
        <w:right w:val="none" w:sz="0" w:space="0" w:color="auto"/>
      </w:divBdr>
    </w:div>
    <w:div w:id="813647779">
      <w:bodyDiv w:val="1"/>
      <w:marLeft w:val="0"/>
      <w:marRight w:val="0"/>
      <w:marTop w:val="0"/>
      <w:marBottom w:val="0"/>
      <w:divBdr>
        <w:top w:val="none" w:sz="0" w:space="0" w:color="auto"/>
        <w:left w:val="none" w:sz="0" w:space="0" w:color="auto"/>
        <w:bottom w:val="none" w:sz="0" w:space="0" w:color="auto"/>
        <w:right w:val="none" w:sz="0" w:space="0" w:color="auto"/>
      </w:divBdr>
    </w:div>
    <w:div w:id="827671882">
      <w:bodyDiv w:val="1"/>
      <w:marLeft w:val="0"/>
      <w:marRight w:val="0"/>
      <w:marTop w:val="0"/>
      <w:marBottom w:val="0"/>
      <w:divBdr>
        <w:top w:val="none" w:sz="0" w:space="0" w:color="auto"/>
        <w:left w:val="none" w:sz="0" w:space="0" w:color="auto"/>
        <w:bottom w:val="none" w:sz="0" w:space="0" w:color="auto"/>
        <w:right w:val="none" w:sz="0" w:space="0" w:color="auto"/>
      </w:divBdr>
    </w:div>
    <w:div w:id="911280255">
      <w:bodyDiv w:val="1"/>
      <w:marLeft w:val="0"/>
      <w:marRight w:val="0"/>
      <w:marTop w:val="0"/>
      <w:marBottom w:val="0"/>
      <w:divBdr>
        <w:top w:val="none" w:sz="0" w:space="0" w:color="auto"/>
        <w:left w:val="none" w:sz="0" w:space="0" w:color="auto"/>
        <w:bottom w:val="none" w:sz="0" w:space="0" w:color="auto"/>
        <w:right w:val="none" w:sz="0" w:space="0" w:color="auto"/>
      </w:divBdr>
    </w:div>
    <w:div w:id="915438483">
      <w:bodyDiv w:val="1"/>
      <w:marLeft w:val="0"/>
      <w:marRight w:val="0"/>
      <w:marTop w:val="0"/>
      <w:marBottom w:val="0"/>
      <w:divBdr>
        <w:top w:val="none" w:sz="0" w:space="0" w:color="auto"/>
        <w:left w:val="none" w:sz="0" w:space="0" w:color="auto"/>
        <w:bottom w:val="none" w:sz="0" w:space="0" w:color="auto"/>
        <w:right w:val="none" w:sz="0" w:space="0" w:color="auto"/>
      </w:divBdr>
    </w:div>
    <w:div w:id="930548221">
      <w:bodyDiv w:val="1"/>
      <w:marLeft w:val="0"/>
      <w:marRight w:val="0"/>
      <w:marTop w:val="0"/>
      <w:marBottom w:val="0"/>
      <w:divBdr>
        <w:top w:val="none" w:sz="0" w:space="0" w:color="auto"/>
        <w:left w:val="none" w:sz="0" w:space="0" w:color="auto"/>
        <w:bottom w:val="none" w:sz="0" w:space="0" w:color="auto"/>
        <w:right w:val="none" w:sz="0" w:space="0" w:color="auto"/>
      </w:divBdr>
    </w:div>
    <w:div w:id="950625088">
      <w:bodyDiv w:val="1"/>
      <w:marLeft w:val="0"/>
      <w:marRight w:val="0"/>
      <w:marTop w:val="0"/>
      <w:marBottom w:val="0"/>
      <w:divBdr>
        <w:top w:val="none" w:sz="0" w:space="0" w:color="auto"/>
        <w:left w:val="none" w:sz="0" w:space="0" w:color="auto"/>
        <w:bottom w:val="none" w:sz="0" w:space="0" w:color="auto"/>
        <w:right w:val="none" w:sz="0" w:space="0" w:color="auto"/>
      </w:divBdr>
    </w:div>
    <w:div w:id="1019235710">
      <w:bodyDiv w:val="1"/>
      <w:marLeft w:val="0"/>
      <w:marRight w:val="0"/>
      <w:marTop w:val="0"/>
      <w:marBottom w:val="0"/>
      <w:divBdr>
        <w:top w:val="none" w:sz="0" w:space="0" w:color="auto"/>
        <w:left w:val="none" w:sz="0" w:space="0" w:color="auto"/>
        <w:bottom w:val="none" w:sz="0" w:space="0" w:color="auto"/>
        <w:right w:val="none" w:sz="0" w:space="0" w:color="auto"/>
      </w:divBdr>
    </w:div>
    <w:div w:id="1098063802">
      <w:bodyDiv w:val="1"/>
      <w:marLeft w:val="0"/>
      <w:marRight w:val="0"/>
      <w:marTop w:val="0"/>
      <w:marBottom w:val="0"/>
      <w:divBdr>
        <w:top w:val="none" w:sz="0" w:space="0" w:color="auto"/>
        <w:left w:val="none" w:sz="0" w:space="0" w:color="auto"/>
        <w:bottom w:val="none" w:sz="0" w:space="0" w:color="auto"/>
        <w:right w:val="none" w:sz="0" w:space="0" w:color="auto"/>
      </w:divBdr>
    </w:div>
    <w:div w:id="1098793484">
      <w:bodyDiv w:val="1"/>
      <w:marLeft w:val="0"/>
      <w:marRight w:val="0"/>
      <w:marTop w:val="0"/>
      <w:marBottom w:val="0"/>
      <w:divBdr>
        <w:top w:val="none" w:sz="0" w:space="0" w:color="auto"/>
        <w:left w:val="none" w:sz="0" w:space="0" w:color="auto"/>
        <w:bottom w:val="none" w:sz="0" w:space="0" w:color="auto"/>
        <w:right w:val="none" w:sz="0" w:space="0" w:color="auto"/>
      </w:divBdr>
    </w:div>
    <w:div w:id="1166215362">
      <w:bodyDiv w:val="1"/>
      <w:marLeft w:val="0"/>
      <w:marRight w:val="0"/>
      <w:marTop w:val="0"/>
      <w:marBottom w:val="0"/>
      <w:divBdr>
        <w:top w:val="none" w:sz="0" w:space="0" w:color="auto"/>
        <w:left w:val="none" w:sz="0" w:space="0" w:color="auto"/>
        <w:bottom w:val="none" w:sz="0" w:space="0" w:color="auto"/>
        <w:right w:val="none" w:sz="0" w:space="0" w:color="auto"/>
      </w:divBdr>
    </w:div>
    <w:div w:id="1209412847">
      <w:bodyDiv w:val="1"/>
      <w:marLeft w:val="0"/>
      <w:marRight w:val="0"/>
      <w:marTop w:val="0"/>
      <w:marBottom w:val="0"/>
      <w:divBdr>
        <w:top w:val="none" w:sz="0" w:space="0" w:color="auto"/>
        <w:left w:val="none" w:sz="0" w:space="0" w:color="auto"/>
        <w:bottom w:val="none" w:sz="0" w:space="0" w:color="auto"/>
        <w:right w:val="none" w:sz="0" w:space="0" w:color="auto"/>
      </w:divBdr>
    </w:div>
    <w:div w:id="1218589109">
      <w:bodyDiv w:val="1"/>
      <w:marLeft w:val="0"/>
      <w:marRight w:val="0"/>
      <w:marTop w:val="0"/>
      <w:marBottom w:val="0"/>
      <w:divBdr>
        <w:top w:val="none" w:sz="0" w:space="0" w:color="auto"/>
        <w:left w:val="none" w:sz="0" w:space="0" w:color="auto"/>
        <w:bottom w:val="none" w:sz="0" w:space="0" w:color="auto"/>
        <w:right w:val="none" w:sz="0" w:space="0" w:color="auto"/>
      </w:divBdr>
    </w:div>
    <w:div w:id="1264146581">
      <w:bodyDiv w:val="1"/>
      <w:marLeft w:val="0"/>
      <w:marRight w:val="0"/>
      <w:marTop w:val="0"/>
      <w:marBottom w:val="0"/>
      <w:divBdr>
        <w:top w:val="none" w:sz="0" w:space="0" w:color="auto"/>
        <w:left w:val="none" w:sz="0" w:space="0" w:color="auto"/>
        <w:bottom w:val="none" w:sz="0" w:space="0" w:color="auto"/>
        <w:right w:val="none" w:sz="0" w:space="0" w:color="auto"/>
      </w:divBdr>
    </w:div>
    <w:div w:id="1275596604">
      <w:bodyDiv w:val="1"/>
      <w:marLeft w:val="0"/>
      <w:marRight w:val="0"/>
      <w:marTop w:val="0"/>
      <w:marBottom w:val="0"/>
      <w:divBdr>
        <w:top w:val="none" w:sz="0" w:space="0" w:color="auto"/>
        <w:left w:val="none" w:sz="0" w:space="0" w:color="auto"/>
        <w:bottom w:val="none" w:sz="0" w:space="0" w:color="auto"/>
        <w:right w:val="none" w:sz="0" w:space="0" w:color="auto"/>
      </w:divBdr>
    </w:div>
    <w:div w:id="1278021619">
      <w:bodyDiv w:val="1"/>
      <w:marLeft w:val="0"/>
      <w:marRight w:val="0"/>
      <w:marTop w:val="0"/>
      <w:marBottom w:val="0"/>
      <w:divBdr>
        <w:top w:val="none" w:sz="0" w:space="0" w:color="auto"/>
        <w:left w:val="none" w:sz="0" w:space="0" w:color="auto"/>
        <w:bottom w:val="none" w:sz="0" w:space="0" w:color="auto"/>
        <w:right w:val="none" w:sz="0" w:space="0" w:color="auto"/>
      </w:divBdr>
    </w:div>
    <w:div w:id="1292637458">
      <w:bodyDiv w:val="1"/>
      <w:marLeft w:val="0"/>
      <w:marRight w:val="0"/>
      <w:marTop w:val="0"/>
      <w:marBottom w:val="0"/>
      <w:divBdr>
        <w:top w:val="none" w:sz="0" w:space="0" w:color="auto"/>
        <w:left w:val="none" w:sz="0" w:space="0" w:color="auto"/>
        <w:bottom w:val="none" w:sz="0" w:space="0" w:color="auto"/>
        <w:right w:val="none" w:sz="0" w:space="0" w:color="auto"/>
      </w:divBdr>
    </w:div>
    <w:div w:id="1294288392">
      <w:bodyDiv w:val="1"/>
      <w:marLeft w:val="0"/>
      <w:marRight w:val="0"/>
      <w:marTop w:val="0"/>
      <w:marBottom w:val="0"/>
      <w:divBdr>
        <w:top w:val="none" w:sz="0" w:space="0" w:color="auto"/>
        <w:left w:val="none" w:sz="0" w:space="0" w:color="auto"/>
        <w:bottom w:val="none" w:sz="0" w:space="0" w:color="auto"/>
        <w:right w:val="none" w:sz="0" w:space="0" w:color="auto"/>
      </w:divBdr>
    </w:div>
    <w:div w:id="1319116463">
      <w:bodyDiv w:val="1"/>
      <w:marLeft w:val="0"/>
      <w:marRight w:val="0"/>
      <w:marTop w:val="0"/>
      <w:marBottom w:val="0"/>
      <w:divBdr>
        <w:top w:val="none" w:sz="0" w:space="0" w:color="auto"/>
        <w:left w:val="none" w:sz="0" w:space="0" w:color="auto"/>
        <w:bottom w:val="none" w:sz="0" w:space="0" w:color="auto"/>
        <w:right w:val="none" w:sz="0" w:space="0" w:color="auto"/>
      </w:divBdr>
    </w:div>
    <w:div w:id="1401251959">
      <w:bodyDiv w:val="1"/>
      <w:marLeft w:val="0"/>
      <w:marRight w:val="0"/>
      <w:marTop w:val="0"/>
      <w:marBottom w:val="0"/>
      <w:divBdr>
        <w:top w:val="none" w:sz="0" w:space="0" w:color="auto"/>
        <w:left w:val="none" w:sz="0" w:space="0" w:color="auto"/>
        <w:bottom w:val="none" w:sz="0" w:space="0" w:color="auto"/>
        <w:right w:val="none" w:sz="0" w:space="0" w:color="auto"/>
      </w:divBdr>
    </w:div>
    <w:div w:id="1541699123">
      <w:bodyDiv w:val="1"/>
      <w:marLeft w:val="0"/>
      <w:marRight w:val="0"/>
      <w:marTop w:val="0"/>
      <w:marBottom w:val="0"/>
      <w:divBdr>
        <w:top w:val="none" w:sz="0" w:space="0" w:color="auto"/>
        <w:left w:val="none" w:sz="0" w:space="0" w:color="auto"/>
        <w:bottom w:val="none" w:sz="0" w:space="0" w:color="auto"/>
        <w:right w:val="none" w:sz="0" w:space="0" w:color="auto"/>
      </w:divBdr>
    </w:div>
    <w:div w:id="1594819607">
      <w:bodyDiv w:val="1"/>
      <w:marLeft w:val="0"/>
      <w:marRight w:val="0"/>
      <w:marTop w:val="0"/>
      <w:marBottom w:val="0"/>
      <w:divBdr>
        <w:top w:val="none" w:sz="0" w:space="0" w:color="auto"/>
        <w:left w:val="none" w:sz="0" w:space="0" w:color="auto"/>
        <w:bottom w:val="none" w:sz="0" w:space="0" w:color="auto"/>
        <w:right w:val="none" w:sz="0" w:space="0" w:color="auto"/>
      </w:divBdr>
      <w:divsChild>
        <w:div w:id="645819609">
          <w:marLeft w:val="0"/>
          <w:marRight w:val="0"/>
          <w:marTop w:val="0"/>
          <w:marBottom w:val="0"/>
          <w:divBdr>
            <w:top w:val="none" w:sz="0" w:space="0" w:color="auto"/>
            <w:left w:val="none" w:sz="0" w:space="0" w:color="auto"/>
            <w:bottom w:val="none" w:sz="0" w:space="0" w:color="auto"/>
            <w:right w:val="none" w:sz="0" w:space="0" w:color="auto"/>
          </w:divBdr>
        </w:div>
        <w:div w:id="1685547021">
          <w:marLeft w:val="0"/>
          <w:marRight w:val="0"/>
          <w:marTop w:val="0"/>
          <w:marBottom w:val="0"/>
          <w:divBdr>
            <w:top w:val="none" w:sz="0" w:space="0" w:color="auto"/>
            <w:left w:val="none" w:sz="0" w:space="0" w:color="auto"/>
            <w:bottom w:val="none" w:sz="0" w:space="0" w:color="auto"/>
            <w:right w:val="none" w:sz="0" w:space="0" w:color="auto"/>
          </w:divBdr>
        </w:div>
      </w:divsChild>
    </w:div>
    <w:div w:id="1629432418">
      <w:bodyDiv w:val="1"/>
      <w:marLeft w:val="0"/>
      <w:marRight w:val="0"/>
      <w:marTop w:val="0"/>
      <w:marBottom w:val="0"/>
      <w:divBdr>
        <w:top w:val="none" w:sz="0" w:space="0" w:color="auto"/>
        <w:left w:val="none" w:sz="0" w:space="0" w:color="auto"/>
        <w:bottom w:val="none" w:sz="0" w:space="0" w:color="auto"/>
        <w:right w:val="none" w:sz="0" w:space="0" w:color="auto"/>
      </w:divBdr>
    </w:div>
    <w:div w:id="1666397236">
      <w:bodyDiv w:val="1"/>
      <w:marLeft w:val="0"/>
      <w:marRight w:val="0"/>
      <w:marTop w:val="0"/>
      <w:marBottom w:val="0"/>
      <w:divBdr>
        <w:top w:val="none" w:sz="0" w:space="0" w:color="auto"/>
        <w:left w:val="none" w:sz="0" w:space="0" w:color="auto"/>
        <w:bottom w:val="none" w:sz="0" w:space="0" w:color="auto"/>
        <w:right w:val="none" w:sz="0" w:space="0" w:color="auto"/>
      </w:divBdr>
    </w:div>
    <w:div w:id="1670062000">
      <w:bodyDiv w:val="1"/>
      <w:marLeft w:val="0"/>
      <w:marRight w:val="0"/>
      <w:marTop w:val="0"/>
      <w:marBottom w:val="0"/>
      <w:divBdr>
        <w:top w:val="none" w:sz="0" w:space="0" w:color="auto"/>
        <w:left w:val="none" w:sz="0" w:space="0" w:color="auto"/>
        <w:bottom w:val="none" w:sz="0" w:space="0" w:color="auto"/>
        <w:right w:val="none" w:sz="0" w:space="0" w:color="auto"/>
      </w:divBdr>
    </w:div>
    <w:div w:id="2039620535">
      <w:bodyDiv w:val="1"/>
      <w:marLeft w:val="0"/>
      <w:marRight w:val="0"/>
      <w:marTop w:val="0"/>
      <w:marBottom w:val="0"/>
      <w:divBdr>
        <w:top w:val="none" w:sz="0" w:space="0" w:color="auto"/>
        <w:left w:val="none" w:sz="0" w:space="0" w:color="auto"/>
        <w:bottom w:val="none" w:sz="0" w:space="0" w:color="auto"/>
        <w:right w:val="none" w:sz="0" w:space="0" w:color="auto"/>
      </w:divBdr>
    </w:div>
    <w:div w:id="208326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BCBF5-9050-40E4-8299-71B1F083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1350</Words>
  <Characters>7696</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ORANGE FT Group</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2020-01-16T06:52:00Z</cp:lastPrinted>
  <dcterms:created xsi:type="dcterms:W3CDTF">2020-01-15T14:25:00Z</dcterms:created>
  <dcterms:modified xsi:type="dcterms:W3CDTF">2020-01-16T09:57:00Z</dcterms:modified>
</cp:coreProperties>
</file>