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09" w:rsidRPr="00B85F15" w:rsidRDefault="00A164BD" w:rsidP="00D05109">
      <w:pPr>
        <w:keepNext/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ro-MO"/>
        </w:rPr>
      </w:pPr>
      <w:bookmarkStart w:id="0" w:name="_GoBack"/>
      <w:bookmarkEnd w:id="0"/>
      <w:r w:rsidRPr="00B85F15">
        <w:rPr>
          <w:rFonts w:ascii="Times New Roman" w:hAnsi="Times New Roman" w:cs="Times New Roman"/>
          <w:b/>
          <w:sz w:val="26"/>
          <w:szCs w:val="26"/>
          <w:lang w:val="ro-MO"/>
        </w:rPr>
        <w:t>N</w:t>
      </w:r>
      <w:r w:rsidR="00D05109" w:rsidRPr="00B85F15">
        <w:rPr>
          <w:rFonts w:ascii="Times New Roman" w:hAnsi="Times New Roman" w:cs="Times New Roman"/>
          <w:b/>
          <w:sz w:val="26"/>
          <w:szCs w:val="26"/>
          <w:lang w:val="ro-MO"/>
        </w:rPr>
        <w:t>OTĂ INFORMATIVĂ</w:t>
      </w:r>
    </w:p>
    <w:p w:rsidR="00D05109" w:rsidRPr="00DD6F1A" w:rsidRDefault="00B26969" w:rsidP="00D05109">
      <w:pPr>
        <w:pStyle w:val="tt"/>
        <w:rPr>
          <w:sz w:val="26"/>
          <w:szCs w:val="26"/>
          <w:lang w:val="ro-MO"/>
        </w:rPr>
      </w:pPr>
      <w:r w:rsidRPr="00DD6F1A">
        <w:rPr>
          <w:sz w:val="26"/>
          <w:szCs w:val="26"/>
          <w:lang w:val="ro-MO"/>
        </w:rPr>
        <w:t>la proiectul Hotărâ</w:t>
      </w:r>
      <w:r w:rsidR="00D05109" w:rsidRPr="00DD6F1A">
        <w:rPr>
          <w:sz w:val="26"/>
          <w:szCs w:val="26"/>
          <w:lang w:val="ro-MO"/>
        </w:rPr>
        <w:t xml:space="preserve">rii Consiliului de Administrație al ANRCETI </w:t>
      </w:r>
      <w:r w:rsidRPr="00DD6F1A">
        <w:rPr>
          <w:sz w:val="26"/>
          <w:szCs w:val="26"/>
          <w:lang w:val="ro-MO"/>
        </w:rPr>
        <w:t xml:space="preserve"> cu priv</w:t>
      </w:r>
      <w:r w:rsidR="00AF6709" w:rsidRPr="00DD6F1A">
        <w:rPr>
          <w:sz w:val="26"/>
          <w:szCs w:val="26"/>
          <w:lang w:val="ro-MO"/>
        </w:rPr>
        <w:t>ire la modificarea Hotărârii</w:t>
      </w:r>
      <w:r w:rsidR="005A4B69" w:rsidRPr="00DD6F1A">
        <w:rPr>
          <w:sz w:val="26"/>
          <w:szCs w:val="26"/>
          <w:lang w:val="ro-MO"/>
        </w:rPr>
        <w:t xml:space="preserve"> </w:t>
      </w:r>
      <w:r w:rsidR="00AF6709" w:rsidRPr="00DD6F1A">
        <w:rPr>
          <w:sz w:val="26"/>
          <w:szCs w:val="26"/>
          <w:lang w:val="ro-MO"/>
        </w:rPr>
        <w:t>a</w:t>
      </w:r>
      <w:r w:rsidRPr="00DD6F1A">
        <w:rPr>
          <w:sz w:val="26"/>
          <w:szCs w:val="26"/>
          <w:lang w:val="ro-MO"/>
        </w:rPr>
        <w:t xml:space="preserve"> Consiliului de Administraţie</w:t>
      </w:r>
      <w:r w:rsidR="00AF6709" w:rsidRPr="00DD6F1A">
        <w:rPr>
          <w:sz w:val="26"/>
          <w:szCs w:val="26"/>
          <w:lang w:val="ro-MO"/>
        </w:rPr>
        <w:t xml:space="preserve"> </w:t>
      </w:r>
      <w:r w:rsidR="005A4B69" w:rsidRPr="00DD6F1A">
        <w:rPr>
          <w:sz w:val="26"/>
          <w:szCs w:val="26"/>
          <w:lang w:val="ro-MO"/>
        </w:rPr>
        <w:t>nr. 27 din 21.09.</w:t>
      </w:r>
      <w:r w:rsidR="005A4B69" w:rsidRPr="002D1B1F">
        <w:rPr>
          <w:rFonts w:eastAsiaTheme="minorHAnsi"/>
          <w:bCs w:val="0"/>
          <w:sz w:val="26"/>
          <w:szCs w:val="26"/>
          <w:lang w:val="ro-MO" w:eastAsia="en-US"/>
        </w:rPr>
        <w:t xml:space="preserve">2010 </w:t>
      </w:r>
      <w:r w:rsidR="00AF6709" w:rsidRPr="002D1B1F">
        <w:rPr>
          <w:rFonts w:eastAsiaTheme="minorHAnsi"/>
          <w:bCs w:val="0"/>
          <w:sz w:val="26"/>
          <w:szCs w:val="26"/>
          <w:lang w:val="ro-MO" w:eastAsia="en-US"/>
        </w:rPr>
        <w:t>privind aprobarea Procedurii de administrare a resurselor tehnice</w:t>
      </w:r>
      <w:r w:rsidRPr="002D1B1F">
        <w:rPr>
          <w:rFonts w:eastAsiaTheme="minorHAnsi"/>
          <w:bCs w:val="0"/>
          <w:sz w:val="26"/>
          <w:szCs w:val="26"/>
          <w:lang w:val="ro-MO" w:eastAsia="en-US"/>
        </w:rPr>
        <w:t xml:space="preserve"> al Agenţiei Naţion</w:t>
      </w:r>
      <w:r w:rsidRPr="00DD6F1A">
        <w:rPr>
          <w:sz w:val="26"/>
          <w:szCs w:val="26"/>
          <w:lang w:val="ro-MO"/>
        </w:rPr>
        <w:t xml:space="preserve">ale pentru Reglementare </w:t>
      </w:r>
      <w:r w:rsidR="0097456F" w:rsidRPr="00DD6F1A">
        <w:rPr>
          <w:sz w:val="26"/>
          <w:szCs w:val="26"/>
          <w:lang w:val="ro-MO"/>
        </w:rPr>
        <w:t>în Comunicaţii Electronice şi Tehnologia Informaţiei</w:t>
      </w:r>
    </w:p>
    <w:p w:rsidR="00D05109" w:rsidRPr="00B85F15" w:rsidRDefault="00D05109" w:rsidP="00D05109">
      <w:pPr>
        <w:pStyle w:val="tt"/>
        <w:spacing w:line="276" w:lineRule="auto"/>
        <w:rPr>
          <w:b w:val="0"/>
          <w:bCs w:val="0"/>
          <w:sz w:val="26"/>
          <w:szCs w:val="26"/>
          <w:lang w:val="ro-M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5109" w:rsidRPr="00B85F15" w:rsidRDefault="00D05109" w:rsidP="00352C8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O" w:eastAsia="ru-RU"/>
              </w:rPr>
              <w:t xml:space="preserve">Denumirea autorului proiectului 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109" w:rsidRPr="00B85F15" w:rsidRDefault="00D05109" w:rsidP="001B334F">
            <w:pPr>
              <w:pStyle w:val="NormalWeb"/>
              <w:ind w:left="0" w:firstLine="0"/>
              <w:rPr>
                <w:rFonts w:eastAsiaTheme="minorHAnsi"/>
                <w:sz w:val="26"/>
                <w:szCs w:val="26"/>
                <w:lang w:val="ro-MO"/>
              </w:rPr>
            </w:pPr>
            <w:r w:rsidRPr="00B85F15">
              <w:rPr>
                <w:rFonts w:eastAsiaTheme="minorHAnsi"/>
                <w:sz w:val="26"/>
                <w:szCs w:val="26"/>
                <w:lang w:val="ro-MO"/>
              </w:rPr>
              <w:t>Agenţia Naţională pentru Reglementare în Comunicaţii Electronice şi Tehnologia Informaţiei (ANRCETI)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09" w:rsidRPr="00B85F15" w:rsidRDefault="00D05109" w:rsidP="001B334F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  <w:t>Condițiile ce</w:t>
            </w:r>
            <w:r w:rsidR="00E51C4C" w:rsidRPr="00B85F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  <w:t xml:space="preserve"> au impus elaborarea proiectului</w:t>
            </w:r>
            <w:r w:rsidRPr="00B85F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  <w:t xml:space="preserve"> și finalitățile urmărite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6C" w:rsidRPr="00B85F15" w:rsidRDefault="00B85F15" w:rsidP="00AF670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         </w:t>
            </w:r>
            <w:r w:rsidR="00B56C30" w:rsidRPr="00B85F15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Este urmărită actualizarea prevederilor actului normativ aprobat prin Hotărârea Consiliului de Administrație </w:t>
            </w:r>
            <w:r w:rsidR="001B334F" w:rsidRPr="00B85F15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 </w:t>
            </w:r>
            <w:r w:rsidR="00B56C30" w:rsidRPr="00B85F15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al ANRCETI nr.</w:t>
            </w:r>
            <w:r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 </w:t>
            </w:r>
            <w:r w:rsidR="00B56C30" w:rsidRPr="00B85F15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27/2010 privind aprobarea Procedurii de administrare a resurselor tehnice la prevederile Legii comunicațiilor electronice</w:t>
            </w:r>
            <w:r w:rsidRPr="00B85F15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 nr.241/2007</w:t>
            </w:r>
            <w:r w:rsidR="00B56C30" w:rsidRPr="00B85F15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, republicată</w:t>
            </w:r>
            <w:r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 </w:t>
            </w:r>
            <w:r w:rsidR="00B56C30" w:rsidRPr="00B85F15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în Monitorul Oficial al Republicii Moldova, 2017, nr. 399-410, precum și întru asigurarea corespunderii actului normativ prevederilor Legii cu privire la actele normative</w:t>
            </w:r>
            <w:r w:rsidRPr="00B85F15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 nr.</w:t>
            </w:r>
            <w:r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 </w:t>
            </w:r>
            <w:r w:rsidRPr="00B85F15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100/2017</w:t>
            </w:r>
            <w:r w:rsidR="00B56C30" w:rsidRPr="00B85F15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.</w:t>
            </w:r>
          </w:p>
          <w:p w:rsidR="00B56C30" w:rsidRPr="00B85F15" w:rsidRDefault="00B56C30" w:rsidP="00AF6709">
            <w:pPr>
              <w:jc w:val="both"/>
              <w:rPr>
                <w:i/>
                <w:sz w:val="26"/>
                <w:szCs w:val="26"/>
                <w:lang w:val="ro-MO"/>
              </w:rPr>
            </w:pP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5109" w:rsidRPr="00B85F15" w:rsidRDefault="0077126C" w:rsidP="00352C8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sz w:val="26"/>
                <w:szCs w:val="26"/>
                <w:lang w:val="ro-MO"/>
              </w:rPr>
            </w:pPr>
            <w:r w:rsidRPr="00B85F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  <w:t xml:space="preserve">    </w:t>
            </w:r>
            <w:r w:rsidR="00E51C4C" w:rsidRPr="00B85F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  <w:t>Principalele prevederi ale proiectului</w:t>
            </w:r>
            <w:r w:rsidR="00E91668" w:rsidRPr="00B85F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  <w:t xml:space="preserve"> și evidențierea elementelor noi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15" w:rsidRDefault="00E51C4C" w:rsidP="00B85F15">
            <w:pPr>
              <w:pStyle w:val="ListParagraph"/>
              <w:numPr>
                <w:ilvl w:val="0"/>
                <w:numId w:val="4"/>
              </w:numPr>
              <w:ind w:left="540"/>
              <w:jc w:val="both"/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>gestionarea şi administrarea eficientă a resurselor tehnice utilizate de către</w:t>
            </w:r>
            <w:r w:rsid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 xml:space="preserve"> </w:t>
            </w:r>
            <w:r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>furnizorii de reţele şi servicii publice de comunicaţii electronice pentru identificarea reţelelor sau a unor elemente de reţea în vederea asigurării procesării semnalelor transmise pentru stabilirea şi menţinerea legăturilor de comunicaţie</w:t>
            </w:r>
            <w:r w:rsidR="00814FF4"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>;</w:t>
            </w:r>
          </w:p>
          <w:p w:rsidR="00B85F15" w:rsidRDefault="00814FF4" w:rsidP="00B85F15">
            <w:pPr>
              <w:pStyle w:val="ListParagraph"/>
              <w:numPr>
                <w:ilvl w:val="0"/>
                <w:numId w:val="4"/>
              </w:numPr>
              <w:ind w:left="540"/>
              <w:jc w:val="both"/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>identificarea fiecărui punct de semnalizare cu un cod unic;</w:t>
            </w:r>
          </w:p>
          <w:p w:rsidR="00B85F15" w:rsidRDefault="00BC048D" w:rsidP="00B85F15">
            <w:pPr>
              <w:pStyle w:val="ListParagraph"/>
              <w:numPr>
                <w:ilvl w:val="0"/>
                <w:numId w:val="4"/>
              </w:numPr>
              <w:ind w:left="540"/>
              <w:jc w:val="both"/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>procedura</w:t>
            </w:r>
            <w:r w:rsidR="0070206A"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 xml:space="preserve"> stabileşte structura, destinaţia</w:t>
            </w:r>
            <w:r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 xml:space="preserve"> resurselor de numerotare tehnice</w:t>
            </w:r>
            <w:r w:rsidR="0070206A"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>, condiţiile de atribuire,</w:t>
            </w:r>
            <w:r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 xml:space="preserve"> </w:t>
            </w:r>
            <w:r w:rsidR="0070206A"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>utilizare, cesionare, modific</w:t>
            </w:r>
            <w:r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>are, suspendare şi retragere a</w:t>
            </w:r>
            <w:r w:rsidR="0070206A"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 xml:space="preserve"> codurilor </w:t>
            </w:r>
            <w:r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>pentru punctele</w:t>
            </w:r>
            <w:r w:rsidR="0070206A"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 xml:space="preserve"> de semnalizare;</w:t>
            </w:r>
          </w:p>
          <w:p w:rsidR="00BC048D" w:rsidRPr="00B85F15" w:rsidRDefault="00BC048D" w:rsidP="00B85F15">
            <w:pPr>
              <w:pStyle w:val="ListParagraph"/>
              <w:numPr>
                <w:ilvl w:val="0"/>
                <w:numId w:val="4"/>
              </w:numPr>
              <w:ind w:left="540"/>
              <w:jc w:val="both"/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>stabilește forma (formularele) și necesarul de informație pentru solicitările de atribuire, activare, cesionare, renunțare</w:t>
            </w:r>
            <w:r w:rsidR="00D146AF"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 xml:space="preserve"> în privința dreptului de utilizare a resurselor de numerotare tehnice.</w:t>
            </w:r>
            <w:r w:rsidRPr="00B85F15"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  <w:t xml:space="preserve"> </w:t>
            </w:r>
          </w:p>
          <w:p w:rsidR="00D76A29" w:rsidRPr="00B85F15" w:rsidRDefault="00D76A29" w:rsidP="00BC048D">
            <w:pPr>
              <w:ind w:left="540"/>
              <w:jc w:val="both"/>
              <w:rPr>
                <w:rFonts w:ascii="Times New Roman" w:hAnsi="Times New Roman" w:cs="Times New Roman"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 xml:space="preserve"> 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5109" w:rsidRPr="00B85F15" w:rsidRDefault="00D05109" w:rsidP="00352C8E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Descrierea gradului de c</w:t>
            </w:r>
            <w:r w:rsidR="00E51C4C" w:rsidRPr="00B85F15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ompatibilitate pentru proiectului care are</w:t>
            </w:r>
            <w:r w:rsidRPr="00B85F15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 ca scop armonizarea legislaţiei naţionale cu legislaţia Uniunii Europene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9" w:rsidRPr="00B85F15" w:rsidRDefault="00D05109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B85F15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Proiectul actului normativ dat nu are ca scop armonizarea legislaţiei naţionale cu legislaţia Uniunii Europene. 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5109" w:rsidRPr="00B85F15" w:rsidRDefault="00D05109" w:rsidP="00352C8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  <w:t>Fundamentarea economico-financiară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9" w:rsidRPr="00B85F15" w:rsidRDefault="00D05109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O"/>
              </w:rPr>
            </w:pPr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Nu sunt necesare costuri suplimentare legate de elaborarea de către ANRCETI</w:t>
            </w:r>
            <w:r w:rsidR="00D146AF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, nici din partea agenților economici</w:t>
            </w:r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. 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5109" w:rsidRPr="00B85F15" w:rsidRDefault="00D05109" w:rsidP="00352C8E">
            <w:pPr>
              <w:pStyle w:val="ListParagraph"/>
              <w:numPr>
                <w:ilvl w:val="0"/>
                <w:numId w:val="1"/>
              </w:numPr>
              <w:tabs>
                <w:tab w:val="left" w:pos="173"/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B85F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  <w:t>Modul de încorporare a actului în cadrul normativ în vigoare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51" w:rsidRPr="00B85F15" w:rsidRDefault="006C2B51" w:rsidP="006C2B51">
            <w:pPr>
              <w:ind w:firstLine="5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O"/>
              </w:rPr>
            </w:pPr>
            <w:r w:rsidRPr="00B85F15">
              <w:rPr>
                <w:rFonts w:ascii="Times New Roman" w:eastAsia="Times New Roman" w:hAnsi="Times New Roman" w:cs="Times New Roman"/>
                <w:sz w:val="26"/>
                <w:szCs w:val="26"/>
                <w:lang w:val="ro-MO"/>
              </w:rPr>
              <w:t>Proiectul Hotărârii Consiliului de Administrație al ANRCETI este elaborat în temeiul și în conformitate cu cerințele legislației naționale și europene,</w:t>
            </w:r>
            <w:r w:rsidRPr="00B85F15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 </w:t>
            </w:r>
            <w:r w:rsidRPr="00B85F15">
              <w:rPr>
                <w:rFonts w:ascii="Times New Roman" w:eastAsia="Times New Roman" w:hAnsi="Times New Roman" w:cs="Times New Roman"/>
                <w:sz w:val="26"/>
                <w:szCs w:val="26"/>
                <w:lang w:val="ro-MO"/>
              </w:rPr>
              <w:t>nu vine în contradicție cu legislația națională și tratatele internaționale la care Republica Moldova este parte.</w:t>
            </w:r>
          </w:p>
          <w:p w:rsidR="00D05109" w:rsidRPr="00B85F15" w:rsidRDefault="006C2B51" w:rsidP="006C2B51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o-MO"/>
              </w:rPr>
            </w:pPr>
            <w:r w:rsidRPr="00B85F15">
              <w:rPr>
                <w:rFonts w:ascii="Times New Roman" w:eastAsia="Times New Roman" w:hAnsi="Times New Roman" w:cs="Times New Roman"/>
                <w:sz w:val="26"/>
                <w:szCs w:val="26"/>
                <w:lang w:val="ro-MO"/>
              </w:rPr>
              <w:t>În urma aprobării prezentului proiect nu va fi necesară modificarea sau completarea cadrului normativ conex.</w:t>
            </w:r>
            <w:r w:rsidR="00D05109" w:rsidRPr="00B85F15">
              <w:rPr>
                <w:rFonts w:ascii="Times New Roman" w:hAnsi="Times New Roman"/>
                <w:sz w:val="26"/>
                <w:szCs w:val="26"/>
                <w:lang w:val="ro-MO"/>
              </w:rPr>
              <w:t xml:space="preserve"> 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5109" w:rsidRPr="00B85F15" w:rsidRDefault="00D05109" w:rsidP="00352C8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B85F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  <w:t>Avizarea și consultarea publică a proiectului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51" w:rsidRPr="00B85F15" w:rsidRDefault="00D05109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În scopul respectării prevederilor Legii privind transparența în procesul decizional nr.</w:t>
            </w:r>
            <w:r w:rsidR="00E7273E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</w:t>
            </w:r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239/2008, proiectul Hotărârii Consiliului de</w:t>
            </w:r>
            <w:r w:rsidR="006C2B51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Administrație al ANRCETI a fost</w:t>
            </w:r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plasat </w:t>
            </w:r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lastRenderedPageBreak/>
              <w:t xml:space="preserve">pe pagina web oficială a ANRCETI </w:t>
            </w:r>
            <w:hyperlink r:id="rId7" w:history="1">
              <w:r w:rsidRPr="00B85F15">
                <w:rPr>
                  <w:rStyle w:val="Hyperlink"/>
                  <w:rFonts w:ascii="Times New Roman" w:eastAsia="Times New Roman" w:hAnsi="Times New Roman" w:cs="Times New Roman"/>
                  <w:bCs/>
                  <w:sz w:val="26"/>
                  <w:szCs w:val="26"/>
                  <w:lang w:val="ro-MO" w:eastAsia="ru-RU"/>
                </w:rPr>
                <w:t>www.anrceti.md</w:t>
              </w:r>
            </w:hyperlink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, compartimentul </w:t>
            </w:r>
            <w:r w:rsidRPr="00B85F1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o-MO" w:eastAsia="ru-RU"/>
              </w:rPr>
              <w:t>Transparența decizională</w:t>
            </w:r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, secțiunea </w:t>
            </w:r>
            <w:r w:rsidR="006C2B51" w:rsidRPr="00B85F1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o-MO" w:eastAsia="ru-RU"/>
              </w:rPr>
              <w:t xml:space="preserve">Proiecte în derulare, </w:t>
            </w:r>
            <w:r w:rsidR="006C2B51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pentru perioada </w:t>
            </w:r>
            <w:r w:rsidR="001E04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26.11.</w:t>
            </w:r>
            <w:r w:rsidR="006C2B51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2019</w:t>
            </w:r>
            <w:r w:rsidR="00DD6F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</w:t>
            </w:r>
            <w:r w:rsidR="00866EF4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</w:t>
            </w:r>
            <w:r w:rsidR="006C2B51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-</w:t>
            </w:r>
            <w:r w:rsidR="001E04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10.12.</w:t>
            </w:r>
            <w:r w:rsidR="006C2B51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2019</w:t>
            </w:r>
          </w:p>
          <w:p w:rsidR="00D05109" w:rsidRPr="00B85F15" w:rsidRDefault="00E7273E" w:rsidP="009074AE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P</w:t>
            </w:r>
            <w:r w:rsidR="006C2B51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roiectul </w:t>
            </w:r>
            <w:r w:rsidR="00992F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a fost</w:t>
            </w:r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</w:t>
            </w:r>
            <w:r w:rsidR="006C2B51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remis spre avizare Ministerului Economiei şi Infrastructurii şi spre expertizare juridică Ministerului Justiţiei</w:t>
            </w:r>
            <w:r w:rsidR="00D05109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.</w:t>
            </w:r>
            <w:r w:rsidR="00992F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Propuneri </w:t>
            </w:r>
            <w:r w:rsidR="009074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pe marginea</w:t>
            </w:r>
            <w:r w:rsidR="00992F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proiect</w:t>
            </w:r>
            <w:r w:rsidR="009074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ului</w:t>
            </w:r>
            <w:r w:rsidR="00992F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au parvenit de la Ministerul Justiției. </w:t>
            </w:r>
            <w:r w:rsidR="009074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Deciziile luate de </w:t>
            </w:r>
            <w:r w:rsidR="00992F1A" w:rsidRPr="002D1B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ANRCETI </w:t>
            </w:r>
            <w:r w:rsidR="009074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sunt </w:t>
            </w:r>
            <w:r w:rsidR="00992F1A" w:rsidRPr="002D1B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expus</w:t>
            </w:r>
            <w:r w:rsidR="009074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e</w:t>
            </w:r>
            <w:r w:rsidR="00992F1A" w:rsidRPr="002D1B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în Sinteza recomandărilor la proiectul nominalizat.</w:t>
            </w:r>
            <w:r w:rsidR="00992F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</w:t>
            </w:r>
            <w:r w:rsidR="00992F1A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Ministerul Economiei şi Infrastructurii</w:t>
            </w:r>
            <w:r w:rsidR="00992F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a comunicat ANRCETI despre lipsa obiecțiilor și propunerilor la proiect.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5109" w:rsidRPr="00B85F15" w:rsidRDefault="00D05109" w:rsidP="00352C8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O"/>
              </w:rPr>
            </w:pPr>
            <w:r w:rsidRPr="00B85F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O"/>
              </w:rPr>
              <w:lastRenderedPageBreak/>
              <w:t>Consultările expertizei de compatibilitate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9" w:rsidRPr="00B85F15" w:rsidRDefault="00D05109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Nu este necesitate.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5109" w:rsidRPr="00B85F15" w:rsidRDefault="00D05109" w:rsidP="00352C8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B85F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  <w:t>Constatările expertizei anticorupție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109" w:rsidRPr="00B85F15" w:rsidRDefault="00660719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</w:t>
            </w:r>
            <w:r w:rsidR="002D1B1F">
              <w:rPr>
                <w:rFonts w:ascii="Times New Roman" w:eastAsia="Times New Roman" w:hAnsi="Times New Roman" w:cs="Times New Roman"/>
                <w:sz w:val="26"/>
                <w:szCs w:val="24"/>
              </w:rPr>
              <w:t>Proiectul actului normativ nu comportă riscuri de corupție identificabile</w:t>
            </w:r>
            <w:r w:rsidR="006C2B51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.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5109" w:rsidRPr="00B85F15" w:rsidRDefault="00D05109" w:rsidP="00352C8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B85F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  <w:t>Constatările expertizei juridice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9" w:rsidRPr="00B85F15" w:rsidRDefault="00D0510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Constatările expertizei juridice parvenite de la Ministerul Justiției și poziția ANRCETI față de</w:t>
            </w:r>
            <w:r w:rsidR="00660719"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constatările respective vor fi</w:t>
            </w:r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 xml:space="preserve"> expuse în Sinteza obiecțiilor și propunerilor (recomandărilor) la proiectul dat.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5109" w:rsidRPr="00B85F15" w:rsidRDefault="00D05109" w:rsidP="00352C8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O" w:eastAsia="ru-RU"/>
              </w:rPr>
              <w:t>Constatările altor expertize</w:t>
            </w:r>
          </w:p>
        </w:tc>
      </w:tr>
      <w:tr w:rsidR="00D05109" w:rsidRPr="00B85F15" w:rsidTr="00D0510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9" w:rsidRPr="00B85F15" w:rsidRDefault="006C2B51" w:rsidP="006C2B5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</w:pPr>
            <w:r w:rsidRPr="00B85F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O" w:eastAsia="ru-RU"/>
              </w:rPr>
              <w:t>Vor fi incluse ulterior în caz că vor fi realizate.</w:t>
            </w:r>
          </w:p>
        </w:tc>
      </w:tr>
    </w:tbl>
    <w:p w:rsidR="00D05109" w:rsidRPr="00B85F15" w:rsidRDefault="00D05109" w:rsidP="00D05109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MO" w:eastAsia="ru-RU"/>
        </w:rPr>
      </w:pPr>
    </w:p>
    <w:p w:rsidR="00D05109" w:rsidRPr="00B85F15" w:rsidRDefault="00D05109" w:rsidP="00D05109">
      <w:pPr>
        <w:spacing w:after="0"/>
        <w:ind w:firstLine="562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MO" w:eastAsia="ru-RU"/>
        </w:rPr>
      </w:pPr>
      <w:r w:rsidRPr="00B85F15">
        <w:rPr>
          <w:rFonts w:ascii="Times New Roman" w:eastAsia="Times New Roman" w:hAnsi="Times New Roman" w:cs="Times New Roman"/>
          <w:b/>
          <w:sz w:val="26"/>
          <w:szCs w:val="26"/>
          <w:lang w:val="ro-MO" w:eastAsia="ru-RU"/>
        </w:rPr>
        <w:t xml:space="preserve"> </w:t>
      </w:r>
    </w:p>
    <w:p w:rsidR="00D05109" w:rsidRPr="00B85F15" w:rsidRDefault="006404BF" w:rsidP="00D05109">
      <w:pPr>
        <w:spacing w:after="0"/>
        <w:rPr>
          <w:rFonts w:ascii="Times New Roman" w:eastAsia="Times New Roman" w:hAnsi="Times New Roman" w:cs="Times New Roman"/>
          <w:sz w:val="26"/>
          <w:szCs w:val="26"/>
          <w:lang w:val="ro-MO" w:eastAsia="ru-RU"/>
        </w:rPr>
      </w:pPr>
      <w:r w:rsidRPr="00B85F15">
        <w:rPr>
          <w:rFonts w:ascii="Times New Roman" w:eastAsia="Times New Roman" w:hAnsi="Times New Roman" w:cs="Times New Roman"/>
          <w:b/>
          <w:sz w:val="26"/>
          <w:szCs w:val="26"/>
          <w:lang w:val="ro-MO" w:eastAsia="ru-RU"/>
        </w:rPr>
        <w:t xml:space="preserve">  Director                                 </w:t>
      </w:r>
      <w:r w:rsidR="00D05109" w:rsidRPr="00B85F15">
        <w:rPr>
          <w:rFonts w:ascii="Times New Roman" w:eastAsia="Times New Roman" w:hAnsi="Times New Roman" w:cs="Times New Roman"/>
          <w:b/>
          <w:sz w:val="26"/>
          <w:szCs w:val="26"/>
          <w:lang w:val="ro-MO" w:eastAsia="ru-RU"/>
        </w:rPr>
        <w:tab/>
      </w:r>
      <w:r w:rsidR="00D05109" w:rsidRPr="00B85F15">
        <w:rPr>
          <w:rFonts w:ascii="Times New Roman" w:eastAsia="Times New Roman" w:hAnsi="Times New Roman" w:cs="Times New Roman"/>
          <w:b/>
          <w:sz w:val="26"/>
          <w:szCs w:val="26"/>
          <w:lang w:val="ro-MO" w:eastAsia="ru-RU"/>
        </w:rPr>
        <w:tab/>
        <w:t xml:space="preserve">        </w:t>
      </w:r>
      <w:r w:rsidR="00E7273E" w:rsidRPr="00B85F15">
        <w:rPr>
          <w:rFonts w:ascii="Times New Roman" w:eastAsia="Times New Roman" w:hAnsi="Times New Roman" w:cs="Times New Roman"/>
          <w:b/>
          <w:sz w:val="26"/>
          <w:szCs w:val="26"/>
          <w:lang w:val="ro-MO" w:eastAsia="ru-RU"/>
        </w:rPr>
        <w:t xml:space="preserve">    </w:t>
      </w:r>
      <w:r w:rsidR="00D05109" w:rsidRPr="00B85F15">
        <w:rPr>
          <w:rFonts w:ascii="Times New Roman" w:eastAsia="Times New Roman" w:hAnsi="Times New Roman" w:cs="Times New Roman"/>
          <w:b/>
          <w:sz w:val="26"/>
          <w:szCs w:val="26"/>
          <w:lang w:val="ro-MO" w:eastAsia="ru-RU"/>
        </w:rPr>
        <w:t xml:space="preserve">              </w:t>
      </w:r>
      <w:r w:rsidR="00D05109" w:rsidRPr="00B85F15">
        <w:rPr>
          <w:rFonts w:ascii="Times New Roman" w:eastAsia="Times New Roman" w:hAnsi="Times New Roman" w:cs="Times New Roman"/>
          <w:b/>
          <w:sz w:val="26"/>
          <w:szCs w:val="26"/>
          <w:lang w:val="ro-MO" w:eastAsia="ru-RU"/>
        </w:rPr>
        <w:tab/>
      </w:r>
      <w:r w:rsidR="00D05109" w:rsidRPr="00B85F15">
        <w:rPr>
          <w:rFonts w:ascii="Times New Roman" w:eastAsia="Times New Roman" w:hAnsi="Times New Roman" w:cs="Times New Roman"/>
          <w:b/>
          <w:sz w:val="26"/>
          <w:szCs w:val="26"/>
          <w:lang w:val="ro-MO" w:eastAsia="ru-RU"/>
        </w:rPr>
        <w:tab/>
        <w:t>Octavian RĂU</w:t>
      </w:r>
    </w:p>
    <w:p w:rsidR="00D05109" w:rsidRPr="00B85F15" w:rsidRDefault="00D05109" w:rsidP="00D05109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val="ro-MO" w:eastAsia="ru-RU"/>
        </w:rPr>
      </w:pPr>
    </w:p>
    <w:p w:rsidR="00D05109" w:rsidRPr="00B85F15" w:rsidRDefault="00D05109" w:rsidP="00D05109">
      <w:pPr>
        <w:keepNext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MO" w:eastAsia="ru-RU"/>
        </w:rPr>
      </w:pPr>
    </w:p>
    <w:p w:rsidR="00A52E14" w:rsidRPr="00B85F15" w:rsidRDefault="00A52E14">
      <w:pPr>
        <w:rPr>
          <w:lang w:val="ro-MO"/>
        </w:rPr>
      </w:pPr>
    </w:p>
    <w:sectPr w:rsidR="00A52E14" w:rsidRPr="00B8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F46A2"/>
    <w:multiLevelType w:val="hybridMultilevel"/>
    <w:tmpl w:val="E976FC7A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E597233"/>
    <w:multiLevelType w:val="hybridMultilevel"/>
    <w:tmpl w:val="4C9A2BFC"/>
    <w:lvl w:ilvl="0" w:tplc="EB4414DA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EC07D88"/>
    <w:multiLevelType w:val="hybridMultilevel"/>
    <w:tmpl w:val="D6B0A8BE"/>
    <w:lvl w:ilvl="0" w:tplc="DDE404C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02A415D"/>
    <w:multiLevelType w:val="hybridMultilevel"/>
    <w:tmpl w:val="EF588344"/>
    <w:lvl w:ilvl="0" w:tplc="DE86795C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b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B9"/>
    <w:rsid w:val="001612AC"/>
    <w:rsid w:val="001B334F"/>
    <w:rsid w:val="001C71DB"/>
    <w:rsid w:val="001D468C"/>
    <w:rsid w:val="001E04EA"/>
    <w:rsid w:val="002D1B1F"/>
    <w:rsid w:val="003842FA"/>
    <w:rsid w:val="00456A6D"/>
    <w:rsid w:val="004636B1"/>
    <w:rsid w:val="00521403"/>
    <w:rsid w:val="005A4B69"/>
    <w:rsid w:val="005E0215"/>
    <w:rsid w:val="006404BF"/>
    <w:rsid w:val="00651B24"/>
    <w:rsid w:val="00660719"/>
    <w:rsid w:val="006B0321"/>
    <w:rsid w:val="006C2B51"/>
    <w:rsid w:val="0070206A"/>
    <w:rsid w:val="0077126C"/>
    <w:rsid w:val="007926B4"/>
    <w:rsid w:val="007B22A5"/>
    <w:rsid w:val="00814FF4"/>
    <w:rsid w:val="00866017"/>
    <w:rsid w:val="00866EF4"/>
    <w:rsid w:val="008D550F"/>
    <w:rsid w:val="008D6E4C"/>
    <w:rsid w:val="009074AE"/>
    <w:rsid w:val="00944A4A"/>
    <w:rsid w:val="0097456F"/>
    <w:rsid w:val="00992F1A"/>
    <w:rsid w:val="00A164BD"/>
    <w:rsid w:val="00A52E14"/>
    <w:rsid w:val="00A55544"/>
    <w:rsid w:val="00AC3711"/>
    <w:rsid w:val="00AC58BC"/>
    <w:rsid w:val="00AF6709"/>
    <w:rsid w:val="00B26969"/>
    <w:rsid w:val="00B56C30"/>
    <w:rsid w:val="00B85F15"/>
    <w:rsid w:val="00BC048D"/>
    <w:rsid w:val="00C94EF5"/>
    <w:rsid w:val="00CD214A"/>
    <w:rsid w:val="00D05109"/>
    <w:rsid w:val="00D146AF"/>
    <w:rsid w:val="00D635D2"/>
    <w:rsid w:val="00D76A29"/>
    <w:rsid w:val="00DA069B"/>
    <w:rsid w:val="00DD6F1A"/>
    <w:rsid w:val="00DE0F9A"/>
    <w:rsid w:val="00DE7A21"/>
    <w:rsid w:val="00E057E6"/>
    <w:rsid w:val="00E51C4C"/>
    <w:rsid w:val="00E7273E"/>
    <w:rsid w:val="00E91668"/>
    <w:rsid w:val="00EB1EE0"/>
    <w:rsid w:val="00EF4530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0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1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5109"/>
    <w:pPr>
      <w:spacing w:after="6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05109"/>
    <w:pPr>
      <w:ind w:left="720"/>
      <w:contextualSpacing/>
    </w:pPr>
  </w:style>
  <w:style w:type="paragraph" w:customStyle="1" w:styleId="tt">
    <w:name w:val="tt"/>
    <w:basedOn w:val="Normal"/>
    <w:uiPriority w:val="99"/>
    <w:rsid w:val="00D0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D051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1A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0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1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5109"/>
    <w:pPr>
      <w:spacing w:after="6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05109"/>
    <w:pPr>
      <w:ind w:left="720"/>
      <w:contextualSpacing/>
    </w:pPr>
  </w:style>
  <w:style w:type="paragraph" w:customStyle="1" w:styleId="tt">
    <w:name w:val="tt"/>
    <w:basedOn w:val="Normal"/>
    <w:uiPriority w:val="99"/>
    <w:rsid w:val="00D0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D051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1A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rceti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C3C6-7D0F-4E83-BB45-4EF30515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Ghiseu</dc:creator>
  <cp:lastModifiedBy>V.Madan</cp:lastModifiedBy>
  <cp:revision>2</cp:revision>
  <cp:lastPrinted>2019-10-17T12:26:00Z</cp:lastPrinted>
  <dcterms:created xsi:type="dcterms:W3CDTF">2020-01-16T15:19:00Z</dcterms:created>
  <dcterms:modified xsi:type="dcterms:W3CDTF">2020-01-16T15:19:00Z</dcterms:modified>
</cp:coreProperties>
</file>