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77" w:rsidRPr="001E0F6E" w:rsidRDefault="00CF7577" w:rsidP="00DA4B80">
      <w:pPr>
        <w:jc w:val="both"/>
        <w:rPr>
          <w:b/>
          <w:sz w:val="24"/>
          <w:szCs w:val="24"/>
          <w:lang w:val="ro-RO"/>
        </w:rPr>
      </w:pPr>
      <w:bookmarkStart w:id="0" w:name="_GoBack"/>
      <w:bookmarkEnd w:id="0"/>
    </w:p>
    <w:p w:rsidR="00CF7577" w:rsidRDefault="00B10BB6" w:rsidP="002B3374">
      <w:pPr>
        <w:autoSpaceDE w:val="0"/>
        <w:autoSpaceDN w:val="0"/>
        <w:adjustRightInd w:val="0"/>
        <w:jc w:val="center"/>
        <w:rPr>
          <w:b/>
          <w:bCs/>
          <w:color w:val="000000"/>
          <w:sz w:val="26"/>
          <w:szCs w:val="26"/>
          <w:lang w:val="ro-RO" w:eastAsia="ru-RU"/>
        </w:rPr>
      </w:pPr>
      <w:r w:rsidRPr="00B10BB6">
        <w:rPr>
          <w:b/>
          <w:bCs/>
          <w:color w:val="000000"/>
          <w:sz w:val="26"/>
          <w:szCs w:val="26"/>
          <w:lang w:val="ro-RO" w:eastAsia="ru-RU"/>
        </w:rPr>
        <w:t>cu privire la modifi</w:t>
      </w:r>
      <w:r w:rsidR="00087FC6">
        <w:rPr>
          <w:b/>
          <w:bCs/>
          <w:color w:val="000000"/>
          <w:sz w:val="26"/>
          <w:szCs w:val="26"/>
          <w:lang w:val="ro-RO" w:eastAsia="ru-RU"/>
        </w:rPr>
        <w:t>carea</w:t>
      </w:r>
      <w:r w:rsidRPr="00B10BB6">
        <w:rPr>
          <w:b/>
          <w:bCs/>
          <w:color w:val="000000"/>
          <w:sz w:val="26"/>
          <w:szCs w:val="26"/>
          <w:lang w:val="ro-RO" w:eastAsia="ru-RU"/>
        </w:rPr>
        <w:t xml:space="preserve"> </w:t>
      </w:r>
      <w:r w:rsidR="008C0C0C">
        <w:rPr>
          <w:b/>
          <w:bCs/>
          <w:color w:val="000000"/>
          <w:sz w:val="26"/>
          <w:szCs w:val="26"/>
          <w:lang w:val="ro-RO" w:eastAsia="ru-RU"/>
        </w:rPr>
        <w:t>și complet</w:t>
      </w:r>
      <w:r w:rsidR="00BF3BE6">
        <w:rPr>
          <w:b/>
          <w:bCs/>
          <w:color w:val="000000"/>
          <w:sz w:val="26"/>
          <w:szCs w:val="26"/>
          <w:lang w:val="ro-RO" w:eastAsia="ru-RU"/>
        </w:rPr>
        <w:t>area</w:t>
      </w:r>
      <w:r w:rsidR="008C0C0C">
        <w:rPr>
          <w:b/>
          <w:bCs/>
          <w:color w:val="000000"/>
          <w:sz w:val="26"/>
          <w:szCs w:val="26"/>
          <w:lang w:val="ro-RO" w:eastAsia="ru-RU"/>
        </w:rPr>
        <w:t xml:space="preserve"> </w:t>
      </w:r>
      <w:r w:rsidR="00855157">
        <w:rPr>
          <w:b/>
          <w:bCs/>
          <w:color w:val="000000"/>
          <w:sz w:val="26"/>
          <w:szCs w:val="26"/>
          <w:lang w:val="ro-RO" w:eastAsia="ru-RU"/>
        </w:rPr>
        <w:t xml:space="preserve">anexelor </w:t>
      </w:r>
      <w:r w:rsidRPr="00B10BB6">
        <w:rPr>
          <w:b/>
          <w:bCs/>
          <w:color w:val="000000"/>
          <w:sz w:val="26"/>
          <w:szCs w:val="26"/>
          <w:lang w:val="ro-RO" w:eastAsia="ru-RU"/>
        </w:rPr>
        <w:t>un</w:t>
      </w:r>
      <w:r w:rsidR="00BF3BE6">
        <w:rPr>
          <w:b/>
          <w:bCs/>
          <w:color w:val="000000"/>
          <w:sz w:val="26"/>
          <w:szCs w:val="26"/>
          <w:lang w:val="ro-RO" w:eastAsia="ru-RU"/>
        </w:rPr>
        <w:t>or</w:t>
      </w:r>
      <w:r w:rsidRPr="00B10BB6">
        <w:rPr>
          <w:b/>
          <w:bCs/>
          <w:color w:val="000000"/>
          <w:sz w:val="26"/>
          <w:szCs w:val="26"/>
          <w:lang w:val="ro-RO" w:eastAsia="ru-RU"/>
        </w:rPr>
        <w:t xml:space="preserve"> Hotărâri ale Consiliului de Administraţie</w:t>
      </w:r>
      <w:r>
        <w:rPr>
          <w:b/>
          <w:bCs/>
          <w:color w:val="000000"/>
          <w:sz w:val="26"/>
          <w:szCs w:val="26"/>
          <w:lang w:val="ro-RO" w:eastAsia="ru-RU"/>
        </w:rPr>
        <w:t xml:space="preserve"> al</w:t>
      </w:r>
      <w:r w:rsidRPr="00B10BB6">
        <w:rPr>
          <w:b/>
          <w:bCs/>
          <w:color w:val="000000"/>
          <w:sz w:val="26"/>
          <w:szCs w:val="26"/>
          <w:lang w:val="ro-RO" w:eastAsia="ru-RU"/>
        </w:rPr>
        <w:t xml:space="preserve"> </w:t>
      </w:r>
      <w:r w:rsidR="002B3374" w:rsidRPr="00AE2656">
        <w:rPr>
          <w:b/>
          <w:color w:val="000000"/>
          <w:sz w:val="26"/>
          <w:szCs w:val="26"/>
          <w:lang w:val="ro-RO"/>
        </w:rPr>
        <w:t>Agenţiei Naţionale pentru Reglementare în Comunicaţii Electronice şi Tehnologia Informaţiei</w:t>
      </w:r>
      <w:r w:rsidR="00C34142" w:rsidRPr="00AE2656">
        <w:rPr>
          <w:b/>
          <w:bCs/>
          <w:color w:val="000000"/>
          <w:sz w:val="26"/>
          <w:szCs w:val="26"/>
          <w:lang w:val="ro-RO" w:eastAsia="ru-RU"/>
        </w:rPr>
        <w:t xml:space="preserve"> </w:t>
      </w:r>
    </w:p>
    <w:p w:rsidR="00B10BB6" w:rsidRPr="001E0F6E" w:rsidRDefault="00B10BB6" w:rsidP="002B3374">
      <w:pPr>
        <w:autoSpaceDE w:val="0"/>
        <w:autoSpaceDN w:val="0"/>
        <w:adjustRightInd w:val="0"/>
        <w:jc w:val="center"/>
        <w:rPr>
          <w:b/>
          <w:bCs/>
          <w:color w:val="000000"/>
          <w:sz w:val="24"/>
          <w:szCs w:val="26"/>
          <w:lang w:val="ro-RO" w:eastAsia="ru-RU"/>
        </w:rPr>
      </w:pPr>
    </w:p>
    <w:p w:rsidR="00C34142" w:rsidRDefault="00C34142" w:rsidP="00247370">
      <w:pPr>
        <w:ind w:firstLine="720"/>
        <w:jc w:val="both"/>
        <w:rPr>
          <w:color w:val="000000"/>
          <w:sz w:val="26"/>
          <w:szCs w:val="26"/>
          <w:lang w:val="ro-RO"/>
        </w:rPr>
      </w:pPr>
      <w:r w:rsidRPr="00CB398D">
        <w:rPr>
          <w:color w:val="000000"/>
          <w:sz w:val="26"/>
          <w:szCs w:val="26"/>
          <w:lang w:val="ro-RO"/>
        </w:rPr>
        <w:t xml:space="preserve">În temeiul art. 9 alin. (1) lit. </w:t>
      </w:r>
      <w:r w:rsidR="00BF3BE6">
        <w:rPr>
          <w:color w:val="000000"/>
          <w:sz w:val="26"/>
          <w:szCs w:val="26"/>
          <w:lang w:val="ro-RO"/>
        </w:rPr>
        <w:t xml:space="preserve">a) și </w:t>
      </w:r>
      <w:proofErr w:type="spellStart"/>
      <w:r w:rsidR="00BF3BE6">
        <w:rPr>
          <w:color w:val="000000"/>
          <w:sz w:val="26"/>
          <w:szCs w:val="26"/>
          <w:lang w:val="ro-RO"/>
        </w:rPr>
        <w:t>lit.</w:t>
      </w:r>
      <w:r w:rsidR="00247370" w:rsidRPr="00CB398D">
        <w:rPr>
          <w:color w:val="000000"/>
          <w:sz w:val="26"/>
          <w:szCs w:val="26"/>
          <w:lang w:val="ro-RO"/>
        </w:rPr>
        <w:t>w</w:t>
      </w:r>
      <w:proofErr w:type="spellEnd"/>
      <w:r w:rsidRPr="00CB398D">
        <w:rPr>
          <w:color w:val="000000"/>
          <w:sz w:val="26"/>
          <w:szCs w:val="26"/>
          <w:lang w:val="ro-RO"/>
        </w:rPr>
        <w:t xml:space="preserve">) </w:t>
      </w:r>
      <w:r w:rsidR="00BF3BE6">
        <w:rPr>
          <w:color w:val="000000"/>
          <w:sz w:val="26"/>
          <w:szCs w:val="26"/>
          <w:lang w:val="ro-RO"/>
        </w:rPr>
        <w:t xml:space="preserve">și </w:t>
      </w:r>
      <w:r w:rsidR="00BF3BE6">
        <w:rPr>
          <w:lang w:val="en-US"/>
        </w:rPr>
        <w:t xml:space="preserve">art.10 </w:t>
      </w:r>
      <w:proofErr w:type="spellStart"/>
      <w:r w:rsidR="00BF3BE6">
        <w:rPr>
          <w:lang w:val="en-US"/>
        </w:rPr>
        <w:t>alin</w:t>
      </w:r>
      <w:proofErr w:type="spellEnd"/>
      <w:r w:rsidR="00BF3BE6">
        <w:rPr>
          <w:lang w:val="en-US"/>
        </w:rPr>
        <w:t xml:space="preserve">.(1) </w:t>
      </w:r>
      <w:proofErr w:type="spellStart"/>
      <w:r w:rsidR="00BF3BE6">
        <w:rPr>
          <w:lang w:val="en-US"/>
        </w:rPr>
        <w:t>lit.a</w:t>
      </w:r>
      <w:proofErr w:type="spellEnd"/>
      <w:r w:rsidR="00BF3BE6">
        <w:rPr>
          <w:lang w:val="en-US"/>
        </w:rPr>
        <w:t xml:space="preserve">) </w:t>
      </w:r>
      <w:r w:rsidRPr="00CB398D">
        <w:rPr>
          <w:color w:val="000000"/>
          <w:sz w:val="26"/>
          <w:szCs w:val="26"/>
          <w:lang w:val="ro-RO"/>
        </w:rPr>
        <w:t>din Legea comunicaţiilor electronice nr. 241-XVI din 15 noiembrie 2007 (</w:t>
      </w:r>
      <w:r w:rsidR="00247370" w:rsidRPr="00CB398D">
        <w:rPr>
          <w:sz w:val="26"/>
          <w:szCs w:val="26"/>
          <w:lang w:val="ro-RO"/>
        </w:rPr>
        <w:t>republicată în Monitorul Oficial al Republicii Moldova, 2017, nr.399-410, art.679), cu modificările şi completările ulterioare</w:t>
      </w:r>
      <w:r w:rsidR="00B10BB6" w:rsidRPr="00CB398D">
        <w:rPr>
          <w:color w:val="000000"/>
          <w:sz w:val="26"/>
          <w:szCs w:val="26"/>
          <w:lang w:val="ro-RO"/>
        </w:rPr>
        <w:t>,</w:t>
      </w:r>
      <w:r w:rsidRPr="00CB398D">
        <w:rPr>
          <w:color w:val="000000"/>
          <w:sz w:val="26"/>
          <w:szCs w:val="26"/>
          <w:lang w:val="ro-RO"/>
        </w:rPr>
        <w:t xml:space="preserve"> </w:t>
      </w:r>
    </w:p>
    <w:p w:rsidR="00411DC7" w:rsidRDefault="00472E9C" w:rsidP="00247370">
      <w:pPr>
        <w:ind w:firstLine="720"/>
        <w:jc w:val="both"/>
        <w:rPr>
          <w:color w:val="000000"/>
          <w:sz w:val="26"/>
          <w:szCs w:val="26"/>
          <w:lang w:val="ro-RO"/>
        </w:rPr>
      </w:pPr>
      <w:r>
        <w:rPr>
          <w:color w:val="000000"/>
          <w:sz w:val="26"/>
          <w:szCs w:val="26"/>
          <w:lang w:val="ro-RO"/>
        </w:rPr>
        <w:t>Având în vedere</w:t>
      </w:r>
      <w:r w:rsidR="00411DC7">
        <w:rPr>
          <w:color w:val="000000"/>
          <w:sz w:val="26"/>
          <w:szCs w:val="26"/>
          <w:lang w:val="ro-RO"/>
        </w:rPr>
        <w:t xml:space="preserve"> </w:t>
      </w:r>
      <w:r w:rsidR="00411DC7" w:rsidRPr="00CB398D">
        <w:rPr>
          <w:color w:val="000000"/>
          <w:sz w:val="26"/>
          <w:szCs w:val="26"/>
          <w:lang w:val="ro-RO"/>
        </w:rPr>
        <w:t xml:space="preserve">Regulamentul </w:t>
      </w:r>
      <w:r w:rsidR="00411DC7" w:rsidRPr="00411DC7">
        <w:rPr>
          <w:color w:val="000000"/>
          <w:sz w:val="26"/>
          <w:szCs w:val="26"/>
          <w:lang w:val="ro-RO"/>
        </w:rPr>
        <w:t>cu privire la acces și interconectare</w:t>
      </w:r>
      <w:r w:rsidR="00411DC7" w:rsidRPr="00CB398D">
        <w:rPr>
          <w:color w:val="000000"/>
          <w:sz w:val="26"/>
          <w:szCs w:val="26"/>
          <w:lang w:val="ro-RO"/>
        </w:rPr>
        <w:t xml:space="preserve">, aprobat prin Hotărârea </w:t>
      </w:r>
      <w:r w:rsidR="00411DC7">
        <w:rPr>
          <w:color w:val="000000"/>
          <w:sz w:val="26"/>
          <w:szCs w:val="26"/>
          <w:lang w:val="ro-RO"/>
        </w:rPr>
        <w:t xml:space="preserve">Consiliului de Administrație al </w:t>
      </w:r>
      <w:r w:rsidR="00411DC7" w:rsidRPr="00411DC7">
        <w:rPr>
          <w:color w:val="000000"/>
          <w:sz w:val="26"/>
          <w:szCs w:val="26"/>
          <w:lang w:val="ro-RO"/>
        </w:rPr>
        <w:t>Agenţiei Naţionale pentru Reglementare în Comunicaţii Electronice şi Tehnologia Informaţiei</w:t>
      </w:r>
      <w:r w:rsidR="00411DC7" w:rsidRPr="00CB398D">
        <w:rPr>
          <w:color w:val="000000"/>
          <w:sz w:val="26"/>
          <w:szCs w:val="26"/>
          <w:lang w:val="ro-RO"/>
        </w:rPr>
        <w:t xml:space="preserve"> </w:t>
      </w:r>
      <w:r w:rsidR="00411DC7">
        <w:rPr>
          <w:color w:val="000000"/>
          <w:sz w:val="26"/>
          <w:szCs w:val="26"/>
          <w:lang w:val="ro-RO"/>
        </w:rPr>
        <w:t xml:space="preserve">(ANRCETI) </w:t>
      </w:r>
      <w:r w:rsidR="00411DC7" w:rsidRPr="00CB398D">
        <w:rPr>
          <w:color w:val="000000"/>
          <w:sz w:val="26"/>
          <w:szCs w:val="26"/>
          <w:lang w:val="ro-RO"/>
        </w:rPr>
        <w:t xml:space="preserve">nr. </w:t>
      </w:r>
      <w:r w:rsidR="00411DC7">
        <w:rPr>
          <w:color w:val="000000"/>
          <w:sz w:val="26"/>
          <w:szCs w:val="26"/>
          <w:lang w:val="ro-RO"/>
        </w:rPr>
        <w:t xml:space="preserve"> </w:t>
      </w:r>
      <w:r w:rsidR="00411DC7" w:rsidRPr="00CB398D">
        <w:rPr>
          <w:color w:val="000000"/>
          <w:sz w:val="26"/>
          <w:szCs w:val="26"/>
          <w:lang w:val="ro-RO"/>
        </w:rPr>
        <w:t xml:space="preserve">din </w:t>
      </w:r>
      <w:r w:rsidR="00411DC7">
        <w:rPr>
          <w:color w:val="000000"/>
          <w:sz w:val="26"/>
          <w:szCs w:val="26"/>
          <w:lang w:val="ro-RO"/>
        </w:rPr>
        <w:t xml:space="preserve">    </w:t>
      </w:r>
      <w:r w:rsidR="00411DC7" w:rsidRPr="00CB398D">
        <w:rPr>
          <w:color w:val="000000"/>
          <w:sz w:val="26"/>
          <w:szCs w:val="26"/>
          <w:lang w:val="ro-RO"/>
        </w:rPr>
        <w:t>20</w:t>
      </w:r>
      <w:r w:rsidR="00411DC7">
        <w:rPr>
          <w:color w:val="000000"/>
          <w:sz w:val="26"/>
          <w:szCs w:val="26"/>
          <w:lang w:val="ro-RO"/>
        </w:rPr>
        <w:t>18</w:t>
      </w:r>
      <w:r w:rsidR="00411DC7" w:rsidRPr="00CB398D">
        <w:rPr>
          <w:color w:val="000000"/>
          <w:sz w:val="26"/>
          <w:szCs w:val="26"/>
          <w:lang w:val="ro-RO"/>
        </w:rPr>
        <w:t xml:space="preserve"> (Monitorul Oficial al Republicii Moldova, </w:t>
      </w:r>
      <w:r w:rsidR="00411DC7">
        <w:rPr>
          <w:color w:val="000000"/>
          <w:sz w:val="26"/>
          <w:szCs w:val="26"/>
          <w:lang w:val="ro-RO"/>
        </w:rPr>
        <w:t>2018</w:t>
      </w:r>
      <w:r w:rsidR="00411DC7" w:rsidRPr="00CB398D">
        <w:rPr>
          <w:color w:val="000000"/>
          <w:sz w:val="26"/>
          <w:szCs w:val="26"/>
          <w:lang w:val="ro-RO"/>
        </w:rPr>
        <w:t>, nr.</w:t>
      </w:r>
      <w:r w:rsidR="00411DC7">
        <w:rPr>
          <w:color w:val="000000"/>
          <w:sz w:val="26"/>
          <w:szCs w:val="26"/>
          <w:lang w:val="ro-RO"/>
        </w:rPr>
        <w:t xml:space="preserve">         </w:t>
      </w:r>
      <w:r w:rsidR="00411DC7" w:rsidRPr="00CB398D">
        <w:rPr>
          <w:color w:val="000000"/>
          <w:sz w:val="26"/>
          <w:szCs w:val="26"/>
          <w:lang w:val="ro-RO"/>
        </w:rPr>
        <w:t>, art.</w:t>
      </w:r>
      <w:r w:rsidR="00411DC7">
        <w:rPr>
          <w:color w:val="000000"/>
          <w:sz w:val="26"/>
          <w:szCs w:val="26"/>
          <w:lang w:val="ro-RO"/>
        </w:rPr>
        <w:t xml:space="preserve">   </w:t>
      </w:r>
      <w:r w:rsidR="00411DC7" w:rsidRPr="00CB398D">
        <w:rPr>
          <w:color w:val="000000"/>
          <w:sz w:val="26"/>
          <w:szCs w:val="26"/>
          <w:lang w:val="ro-RO"/>
        </w:rPr>
        <w:t>)</w:t>
      </w:r>
      <w:r w:rsidR="00411DC7">
        <w:rPr>
          <w:color w:val="000000"/>
          <w:sz w:val="26"/>
          <w:szCs w:val="26"/>
          <w:lang w:val="ro-RO"/>
        </w:rPr>
        <w:t xml:space="preserve">, </w:t>
      </w:r>
    </w:p>
    <w:p w:rsidR="004F308A" w:rsidRPr="00CB398D" w:rsidRDefault="00C34142" w:rsidP="00247370">
      <w:pPr>
        <w:ind w:firstLine="720"/>
        <w:jc w:val="both"/>
        <w:rPr>
          <w:sz w:val="26"/>
          <w:szCs w:val="26"/>
          <w:lang w:val="ro-RO"/>
        </w:rPr>
      </w:pPr>
      <w:r w:rsidRPr="00CB398D">
        <w:rPr>
          <w:color w:val="000000"/>
          <w:sz w:val="26"/>
          <w:szCs w:val="26"/>
          <w:lang w:val="ro-RO"/>
        </w:rPr>
        <w:t xml:space="preserve">În conformitate cu pct. 14 şi pct. 15 lit. b) din Regulamentul </w:t>
      </w:r>
      <w:r w:rsidR="007855C2" w:rsidRPr="00CB398D">
        <w:rPr>
          <w:color w:val="000000"/>
          <w:sz w:val="26"/>
          <w:szCs w:val="26"/>
          <w:lang w:val="ro-RO"/>
        </w:rPr>
        <w:t>ANRCETI</w:t>
      </w:r>
      <w:r w:rsidRPr="00CB398D">
        <w:rPr>
          <w:color w:val="000000"/>
          <w:sz w:val="26"/>
          <w:szCs w:val="26"/>
          <w:lang w:val="ro-RO"/>
        </w:rPr>
        <w:t>, aprobat prin Hotărârea Guvernului nr. 905 din 28 iunie 2008 (Monitorul Oficial al Republicii Moldova, 2008, nr.143-144, art.917)</w:t>
      </w:r>
      <w:r w:rsidR="00777B00" w:rsidRPr="00CB398D">
        <w:rPr>
          <w:sz w:val="26"/>
          <w:szCs w:val="26"/>
          <w:lang w:val="ro-RO"/>
        </w:rPr>
        <w:t>,</w:t>
      </w:r>
      <w:r w:rsidR="004F308A" w:rsidRPr="00CB398D">
        <w:rPr>
          <w:b/>
          <w:color w:val="000000"/>
          <w:sz w:val="26"/>
          <w:szCs w:val="26"/>
          <w:lang w:val="ro-RO"/>
        </w:rPr>
        <w:t xml:space="preserve"> Consiliul de Administraţie</w:t>
      </w:r>
    </w:p>
    <w:p w:rsidR="004F308A" w:rsidRPr="00CB398D" w:rsidRDefault="004F308A" w:rsidP="004F308A">
      <w:pPr>
        <w:jc w:val="both"/>
        <w:rPr>
          <w:color w:val="000000"/>
          <w:sz w:val="26"/>
          <w:szCs w:val="26"/>
          <w:lang w:val="ro-RO"/>
        </w:rPr>
      </w:pPr>
    </w:p>
    <w:p w:rsidR="00BE2AEF" w:rsidRPr="00CB398D" w:rsidRDefault="00BE2AEF" w:rsidP="00BE2AEF">
      <w:pPr>
        <w:autoSpaceDE w:val="0"/>
        <w:autoSpaceDN w:val="0"/>
        <w:adjustRightInd w:val="0"/>
        <w:jc w:val="center"/>
        <w:rPr>
          <w:color w:val="000000"/>
          <w:sz w:val="26"/>
          <w:szCs w:val="26"/>
          <w:lang w:val="ro-RO"/>
        </w:rPr>
      </w:pPr>
      <w:r w:rsidRPr="00CB398D">
        <w:rPr>
          <w:b/>
          <w:color w:val="000000"/>
          <w:sz w:val="26"/>
          <w:szCs w:val="26"/>
          <w:lang w:val="ro-RO"/>
        </w:rPr>
        <w:t>HOTĂRĂŞTE:</w:t>
      </w:r>
    </w:p>
    <w:p w:rsidR="00BE2AEF" w:rsidRPr="00CB398D" w:rsidRDefault="00BE2AEF" w:rsidP="00D859EC">
      <w:pPr>
        <w:autoSpaceDE w:val="0"/>
        <w:autoSpaceDN w:val="0"/>
        <w:adjustRightInd w:val="0"/>
        <w:jc w:val="both"/>
        <w:rPr>
          <w:color w:val="000000"/>
          <w:sz w:val="26"/>
          <w:szCs w:val="26"/>
          <w:lang w:val="ro-RO"/>
        </w:rPr>
      </w:pPr>
    </w:p>
    <w:p w:rsidR="00DA3E22" w:rsidRDefault="00ED1D36" w:rsidP="00FC250E">
      <w:pPr>
        <w:pStyle w:val="ListParagraph"/>
        <w:numPr>
          <w:ilvl w:val="0"/>
          <w:numId w:val="1"/>
        </w:numPr>
        <w:ind w:left="0" w:firstLine="720"/>
        <w:jc w:val="both"/>
        <w:rPr>
          <w:color w:val="000000"/>
          <w:sz w:val="26"/>
          <w:szCs w:val="26"/>
          <w:lang w:val="ro-RO"/>
        </w:rPr>
      </w:pPr>
      <w:r>
        <w:rPr>
          <w:color w:val="000000"/>
          <w:sz w:val="26"/>
          <w:szCs w:val="26"/>
          <w:lang w:val="ro-RO"/>
        </w:rPr>
        <w:t xml:space="preserve">Se aprobă modificările și completările la: </w:t>
      </w:r>
    </w:p>
    <w:p w:rsidR="00ED1D36" w:rsidRDefault="002564E0" w:rsidP="00FC250E">
      <w:pPr>
        <w:pStyle w:val="ListParagraph"/>
        <w:numPr>
          <w:ilvl w:val="0"/>
          <w:numId w:val="2"/>
        </w:numPr>
        <w:ind w:left="0" w:firstLine="720"/>
        <w:jc w:val="both"/>
        <w:rPr>
          <w:color w:val="000000"/>
          <w:sz w:val="26"/>
          <w:szCs w:val="26"/>
          <w:lang w:val="ro-RO"/>
        </w:rPr>
      </w:pPr>
      <w:r>
        <w:rPr>
          <w:color w:val="000000"/>
          <w:sz w:val="26"/>
          <w:szCs w:val="26"/>
          <w:lang w:val="ro-RO"/>
        </w:rPr>
        <w:t>Anexa la</w:t>
      </w:r>
      <w:r w:rsidR="00ED1D36" w:rsidRPr="00ED1D36">
        <w:rPr>
          <w:color w:val="000000"/>
          <w:sz w:val="26"/>
          <w:szCs w:val="26"/>
          <w:lang w:val="ro-RO"/>
        </w:rPr>
        <w:t xml:space="preserve"> Hotărârea Consiliului de Administrație al ANRCETI nr. 60 din 23 decembrie 2010 </w:t>
      </w:r>
      <w:r>
        <w:rPr>
          <w:color w:val="000000"/>
          <w:sz w:val="26"/>
          <w:szCs w:val="26"/>
          <w:lang w:val="ro-RO"/>
        </w:rPr>
        <w:t>„</w:t>
      </w:r>
      <w:r w:rsidR="00BF3BE6">
        <w:rPr>
          <w:color w:val="000000"/>
          <w:sz w:val="26"/>
          <w:szCs w:val="26"/>
          <w:lang w:val="ro-RO"/>
        </w:rPr>
        <w:t>C</w:t>
      </w:r>
      <w:r w:rsidR="00ED1D36" w:rsidRPr="00ED1D36">
        <w:rPr>
          <w:color w:val="000000"/>
          <w:sz w:val="26"/>
          <w:szCs w:val="26"/>
          <w:lang w:val="ro-RO"/>
        </w:rPr>
        <w:t>u privire la impunerea obligaţiilor speciale preventive S.A.“Moldtelecom” în legătură cu puterea sa semnificativă pe piaţa de terminare a apelurilor voce în reţeaua individuală de telefonie fixă</w:t>
      </w:r>
      <w:r>
        <w:rPr>
          <w:color w:val="000000"/>
          <w:sz w:val="26"/>
          <w:szCs w:val="26"/>
          <w:lang w:val="ro-RO"/>
        </w:rPr>
        <w:t>”</w:t>
      </w:r>
      <w:r w:rsidR="00ED1D36">
        <w:rPr>
          <w:color w:val="000000"/>
          <w:sz w:val="26"/>
          <w:szCs w:val="26"/>
          <w:lang w:val="ro-RO"/>
        </w:rPr>
        <w:t>, conform Anexei nr. 1</w:t>
      </w:r>
      <w:r>
        <w:rPr>
          <w:color w:val="000000"/>
          <w:sz w:val="26"/>
          <w:szCs w:val="26"/>
          <w:lang w:val="ro-RO"/>
        </w:rPr>
        <w:t xml:space="preserve"> la prezenta hotărâre</w:t>
      </w:r>
      <w:r w:rsidR="00ED1D36">
        <w:rPr>
          <w:color w:val="000000"/>
          <w:sz w:val="26"/>
          <w:szCs w:val="26"/>
          <w:lang w:val="ro-RO"/>
        </w:rPr>
        <w:t>;</w:t>
      </w:r>
    </w:p>
    <w:p w:rsidR="00ED1D36" w:rsidRPr="00ED1D36" w:rsidRDefault="002564E0" w:rsidP="00FC250E">
      <w:pPr>
        <w:pStyle w:val="ListParagraph"/>
        <w:numPr>
          <w:ilvl w:val="0"/>
          <w:numId w:val="2"/>
        </w:numPr>
        <w:ind w:left="0" w:firstLine="720"/>
        <w:jc w:val="both"/>
        <w:rPr>
          <w:color w:val="000000"/>
          <w:sz w:val="26"/>
          <w:szCs w:val="26"/>
          <w:lang w:val="ro-RO"/>
        </w:rPr>
      </w:pPr>
      <w:r>
        <w:rPr>
          <w:color w:val="000000"/>
          <w:sz w:val="26"/>
          <w:szCs w:val="26"/>
          <w:lang w:val="ro-RO"/>
        </w:rPr>
        <w:t>Anexa la</w:t>
      </w:r>
      <w:r w:rsidR="00ED1D36" w:rsidRPr="00ED1D36">
        <w:rPr>
          <w:color w:val="000000"/>
          <w:sz w:val="26"/>
          <w:szCs w:val="26"/>
          <w:lang w:val="ro-RO"/>
        </w:rPr>
        <w:t xml:space="preserve"> Hotărârea Consiliului de Administrație al ANRCETI nr. 42 din 17 noiembrie 2017 </w:t>
      </w:r>
      <w:r>
        <w:rPr>
          <w:color w:val="000000"/>
          <w:sz w:val="26"/>
          <w:szCs w:val="26"/>
          <w:lang w:val="ro-RO"/>
        </w:rPr>
        <w:t>„</w:t>
      </w:r>
      <w:r w:rsidR="001C30F8">
        <w:rPr>
          <w:color w:val="000000"/>
          <w:sz w:val="26"/>
          <w:szCs w:val="26"/>
          <w:lang w:val="ro-RO"/>
        </w:rPr>
        <w:t>P</w:t>
      </w:r>
      <w:r w:rsidR="00ED1D36" w:rsidRPr="00ED1D36">
        <w:rPr>
          <w:color w:val="000000"/>
          <w:sz w:val="26"/>
          <w:szCs w:val="26"/>
          <w:lang w:val="ro-RO"/>
        </w:rPr>
        <w:t>rivind măsurile de reglementare preventivă ale pieței de furnizare cu ridicata de servicii de acces local la puncte fixe</w:t>
      </w:r>
      <w:r>
        <w:rPr>
          <w:color w:val="000000"/>
          <w:sz w:val="26"/>
          <w:szCs w:val="26"/>
          <w:lang w:val="ro-RO"/>
        </w:rPr>
        <w:t>”</w:t>
      </w:r>
      <w:r w:rsidR="00ED1D36" w:rsidRPr="00ED1D36">
        <w:rPr>
          <w:color w:val="000000"/>
          <w:sz w:val="26"/>
          <w:szCs w:val="26"/>
          <w:lang w:val="ro-RO"/>
        </w:rPr>
        <w:t xml:space="preserve">, conform Anexei nr. </w:t>
      </w:r>
      <w:r w:rsidR="00ED1D36">
        <w:rPr>
          <w:color w:val="000000"/>
          <w:sz w:val="26"/>
          <w:szCs w:val="26"/>
          <w:lang w:val="ro-RO"/>
        </w:rPr>
        <w:t>2</w:t>
      </w:r>
      <w:r w:rsidRPr="002564E0">
        <w:rPr>
          <w:color w:val="000000"/>
          <w:sz w:val="26"/>
          <w:szCs w:val="26"/>
          <w:lang w:val="ro-RO"/>
        </w:rPr>
        <w:t xml:space="preserve"> </w:t>
      </w:r>
      <w:r>
        <w:rPr>
          <w:color w:val="000000"/>
          <w:sz w:val="26"/>
          <w:szCs w:val="26"/>
          <w:lang w:val="ro-RO"/>
        </w:rPr>
        <w:t>la prezenta hotărâre</w:t>
      </w:r>
      <w:r w:rsidR="00ED1D36" w:rsidRPr="00ED1D36">
        <w:rPr>
          <w:color w:val="000000"/>
          <w:sz w:val="26"/>
          <w:szCs w:val="26"/>
          <w:lang w:val="ro-RO"/>
        </w:rPr>
        <w:t>;</w:t>
      </w:r>
    </w:p>
    <w:p w:rsidR="00ED1D36" w:rsidRPr="001577A4" w:rsidRDefault="002564E0" w:rsidP="00FC250E">
      <w:pPr>
        <w:pStyle w:val="ListParagraph"/>
        <w:numPr>
          <w:ilvl w:val="0"/>
          <w:numId w:val="2"/>
        </w:numPr>
        <w:ind w:left="0" w:firstLine="720"/>
        <w:jc w:val="both"/>
        <w:rPr>
          <w:color w:val="000000"/>
          <w:sz w:val="26"/>
          <w:szCs w:val="26"/>
          <w:lang w:val="ro-RO"/>
        </w:rPr>
      </w:pPr>
      <w:r>
        <w:rPr>
          <w:color w:val="000000"/>
          <w:sz w:val="26"/>
          <w:szCs w:val="26"/>
          <w:lang w:val="ro-RO"/>
        </w:rPr>
        <w:t>Anexa la</w:t>
      </w:r>
      <w:r w:rsidR="00ED1D36" w:rsidRPr="001577A4">
        <w:rPr>
          <w:color w:val="000000"/>
          <w:sz w:val="26"/>
          <w:szCs w:val="26"/>
          <w:lang w:val="ro-RO"/>
        </w:rPr>
        <w:t xml:space="preserve"> Hotărârea Consiliului de Administrație al ANRCETI nr. 43 din 17 noiembrie 2017 </w:t>
      </w:r>
      <w:r>
        <w:rPr>
          <w:color w:val="000000"/>
          <w:sz w:val="26"/>
          <w:szCs w:val="26"/>
          <w:lang w:val="ro-RO"/>
        </w:rPr>
        <w:t>„</w:t>
      </w:r>
      <w:r w:rsidR="001C30F8">
        <w:rPr>
          <w:color w:val="000000"/>
          <w:sz w:val="26"/>
          <w:szCs w:val="26"/>
          <w:lang w:val="ro-RO"/>
        </w:rPr>
        <w:t>P</w:t>
      </w:r>
      <w:r w:rsidR="001577A4" w:rsidRPr="001577A4">
        <w:rPr>
          <w:color w:val="000000"/>
          <w:sz w:val="26"/>
          <w:szCs w:val="26"/>
          <w:lang w:val="ro-RO"/>
        </w:rPr>
        <w:t>rivind măsurile de reglementare preventivă ale pieței de furnizare cu ridicata de servicii de acces central la puncte fixe pentru produse de larg consum</w:t>
      </w:r>
      <w:r>
        <w:rPr>
          <w:color w:val="000000"/>
          <w:sz w:val="26"/>
          <w:szCs w:val="26"/>
          <w:lang w:val="ro-RO"/>
        </w:rPr>
        <w:t>”</w:t>
      </w:r>
      <w:r w:rsidR="00ED1D36" w:rsidRPr="001577A4">
        <w:rPr>
          <w:color w:val="000000"/>
          <w:sz w:val="26"/>
          <w:szCs w:val="26"/>
          <w:lang w:val="ro-RO"/>
        </w:rPr>
        <w:t xml:space="preserve">, conform Anexei nr. </w:t>
      </w:r>
      <w:r w:rsidR="001577A4">
        <w:rPr>
          <w:color w:val="000000"/>
          <w:sz w:val="26"/>
          <w:szCs w:val="26"/>
          <w:lang w:val="ro-RO"/>
        </w:rPr>
        <w:t>3</w:t>
      </w:r>
      <w:r w:rsidRPr="002564E0">
        <w:rPr>
          <w:color w:val="000000"/>
          <w:sz w:val="26"/>
          <w:szCs w:val="26"/>
          <w:lang w:val="ro-RO"/>
        </w:rPr>
        <w:t xml:space="preserve"> </w:t>
      </w:r>
      <w:r>
        <w:rPr>
          <w:color w:val="000000"/>
          <w:sz w:val="26"/>
          <w:szCs w:val="26"/>
          <w:lang w:val="ro-RO"/>
        </w:rPr>
        <w:t>la prezenta hotărâre</w:t>
      </w:r>
      <w:r w:rsidR="00ED1D36" w:rsidRPr="001577A4">
        <w:rPr>
          <w:color w:val="000000"/>
          <w:sz w:val="26"/>
          <w:szCs w:val="26"/>
          <w:lang w:val="ro-RO"/>
        </w:rPr>
        <w:t>;</w:t>
      </w:r>
    </w:p>
    <w:p w:rsidR="00ED1D36" w:rsidRDefault="002564E0" w:rsidP="00FC250E">
      <w:pPr>
        <w:pStyle w:val="ListParagraph"/>
        <w:numPr>
          <w:ilvl w:val="0"/>
          <w:numId w:val="2"/>
        </w:numPr>
        <w:ind w:left="0" w:firstLine="720"/>
        <w:jc w:val="both"/>
        <w:rPr>
          <w:color w:val="000000"/>
          <w:sz w:val="26"/>
          <w:szCs w:val="26"/>
          <w:lang w:val="ro-RO"/>
        </w:rPr>
      </w:pPr>
      <w:r>
        <w:rPr>
          <w:color w:val="000000"/>
          <w:sz w:val="26"/>
          <w:szCs w:val="26"/>
          <w:lang w:val="ro-RO"/>
        </w:rPr>
        <w:t>Anexa la</w:t>
      </w:r>
      <w:r w:rsidR="001577A4" w:rsidRPr="00ED1D36">
        <w:rPr>
          <w:color w:val="000000"/>
          <w:sz w:val="26"/>
          <w:szCs w:val="26"/>
          <w:lang w:val="ro-RO"/>
        </w:rPr>
        <w:t xml:space="preserve"> Hotărârea Consiliului de Administrație al ANRCETI nr. </w:t>
      </w:r>
      <w:r w:rsidR="001577A4">
        <w:rPr>
          <w:color w:val="000000"/>
          <w:sz w:val="26"/>
          <w:szCs w:val="26"/>
          <w:lang w:val="ro-RO"/>
        </w:rPr>
        <w:t>77</w:t>
      </w:r>
      <w:r w:rsidR="001577A4" w:rsidRPr="00ED1D36">
        <w:rPr>
          <w:color w:val="000000"/>
          <w:sz w:val="26"/>
          <w:szCs w:val="26"/>
          <w:lang w:val="ro-RO"/>
        </w:rPr>
        <w:t xml:space="preserve"> din 23 decembrie 2010 </w:t>
      </w:r>
      <w:r>
        <w:rPr>
          <w:color w:val="000000"/>
          <w:sz w:val="26"/>
          <w:szCs w:val="26"/>
          <w:lang w:val="ro-RO"/>
        </w:rPr>
        <w:t>„</w:t>
      </w:r>
      <w:r w:rsidR="00185126">
        <w:rPr>
          <w:color w:val="000000"/>
          <w:sz w:val="26"/>
          <w:szCs w:val="26"/>
          <w:lang w:val="ro-RO"/>
        </w:rPr>
        <w:t>C</w:t>
      </w:r>
      <w:r w:rsidR="001577A4" w:rsidRPr="00ED1D36">
        <w:rPr>
          <w:color w:val="000000"/>
          <w:sz w:val="26"/>
          <w:szCs w:val="26"/>
          <w:lang w:val="ro-RO"/>
        </w:rPr>
        <w:t>u privire la impunerea obligaţiilor speciale preventive S.A.“</w:t>
      </w:r>
      <w:r w:rsidR="001577A4">
        <w:rPr>
          <w:color w:val="000000"/>
          <w:sz w:val="26"/>
          <w:szCs w:val="26"/>
          <w:lang w:val="ro-RO"/>
        </w:rPr>
        <w:t>Orange Moldova</w:t>
      </w:r>
      <w:r w:rsidR="001577A4" w:rsidRPr="00ED1D36">
        <w:rPr>
          <w:color w:val="000000"/>
          <w:sz w:val="26"/>
          <w:szCs w:val="26"/>
          <w:lang w:val="ro-RO"/>
        </w:rPr>
        <w:t xml:space="preserve">” în legătură cu puterea sa semnificativă pe piaţa de terminare a apelurilor voce în reţeaua individuală de telefonie </w:t>
      </w:r>
      <w:r w:rsidR="001577A4">
        <w:rPr>
          <w:color w:val="000000"/>
          <w:sz w:val="26"/>
          <w:szCs w:val="26"/>
          <w:lang w:val="ro-RO"/>
        </w:rPr>
        <w:t>mobil</w:t>
      </w:r>
      <w:r w:rsidR="001577A4" w:rsidRPr="00ED1D36">
        <w:rPr>
          <w:color w:val="000000"/>
          <w:sz w:val="26"/>
          <w:szCs w:val="26"/>
          <w:lang w:val="ro-RO"/>
        </w:rPr>
        <w:t>ă</w:t>
      </w:r>
      <w:r>
        <w:rPr>
          <w:color w:val="000000"/>
          <w:sz w:val="26"/>
          <w:szCs w:val="26"/>
          <w:lang w:val="ro-RO"/>
        </w:rPr>
        <w:t>”</w:t>
      </w:r>
      <w:r w:rsidR="001577A4">
        <w:rPr>
          <w:color w:val="000000"/>
          <w:sz w:val="26"/>
          <w:szCs w:val="26"/>
          <w:lang w:val="ro-RO"/>
        </w:rPr>
        <w:t>, conform Anexei nr. 4</w:t>
      </w:r>
      <w:r w:rsidRPr="002564E0">
        <w:rPr>
          <w:color w:val="000000"/>
          <w:sz w:val="26"/>
          <w:szCs w:val="26"/>
          <w:lang w:val="ro-RO"/>
        </w:rPr>
        <w:t xml:space="preserve"> </w:t>
      </w:r>
      <w:r>
        <w:rPr>
          <w:color w:val="000000"/>
          <w:sz w:val="26"/>
          <w:szCs w:val="26"/>
          <w:lang w:val="ro-RO"/>
        </w:rPr>
        <w:t>la prezenta hotărâre</w:t>
      </w:r>
      <w:r w:rsidR="00ED1D36">
        <w:rPr>
          <w:color w:val="000000"/>
          <w:sz w:val="26"/>
          <w:szCs w:val="26"/>
          <w:lang w:val="ro-RO"/>
        </w:rPr>
        <w:t>;</w:t>
      </w:r>
    </w:p>
    <w:p w:rsidR="00ED1D36" w:rsidRDefault="002564E0" w:rsidP="00FC250E">
      <w:pPr>
        <w:pStyle w:val="ListParagraph"/>
        <w:numPr>
          <w:ilvl w:val="0"/>
          <w:numId w:val="2"/>
        </w:numPr>
        <w:ind w:left="0" w:firstLine="720"/>
        <w:jc w:val="both"/>
        <w:rPr>
          <w:color w:val="000000"/>
          <w:sz w:val="26"/>
          <w:szCs w:val="26"/>
          <w:lang w:val="ro-RO"/>
        </w:rPr>
      </w:pPr>
      <w:r>
        <w:rPr>
          <w:color w:val="000000"/>
          <w:sz w:val="26"/>
          <w:szCs w:val="26"/>
          <w:lang w:val="ro-RO"/>
        </w:rPr>
        <w:lastRenderedPageBreak/>
        <w:t>Anexa la</w:t>
      </w:r>
      <w:r w:rsidR="00ED1D36" w:rsidRPr="00ED1D36">
        <w:rPr>
          <w:color w:val="000000"/>
          <w:sz w:val="26"/>
          <w:szCs w:val="26"/>
          <w:lang w:val="ro-RO"/>
        </w:rPr>
        <w:t xml:space="preserve"> Hotărârea Consiliului de Administrație al ANRCETI nr. </w:t>
      </w:r>
      <w:r w:rsidR="001577A4">
        <w:rPr>
          <w:color w:val="000000"/>
          <w:sz w:val="26"/>
          <w:szCs w:val="26"/>
          <w:lang w:val="ro-RO"/>
        </w:rPr>
        <w:t>78</w:t>
      </w:r>
      <w:r w:rsidR="00ED1D36" w:rsidRPr="00ED1D36">
        <w:rPr>
          <w:color w:val="000000"/>
          <w:sz w:val="26"/>
          <w:szCs w:val="26"/>
          <w:lang w:val="ro-RO"/>
        </w:rPr>
        <w:t xml:space="preserve"> din 23 decembrie 2010 </w:t>
      </w:r>
      <w:r>
        <w:rPr>
          <w:color w:val="000000"/>
          <w:sz w:val="26"/>
          <w:szCs w:val="26"/>
          <w:lang w:val="ro-RO"/>
        </w:rPr>
        <w:t>„</w:t>
      </w:r>
      <w:r w:rsidR="00185126">
        <w:rPr>
          <w:color w:val="000000"/>
          <w:sz w:val="26"/>
          <w:szCs w:val="26"/>
          <w:lang w:val="ro-RO"/>
        </w:rPr>
        <w:t>C</w:t>
      </w:r>
      <w:r w:rsidR="00ED1D36" w:rsidRPr="00ED1D36">
        <w:rPr>
          <w:color w:val="000000"/>
          <w:sz w:val="26"/>
          <w:szCs w:val="26"/>
          <w:lang w:val="ro-RO"/>
        </w:rPr>
        <w:t>u privire la impunerea obligaţiilor speciale preventive S.A.“</w:t>
      </w:r>
      <w:r w:rsidR="001577A4">
        <w:rPr>
          <w:color w:val="000000"/>
          <w:sz w:val="26"/>
          <w:szCs w:val="26"/>
          <w:lang w:val="ro-RO"/>
        </w:rPr>
        <w:t>Moldcell</w:t>
      </w:r>
      <w:r w:rsidR="00ED1D36" w:rsidRPr="00ED1D36">
        <w:rPr>
          <w:color w:val="000000"/>
          <w:sz w:val="26"/>
          <w:szCs w:val="26"/>
          <w:lang w:val="ro-RO"/>
        </w:rPr>
        <w:t>” în legătură cu puterea sa semnificativă pe piaţa de terminare a apelurilor voce în reţeaua individuală de telefonie fixă</w:t>
      </w:r>
      <w:r>
        <w:rPr>
          <w:color w:val="000000"/>
          <w:sz w:val="26"/>
          <w:szCs w:val="26"/>
          <w:lang w:val="ro-RO"/>
        </w:rPr>
        <w:t>”</w:t>
      </w:r>
      <w:r w:rsidR="00ED1D36">
        <w:rPr>
          <w:color w:val="000000"/>
          <w:sz w:val="26"/>
          <w:szCs w:val="26"/>
          <w:lang w:val="ro-RO"/>
        </w:rPr>
        <w:t xml:space="preserve">, conform Anexei nr. </w:t>
      </w:r>
      <w:r w:rsidR="001577A4">
        <w:rPr>
          <w:color w:val="000000"/>
          <w:sz w:val="26"/>
          <w:szCs w:val="26"/>
          <w:lang w:val="ro-RO"/>
        </w:rPr>
        <w:t>5</w:t>
      </w:r>
      <w:r w:rsidRPr="002564E0">
        <w:rPr>
          <w:color w:val="000000"/>
          <w:sz w:val="26"/>
          <w:szCs w:val="26"/>
          <w:lang w:val="ro-RO"/>
        </w:rPr>
        <w:t xml:space="preserve"> </w:t>
      </w:r>
      <w:r>
        <w:rPr>
          <w:color w:val="000000"/>
          <w:sz w:val="26"/>
          <w:szCs w:val="26"/>
          <w:lang w:val="ro-RO"/>
        </w:rPr>
        <w:t>la prezenta hotărâre</w:t>
      </w:r>
      <w:r w:rsidR="00ED1D36">
        <w:rPr>
          <w:color w:val="000000"/>
          <w:sz w:val="26"/>
          <w:szCs w:val="26"/>
          <w:lang w:val="ro-RO"/>
        </w:rPr>
        <w:t>;</w:t>
      </w:r>
    </w:p>
    <w:p w:rsidR="00ED1D36" w:rsidRPr="00AA108A" w:rsidRDefault="002564E0" w:rsidP="00FC250E">
      <w:pPr>
        <w:pStyle w:val="ListParagraph"/>
        <w:numPr>
          <w:ilvl w:val="0"/>
          <w:numId w:val="2"/>
        </w:numPr>
        <w:ind w:left="0" w:firstLine="720"/>
        <w:jc w:val="both"/>
        <w:rPr>
          <w:color w:val="000000"/>
          <w:sz w:val="26"/>
          <w:szCs w:val="26"/>
          <w:lang w:val="ro-RO"/>
        </w:rPr>
      </w:pPr>
      <w:r>
        <w:rPr>
          <w:color w:val="000000"/>
          <w:sz w:val="26"/>
          <w:szCs w:val="26"/>
          <w:lang w:val="ro-RO"/>
        </w:rPr>
        <w:t>Anexa la</w:t>
      </w:r>
      <w:r w:rsidR="00ED1D36" w:rsidRPr="00ED1D36">
        <w:rPr>
          <w:color w:val="000000"/>
          <w:sz w:val="26"/>
          <w:szCs w:val="26"/>
          <w:lang w:val="ro-RO"/>
        </w:rPr>
        <w:t xml:space="preserve"> Hotărârea Consiliului de Administrație al ANRCETI nr. </w:t>
      </w:r>
      <w:r w:rsidR="001577A4">
        <w:rPr>
          <w:color w:val="000000"/>
          <w:sz w:val="26"/>
          <w:szCs w:val="26"/>
          <w:lang w:val="ro-RO"/>
        </w:rPr>
        <w:t>79</w:t>
      </w:r>
      <w:r w:rsidR="00ED1D36" w:rsidRPr="00ED1D36">
        <w:rPr>
          <w:color w:val="000000"/>
          <w:sz w:val="26"/>
          <w:szCs w:val="26"/>
          <w:lang w:val="ro-RO"/>
        </w:rPr>
        <w:t xml:space="preserve"> din 23 decembrie 2010 </w:t>
      </w:r>
      <w:r>
        <w:rPr>
          <w:color w:val="000000"/>
          <w:sz w:val="26"/>
          <w:szCs w:val="26"/>
          <w:lang w:val="ro-RO"/>
        </w:rPr>
        <w:t>„</w:t>
      </w:r>
      <w:r w:rsidR="00185126">
        <w:rPr>
          <w:color w:val="000000"/>
          <w:sz w:val="26"/>
          <w:szCs w:val="26"/>
          <w:lang w:val="ro-RO"/>
        </w:rPr>
        <w:t>C</w:t>
      </w:r>
      <w:r w:rsidR="00ED1D36" w:rsidRPr="00ED1D36">
        <w:rPr>
          <w:color w:val="000000"/>
          <w:sz w:val="26"/>
          <w:szCs w:val="26"/>
          <w:lang w:val="ro-RO"/>
        </w:rPr>
        <w:t xml:space="preserve">u privire la impunerea obligaţiilor speciale preventive S.A.“Moldtelecom” în legătură cu puterea sa semnificativă pe piaţa de terminare a apelurilor voce în reţeaua individuală de telefonie </w:t>
      </w:r>
      <w:r w:rsidR="001577A4">
        <w:rPr>
          <w:color w:val="000000"/>
          <w:sz w:val="26"/>
          <w:szCs w:val="26"/>
          <w:lang w:val="ro-RO"/>
        </w:rPr>
        <w:t>mobil</w:t>
      </w:r>
      <w:r w:rsidR="00ED1D36" w:rsidRPr="00ED1D36">
        <w:rPr>
          <w:color w:val="000000"/>
          <w:sz w:val="26"/>
          <w:szCs w:val="26"/>
          <w:lang w:val="ro-RO"/>
        </w:rPr>
        <w:t>ă</w:t>
      </w:r>
      <w:r>
        <w:rPr>
          <w:color w:val="000000"/>
          <w:sz w:val="26"/>
          <w:szCs w:val="26"/>
          <w:lang w:val="ro-RO"/>
        </w:rPr>
        <w:t>”</w:t>
      </w:r>
      <w:r w:rsidR="00ED1D36">
        <w:rPr>
          <w:color w:val="000000"/>
          <w:sz w:val="26"/>
          <w:szCs w:val="26"/>
          <w:lang w:val="ro-RO"/>
        </w:rPr>
        <w:t xml:space="preserve">, conform Anexei nr. </w:t>
      </w:r>
      <w:r w:rsidR="001577A4">
        <w:rPr>
          <w:color w:val="000000"/>
          <w:sz w:val="26"/>
          <w:szCs w:val="26"/>
          <w:lang w:val="ro-RO"/>
        </w:rPr>
        <w:t>6</w:t>
      </w:r>
      <w:r w:rsidRPr="002564E0">
        <w:rPr>
          <w:color w:val="000000"/>
          <w:sz w:val="26"/>
          <w:szCs w:val="26"/>
          <w:lang w:val="ro-RO"/>
        </w:rPr>
        <w:t xml:space="preserve"> </w:t>
      </w:r>
      <w:r>
        <w:rPr>
          <w:color w:val="000000"/>
          <w:sz w:val="26"/>
          <w:szCs w:val="26"/>
          <w:lang w:val="ro-RO"/>
        </w:rPr>
        <w:t>la prezenta hotărâre</w:t>
      </w:r>
      <w:r w:rsidR="00ED1D36">
        <w:rPr>
          <w:color w:val="000000"/>
          <w:sz w:val="26"/>
          <w:szCs w:val="26"/>
          <w:lang w:val="ro-RO"/>
        </w:rPr>
        <w:t>;</w:t>
      </w:r>
    </w:p>
    <w:p w:rsidR="00AA108A" w:rsidRDefault="00AA108A" w:rsidP="00AA108A">
      <w:pPr>
        <w:pStyle w:val="ListParagraph"/>
        <w:numPr>
          <w:ilvl w:val="0"/>
          <w:numId w:val="2"/>
        </w:numPr>
        <w:ind w:left="0" w:firstLine="720"/>
        <w:jc w:val="both"/>
        <w:rPr>
          <w:color w:val="000000"/>
          <w:sz w:val="26"/>
          <w:szCs w:val="26"/>
          <w:lang w:val="ro-RO"/>
        </w:rPr>
      </w:pPr>
      <w:r>
        <w:rPr>
          <w:color w:val="000000"/>
          <w:sz w:val="26"/>
          <w:szCs w:val="26"/>
          <w:lang w:val="ro-RO"/>
        </w:rPr>
        <w:t>Anexa la</w:t>
      </w:r>
      <w:r w:rsidRPr="00ED1D36">
        <w:rPr>
          <w:color w:val="000000"/>
          <w:sz w:val="26"/>
          <w:szCs w:val="26"/>
          <w:lang w:val="ro-RO"/>
        </w:rPr>
        <w:t xml:space="preserve"> Hotărârea Consiliului de Administrație al ANRCETI nr. </w:t>
      </w:r>
      <w:r>
        <w:rPr>
          <w:color w:val="000000"/>
          <w:sz w:val="26"/>
          <w:szCs w:val="26"/>
          <w:lang w:val="ro-RO"/>
        </w:rPr>
        <w:t>28</w:t>
      </w:r>
      <w:r w:rsidRPr="00ED1D36">
        <w:rPr>
          <w:color w:val="000000"/>
          <w:sz w:val="26"/>
          <w:szCs w:val="26"/>
          <w:lang w:val="ro-RO"/>
        </w:rPr>
        <w:t xml:space="preserve"> din </w:t>
      </w:r>
      <w:r>
        <w:rPr>
          <w:color w:val="000000"/>
          <w:sz w:val="26"/>
          <w:szCs w:val="26"/>
          <w:lang w:val="ro-RO"/>
        </w:rPr>
        <w:t>01</w:t>
      </w:r>
      <w:r w:rsidRPr="00ED1D36">
        <w:rPr>
          <w:color w:val="000000"/>
          <w:sz w:val="26"/>
          <w:szCs w:val="26"/>
          <w:lang w:val="ro-RO"/>
        </w:rPr>
        <w:t xml:space="preserve"> </w:t>
      </w:r>
      <w:r>
        <w:rPr>
          <w:color w:val="000000"/>
          <w:sz w:val="26"/>
          <w:szCs w:val="26"/>
          <w:lang w:val="ro-RO"/>
        </w:rPr>
        <w:t>noiembrie</w:t>
      </w:r>
      <w:r w:rsidRPr="00ED1D36">
        <w:rPr>
          <w:color w:val="000000"/>
          <w:sz w:val="26"/>
          <w:szCs w:val="26"/>
          <w:lang w:val="ro-RO"/>
        </w:rPr>
        <w:t xml:space="preserve"> 201</w:t>
      </w:r>
      <w:r>
        <w:rPr>
          <w:color w:val="000000"/>
          <w:sz w:val="26"/>
          <w:szCs w:val="26"/>
          <w:lang w:val="ro-RO"/>
        </w:rPr>
        <w:t>1</w:t>
      </w:r>
      <w:r w:rsidRPr="00ED1D36">
        <w:rPr>
          <w:color w:val="000000"/>
          <w:sz w:val="26"/>
          <w:szCs w:val="26"/>
          <w:lang w:val="ro-RO"/>
        </w:rPr>
        <w:t xml:space="preserve"> </w:t>
      </w:r>
      <w:r>
        <w:rPr>
          <w:color w:val="000000"/>
          <w:sz w:val="26"/>
          <w:szCs w:val="26"/>
          <w:lang w:val="ro-RO"/>
        </w:rPr>
        <w:t>„</w:t>
      </w:r>
      <w:r w:rsidRPr="00EE6920">
        <w:rPr>
          <w:color w:val="000000"/>
          <w:sz w:val="26"/>
          <w:szCs w:val="26"/>
          <w:lang w:val="ro-RO"/>
        </w:rPr>
        <w:t>Cu privire la impunerea obligaţiilor speciale preventive S.A.”Moldtelecom” în legătură cu puterea sa semnificativă pe piaţa de tranzit de trafic în reţelele publice de telefonie</w:t>
      </w:r>
      <w:r>
        <w:rPr>
          <w:color w:val="000000"/>
          <w:sz w:val="26"/>
          <w:szCs w:val="26"/>
          <w:lang w:val="ro-RO"/>
        </w:rPr>
        <w:t>”, conform Anexei nr. 7</w:t>
      </w:r>
      <w:r w:rsidRPr="002564E0">
        <w:rPr>
          <w:color w:val="000000"/>
          <w:sz w:val="26"/>
          <w:szCs w:val="26"/>
          <w:lang w:val="ro-RO"/>
        </w:rPr>
        <w:t xml:space="preserve"> </w:t>
      </w:r>
      <w:r>
        <w:rPr>
          <w:color w:val="000000"/>
          <w:sz w:val="26"/>
          <w:szCs w:val="26"/>
          <w:lang w:val="ro-RO"/>
        </w:rPr>
        <w:t>la prezenta hotărâre;</w:t>
      </w:r>
    </w:p>
    <w:p w:rsidR="00AE2656" w:rsidRPr="00CB398D" w:rsidRDefault="009C5700" w:rsidP="00FC250E">
      <w:pPr>
        <w:pStyle w:val="ListParagraph"/>
        <w:numPr>
          <w:ilvl w:val="0"/>
          <w:numId w:val="1"/>
        </w:numPr>
        <w:ind w:left="0" w:firstLine="720"/>
        <w:jc w:val="both"/>
        <w:rPr>
          <w:color w:val="000000"/>
          <w:sz w:val="26"/>
          <w:szCs w:val="26"/>
          <w:lang w:val="ro-RO"/>
        </w:rPr>
      </w:pPr>
      <w:r>
        <w:rPr>
          <w:sz w:val="26"/>
          <w:szCs w:val="26"/>
          <w:lang w:val="ro-RO"/>
        </w:rPr>
        <w:t>Partea dispozitivă a p</w:t>
      </w:r>
      <w:r w:rsidR="009031D1" w:rsidRPr="00CB398D">
        <w:rPr>
          <w:sz w:val="26"/>
          <w:szCs w:val="26"/>
          <w:lang w:val="ro-RO"/>
        </w:rPr>
        <w:t>rezent</w:t>
      </w:r>
      <w:r>
        <w:rPr>
          <w:sz w:val="26"/>
          <w:szCs w:val="26"/>
          <w:lang w:val="ro-RO"/>
        </w:rPr>
        <w:t>ei</w:t>
      </w:r>
      <w:r w:rsidR="009031D1" w:rsidRPr="00CB398D">
        <w:rPr>
          <w:sz w:val="26"/>
          <w:szCs w:val="26"/>
          <w:lang w:val="ro-RO"/>
        </w:rPr>
        <w:t xml:space="preserve"> hotărâr</w:t>
      </w:r>
      <w:r>
        <w:rPr>
          <w:sz w:val="26"/>
          <w:szCs w:val="26"/>
          <w:lang w:val="ro-RO"/>
        </w:rPr>
        <w:t>i</w:t>
      </w:r>
      <w:r w:rsidR="009031D1" w:rsidRPr="00CB398D">
        <w:rPr>
          <w:sz w:val="26"/>
          <w:szCs w:val="26"/>
          <w:lang w:val="ro-RO"/>
        </w:rPr>
        <w:t xml:space="preserve"> se publică în Monitorul Oficial al Republicii Moldova.</w:t>
      </w:r>
      <w:r w:rsidR="009031D1" w:rsidRPr="00CB398D">
        <w:rPr>
          <w:color w:val="000000"/>
          <w:sz w:val="26"/>
          <w:szCs w:val="26"/>
          <w:lang w:val="ro-RO"/>
        </w:rPr>
        <w:t xml:space="preserve"> </w:t>
      </w:r>
    </w:p>
    <w:p w:rsidR="0039780B" w:rsidRPr="00CB398D" w:rsidRDefault="009031D1" w:rsidP="00FC250E">
      <w:pPr>
        <w:pStyle w:val="ListParagraph"/>
        <w:numPr>
          <w:ilvl w:val="0"/>
          <w:numId w:val="1"/>
        </w:numPr>
        <w:ind w:left="0" w:firstLine="720"/>
        <w:jc w:val="both"/>
        <w:rPr>
          <w:b/>
          <w:sz w:val="26"/>
          <w:szCs w:val="26"/>
          <w:lang w:val="ro-RO"/>
        </w:rPr>
      </w:pPr>
      <w:r w:rsidRPr="00CB398D">
        <w:rPr>
          <w:color w:val="000000"/>
          <w:sz w:val="26"/>
          <w:szCs w:val="26"/>
          <w:lang w:val="ro-RO"/>
        </w:rPr>
        <w:t xml:space="preserve">Prezenta hotărâre se comunică </w:t>
      </w:r>
      <w:r w:rsidR="00ED1D36">
        <w:rPr>
          <w:color w:val="000000"/>
          <w:sz w:val="26"/>
          <w:szCs w:val="26"/>
          <w:lang w:val="ro-RO"/>
        </w:rPr>
        <w:t xml:space="preserve">Consiliului Concurenței, </w:t>
      </w:r>
      <w:r w:rsidRPr="00CB398D">
        <w:rPr>
          <w:color w:val="000000"/>
          <w:sz w:val="26"/>
          <w:szCs w:val="26"/>
          <w:lang w:val="ro-RO"/>
        </w:rPr>
        <w:t>S.A.„Moldtelecom”</w:t>
      </w:r>
      <w:r w:rsidR="00ED1D36">
        <w:rPr>
          <w:color w:val="000000"/>
          <w:sz w:val="26"/>
          <w:szCs w:val="26"/>
          <w:lang w:val="ro-RO"/>
        </w:rPr>
        <w:t xml:space="preserve">, </w:t>
      </w:r>
      <w:r w:rsidR="00ED1D36" w:rsidRPr="00CB398D">
        <w:rPr>
          <w:color w:val="000000"/>
          <w:sz w:val="26"/>
          <w:szCs w:val="26"/>
          <w:lang w:val="ro-RO"/>
        </w:rPr>
        <w:t>S.A.„</w:t>
      </w:r>
      <w:r w:rsidR="00ED1D36">
        <w:rPr>
          <w:color w:val="000000"/>
          <w:sz w:val="26"/>
          <w:szCs w:val="26"/>
          <w:lang w:val="ro-RO"/>
        </w:rPr>
        <w:t>Orange Moldova</w:t>
      </w:r>
      <w:r w:rsidR="00ED1D36" w:rsidRPr="00CB398D">
        <w:rPr>
          <w:color w:val="000000"/>
          <w:sz w:val="26"/>
          <w:szCs w:val="26"/>
          <w:lang w:val="ro-RO"/>
        </w:rPr>
        <w:t>”</w:t>
      </w:r>
      <w:r w:rsidR="00ED1D36">
        <w:rPr>
          <w:color w:val="000000"/>
          <w:sz w:val="26"/>
          <w:szCs w:val="26"/>
          <w:lang w:val="ro-RO"/>
        </w:rPr>
        <w:t xml:space="preserve"> și</w:t>
      </w:r>
      <w:r w:rsidR="00ED1D36" w:rsidRPr="00ED1D36">
        <w:rPr>
          <w:color w:val="000000"/>
          <w:sz w:val="26"/>
          <w:szCs w:val="26"/>
          <w:lang w:val="ro-RO"/>
        </w:rPr>
        <w:t xml:space="preserve"> </w:t>
      </w:r>
      <w:r w:rsidR="00ED1D36" w:rsidRPr="00CB398D">
        <w:rPr>
          <w:color w:val="000000"/>
          <w:sz w:val="26"/>
          <w:szCs w:val="26"/>
          <w:lang w:val="ro-RO"/>
        </w:rPr>
        <w:t>S.A.„Mold</w:t>
      </w:r>
      <w:r w:rsidR="00ED1D36">
        <w:rPr>
          <w:color w:val="000000"/>
          <w:sz w:val="26"/>
          <w:szCs w:val="26"/>
          <w:lang w:val="ro-RO"/>
        </w:rPr>
        <w:t>cell</w:t>
      </w:r>
      <w:r w:rsidR="00ED1D36" w:rsidRPr="00CB398D">
        <w:rPr>
          <w:color w:val="000000"/>
          <w:sz w:val="26"/>
          <w:szCs w:val="26"/>
          <w:lang w:val="ro-RO"/>
        </w:rPr>
        <w:t>”</w:t>
      </w:r>
      <w:r w:rsidR="00ED1D36">
        <w:rPr>
          <w:color w:val="000000"/>
          <w:sz w:val="26"/>
          <w:szCs w:val="26"/>
          <w:lang w:val="ro-RO"/>
        </w:rPr>
        <w:t xml:space="preserve"> </w:t>
      </w:r>
      <w:r w:rsidRPr="00CB398D">
        <w:rPr>
          <w:color w:val="000000"/>
          <w:sz w:val="26"/>
          <w:szCs w:val="26"/>
          <w:lang w:val="ro-RO"/>
        </w:rPr>
        <w:t xml:space="preserve">în termen de 3 zile lucrătoare din data </w:t>
      </w:r>
      <w:r w:rsidR="00247370" w:rsidRPr="00CB398D">
        <w:rPr>
          <w:color w:val="000000"/>
          <w:sz w:val="26"/>
          <w:szCs w:val="26"/>
          <w:lang w:val="ro-RO"/>
        </w:rPr>
        <w:t>aprobării</w:t>
      </w:r>
      <w:r w:rsidRPr="00CB398D">
        <w:rPr>
          <w:color w:val="000000"/>
          <w:sz w:val="26"/>
          <w:szCs w:val="26"/>
          <w:lang w:val="ro-RO"/>
        </w:rPr>
        <w:t>.</w:t>
      </w:r>
    </w:p>
    <w:p w:rsidR="00CB68D9" w:rsidRDefault="00CB68D9" w:rsidP="00BE2AEF">
      <w:pPr>
        <w:autoSpaceDE w:val="0"/>
        <w:autoSpaceDN w:val="0"/>
        <w:adjustRightInd w:val="0"/>
        <w:jc w:val="both"/>
        <w:rPr>
          <w:b/>
          <w:sz w:val="26"/>
          <w:szCs w:val="26"/>
          <w:lang w:val="ro-RO"/>
        </w:rPr>
      </w:pPr>
    </w:p>
    <w:p w:rsidR="00BE2AEF" w:rsidRPr="009D3C3A" w:rsidRDefault="00BE2AEF" w:rsidP="00BE2AEF">
      <w:pPr>
        <w:autoSpaceDE w:val="0"/>
        <w:autoSpaceDN w:val="0"/>
        <w:adjustRightInd w:val="0"/>
        <w:jc w:val="both"/>
        <w:rPr>
          <w:b/>
          <w:sz w:val="26"/>
          <w:szCs w:val="26"/>
          <w:lang w:val="ro-RO"/>
        </w:rPr>
      </w:pPr>
    </w:p>
    <w:p w:rsidR="00BE2AEF" w:rsidRPr="009D3C3A" w:rsidRDefault="00CC03BB" w:rsidP="00BE2AEF">
      <w:pPr>
        <w:autoSpaceDE w:val="0"/>
        <w:autoSpaceDN w:val="0"/>
        <w:adjustRightInd w:val="0"/>
        <w:jc w:val="both"/>
        <w:rPr>
          <w:b/>
          <w:sz w:val="26"/>
          <w:szCs w:val="26"/>
          <w:lang w:val="ro-RO"/>
        </w:rPr>
      </w:pPr>
      <w:r w:rsidRPr="009D3C3A">
        <w:rPr>
          <w:b/>
          <w:sz w:val="26"/>
          <w:szCs w:val="26"/>
          <w:lang w:val="ro-RO"/>
        </w:rPr>
        <w:t>Membr</w:t>
      </w:r>
      <w:r>
        <w:rPr>
          <w:b/>
          <w:sz w:val="26"/>
          <w:szCs w:val="26"/>
          <w:lang w:val="ro-RO"/>
        </w:rPr>
        <w:t>ii</w:t>
      </w:r>
      <w:r w:rsidR="00691829">
        <w:rPr>
          <w:b/>
          <w:sz w:val="26"/>
          <w:szCs w:val="26"/>
          <w:lang w:val="ro-RO"/>
        </w:rPr>
        <w:t xml:space="preserve"> </w:t>
      </w:r>
      <w:r w:rsidR="00BE2AEF" w:rsidRPr="009D3C3A">
        <w:rPr>
          <w:b/>
          <w:sz w:val="26"/>
          <w:szCs w:val="26"/>
          <w:lang w:val="ro-RO"/>
        </w:rPr>
        <w:t>Consiliului</w:t>
      </w:r>
    </w:p>
    <w:p w:rsidR="00CC03BB" w:rsidRPr="00247370" w:rsidRDefault="00BE2AEF" w:rsidP="00CC5230">
      <w:pPr>
        <w:jc w:val="both"/>
        <w:rPr>
          <w:b/>
          <w:sz w:val="26"/>
          <w:szCs w:val="26"/>
          <w:lang w:val="en-US"/>
        </w:rPr>
      </w:pPr>
      <w:r w:rsidRPr="009D3C3A">
        <w:rPr>
          <w:b/>
          <w:sz w:val="26"/>
          <w:szCs w:val="26"/>
          <w:lang w:val="ro-RO"/>
        </w:rPr>
        <w:t>de Administraţie</w:t>
      </w:r>
      <w:r w:rsidRPr="009D3C3A">
        <w:rPr>
          <w:b/>
          <w:sz w:val="26"/>
          <w:szCs w:val="26"/>
          <w:lang w:val="ro-RO"/>
        </w:rPr>
        <w:tab/>
      </w:r>
      <w:r w:rsidRPr="009D3C3A">
        <w:rPr>
          <w:b/>
          <w:sz w:val="26"/>
          <w:szCs w:val="26"/>
          <w:lang w:val="ro-RO"/>
        </w:rPr>
        <w:tab/>
      </w:r>
      <w:r w:rsidRPr="009D3C3A">
        <w:rPr>
          <w:b/>
          <w:sz w:val="26"/>
          <w:szCs w:val="26"/>
          <w:lang w:val="ro-RO"/>
        </w:rPr>
        <w:tab/>
      </w:r>
      <w:r w:rsidRPr="009D3C3A">
        <w:rPr>
          <w:b/>
          <w:sz w:val="26"/>
          <w:szCs w:val="26"/>
          <w:lang w:val="ro-RO"/>
        </w:rPr>
        <w:tab/>
      </w:r>
      <w:r w:rsidRPr="009D3C3A">
        <w:rPr>
          <w:b/>
          <w:sz w:val="26"/>
          <w:szCs w:val="26"/>
          <w:lang w:val="ro-RO"/>
        </w:rPr>
        <w:tab/>
      </w:r>
      <w:r w:rsidRPr="009D3C3A">
        <w:rPr>
          <w:b/>
          <w:sz w:val="26"/>
          <w:szCs w:val="26"/>
          <w:lang w:val="ro-RO"/>
        </w:rPr>
        <w:tab/>
      </w:r>
      <w:r w:rsidRPr="009D3C3A">
        <w:rPr>
          <w:b/>
          <w:sz w:val="26"/>
          <w:szCs w:val="26"/>
          <w:lang w:val="ro-RO"/>
        </w:rPr>
        <w:tab/>
      </w:r>
      <w:r w:rsidR="00247370" w:rsidRPr="00247370">
        <w:rPr>
          <w:b/>
          <w:sz w:val="26"/>
          <w:szCs w:val="26"/>
          <w:lang w:val="en-US"/>
        </w:rPr>
        <w:t>Marian POCAZNOI</w:t>
      </w:r>
    </w:p>
    <w:p w:rsidR="00CC03BB" w:rsidRPr="00247370" w:rsidRDefault="00CC03BB" w:rsidP="00CC5230">
      <w:pPr>
        <w:jc w:val="both"/>
        <w:rPr>
          <w:b/>
          <w:sz w:val="26"/>
          <w:szCs w:val="26"/>
          <w:lang w:val="ro-RO"/>
        </w:rPr>
      </w:pPr>
    </w:p>
    <w:p w:rsidR="00247370" w:rsidRDefault="00247370" w:rsidP="001E0F6E">
      <w:pPr>
        <w:ind w:left="5760" w:firstLine="720"/>
        <w:jc w:val="both"/>
        <w:rPr>
          <w:b/>
          <w:sz w:val="26"/>
          <w:szCs w:val="26"/>
          <w:lang w:val="ro-RO"/>
        </w:rPr>
      </w:pPr>
    </w:p>
    <w:p w:rsidR="00CA766A" w:rsidRDefault="00247370" w:rsidP="001E0F6E">
      <w:pPr>
        <w:ind w:left="5760" w:firstLine="720"/>
        <w:jc w:val="both"/>
        <w:rPr>
          <w:b/>
          <w:sz w:val="26"/>
          <w:szCs w:val="26"/>
          <w:lang w:val="ro-RO"/>
        </w:rPr>
      </w:pPr>
      <w:r w:rsidRPr="00247370">
        <w:rPr>
          <w:b/>
          <w:sz w:val="26"/>
          <w:szCs w:val="26"/>
          <w:lang w:val="ro-RO"/>
        </w:rPr>
        <w:t>Andrei MUNTEAN</w:t>
      </w:r>
    </w:p>
    <w:p w:rsidR="00195BAA" w:rsidRDefault="00195BAA" w:rsidP="001E0F6E">
      <w:pPr>
        <w:ind w:left="5760" w:firstLine="720"/>
        <w:jc w:val="both"/>
        <w:rPr>
          <w:b/>
          <w:sz w:val="26"/>
          <w:szCs w:val="26"/>
          <w:lang w:val="ro-RO"/>
        </w:rPr>
      </w:pPr>
    </w:p>
    <w:p w:rsidR="00195BAA" w:rsidRDefault="00195BAA" w:rsidP="00195BAA">
      <w:pPr>
        <w:jc w:val="both"/>
        <w:rPr>
          <w:sz w:val="26"/>
          <w:szCs w:val="26"/>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Default="00195BAA" w:rsidP="00195BAA">
      <w:pPr>
        <w:pStyle w:val="ListParagraph"/>
        <w:jc w:val="right"/>
        <w:rPr>
          <w:sz w:val="24"/>
          <w:szCs w:val="24"/>
          <w:lang w:val="ro-RO"/>
        </w:rPr>
      </w:pPr>
    </w:p>
    <w:p w:rsidR="00195BAA" w:rsidRPr="00D476AB" w:rsidRDefault="00195BAA" w:rsidP="00195BAA">
      <w:pPr>
        <w:pStyle w:val="ListParagraph"/>
        <w:jc w:val="right"/>
        <w:rPr>
          <w:sz w:val="26"/>
          <w:szCs w:val="26"/>
          <w:lang w:val="ro-RO"/>
        </w:rPr>
      </w:pPr>
      <w:r w:rsidRPr="00D476AB">
        <w:rPr>
          <w:sz w:val="26"/>
          <w:szCs w:val="26"/>
          <w:lang w:val="ro-RO"/>
        </w:rPr>
        <w:lastRenderedPageBreak/>
        <w:t xml:space="preserve">Anexa nr. 1 </w:t>
      </w:r>
    </w:p>
    <w:p w:rsidR="00195BAA" w:rsidRPr="00D476AB" w:rsidRDefault="00195BAA" w:rsidP="00195BAA">
      <w:pPr>
        <w:pStyle w:val="ListParagraph"/>
        <w:jc w:val="right"/>
        <w:rPr>
          <w:sz w:val="26"/>
          <w:szCs w:val="26"/>
          <w:lang w:val="ro-RO"/>
        </w:rPr>
      </w:pPr>
      <w:r w:rsidRPr="00D476AB">
        <w:rPr>
          <w:sz w:val="26"/>
          <w:szCs w:val="26"/>
          <w:lang w:val="ro-RO"/>
        </w:rPr>
        <w:t xml:space="preserve">la Hotărârea Consiliului de Administrație </w:t>
      </w:r>
    </w:p>
    <w:p w:rsidR="00195BAA" w:rsidRPr="00D476AB" w:rsidRDefault="00195BAA" w:rsidP="00195BAA">
      <w:pPr>
        <w:pStyle w:val="ListParagraph"/>
        <w:jc w:val="right"/>
        <w:rPr>
          <w:sz w:val="26"/>
          <w:szCs w:val="26"/>
          <w:lang w:val="ro-RO"/>
        </w:rPr>
      </w:pPr>
      <w:r w:rsidRPr="00D476AB">
        <w:rPr>
          <w:sz w:val="26"/>
          <w:szCs w:val="26"/>
          <w:lang w:val="ro-RO"/>
        </w:rPr>
        <w:t xml:space="preserve">al ANRCETI nr. __ din __________ </w:t>
      </w:r>
    </w:p>
    <w:p w:rsidR="00195BAA" w:rsidRDefault="00195BAA" w:rsidP="00195BAA">
      <w:pPr>
        <w:pStyle w:val="ListParagraph"/>
        <w:jc w:val="right"/>
        <w:rPr>
          <w:sz w:val="26"/>
          <w:szCs w:val="26"/>
          <w:lang w:val="ro-RO"/>
        </w:rPr>
      </w:pPr>
    </w:p>
    <w:p w:rsidR="00ED032F" w:rsidRPr="00425DB8" w:rsidRDefault="00ED032F" w:rsidP="00425DB8">
      <w:pPr>
        <w:pStyle w:val="ListParagraph"/>
        <w:jc w:val="center"/>
        <w:rPr>
          <w:b/>
          <w:sz w:val="26"/>
          <w:szCs w:val="26"/>
          <w:lang w:val="ro-RO"/>
        </w:rPr>
      </w:pPr>
      <w:r w:rsidRPr="00425DB8">
        <w:rPr>
          <w:b/>
          <w:sz w:val="26"/>
          <w:szCs w:val="26"/>
          <w:lang w:val="ro-RO"/>
        </w:rPr>
        <w:t xml:space="preserve">Modificările </w:t>
      </w:r>
      <w:r w:rsidR="00545B75">
        <w:rPr>
          <w:b/>
          <w:sz w:val="26"/>
          <w:szCs w:val="26"/>
          <w:lang w:val="ro-RO"/>
        </w:rPr>
        <w:t xml:space="preserve">și completările </w:t>
      </w:r>
      <w:r w:rsidR="00185126" w:rsidRPr="00B10BB6">
        <w:rPr>
          <w:b/>
          <w:bCs/>
          <w:color w:val="000000"/>
          <w:sz w:val="26"/>
          <w:szCs w:val="26"/>
          <w:lang w:val="ro-RO" w:eastAsia="ru-RU"/>
        </w:rPr>
        <w:t xml:space="preserve">ce se operează </w:t>
      </w:r>
      <w:r w:rsidR="00185126">
        <w:rPr>
          <w:b/>
          <w:bCs/>
          <w:color w:val="000000"/>
          <w:sz w:val="26"/>
          <w:szCs w:val="26"/>
          <w:lang w:val="ro-RO" w:eastAsia="ru-RU"/>
        </w:rPr>
        <w:t xml:space="preserve">în </w:t>
      </w:r>
      <w:r w:rsidRPr="00425DB8">
        <w:rPr>
          <w:b/>
          <w:sz w:val="26"/>
          <w:szCs w:val="26"/>
          <w:lang w:val="ro-RO"/>
        </w:rPr>
        <w:t>Anex</w:t>
      </w:r>
      <w:r w:rsidR="00185126">
        <w:rPr>
          <w:b/>
          <w:sz w:val="26"/>
          <w:szCs w:val="26"/>
          <w:lang w:val="ro-RO"/>
        </w:rPr>
        <w:t>a</w:t>
      </w:r>
      <w:r w:rsidRPr="00425DB8">
        <w:rPr>
          <w:b/>
          <w:sz w:val="26"/>
          <w:szCs w:val="26"/>
          <w:lang w:val="ro-RO"/>
        </w:rPr>
        <w:t xml:space="preserve"> la Hotărârea Consiliului de Administrație al ANRCETI nr. 60 din 23 decembrie 2010 „</w:t>
      </w:r>
      <w:r w:rsidR="00185126">
        <w:rPr>
          <w:b/>
          <w:sz w:val="26"/>
          <w:szCs w:val="26"/>
          <w:lang w:val="ro-RO"/>
        </w:rPr>
        <w:t>C</w:t>
      </w:r>
      <w:r w:rsidRPr="00425DB8">
        <w:rPr>
          <w:b/>
          <w:sz w:val="26"/>
          <w:szCs w:val="26"/>
          <w:lang w:val="ro-RO"/>
        </w:rPr>
        <w:t>u privire la impunerea obligaţiilor speciale preventive S.A.“Moldtelecom” în legătură cu puterea sa semnificativă pe piaţa de terminare a apelurilor voce în reţeaua individuală de telefonie fixă”</w:t>
      </w:r>
    </w:p>
    <w:p w:rsidR="00ED032F" w:rsidRPr="00D476AB" w:rsidRDefault="00ED032F" w:rsidP="00195BAA">
      <w:pPr>
        <w:pStyle w:val="ListParagraph"/>
        <w:jc w:val="right"/>
        <w:rPr>
          <w:sz w:val="26"/>
          <w:szCs w:val="26"/>
          <w:lang w:val="ro-RO"/>
        </w:rPr>
      </w:pP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La punctul 1 sintagma “Regulamentul cu privire la interconectare, aprobat prin Hotărârea Consiliului de Administraţie al Agenţiei nr.12 din 31.01.2009” se substituie cu sintagma “Regulamentul cu privire la acces și interconectare, aprobat prin Hotărârea Consiliului de Administraţie al Agenţiei nr.   din                    ”;</w:t>
      </w: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 xml:space="preserve">La punctul 3 sintagma “de Interconectare” se </w:t>
      </w:r>
      <w:r w:rsidR="003D6453">
        <w:rPr>
          <w:sz w:val="26"/>
          <w:szCs w:val="26"/>
          <w:lang w:val="ro-RO"/>
        </w:rPr>
        <w:t>exclude</w:t>
      </w:r>
      <w:r w:rsidRPr="00D476AB">
        <w:rPr>
          <w:sz w:val="26"/>
          <w:szCs w:val="26"/>
          <w:lang w:val="ro-RO"/>
        </w:rPr>
        <w:t>;</w:t>
      </w: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 xml:space="preserve">Punctul 32 se modifică și se expune în următoarea redacție: </w:t>
      </w:r>
    </w:p>
    <w:p w:rsidR="00195BAA" w:rsidRPr="00D476AB" w:rsidRDefault="00195BAA" w:rsidP="00195BAA">
      <w:pPr>
        <w:ind w:firstLine="720"/>
        <w:jc w:val="both"/>
        <w:rPr>
          <w:sz w:val="26"/>
          <w:szCs w:val="26"/>
          <w:lang w:val="ro-RO"/>
        </w:rPr>
      </w:pPr>
      <w:r w:rsidRPr="00D476AB">
        <w:rPr>
          <w:sz w:val="26"/>
          <w:szCs w:val="26"/>
          <w:lang w:val="ro-RO"/>
        </w:rPr>
        <w:t>“32. Furnizorul-ofertant are obligația de publicare pe pagina sa de Internet a Ofertei de referinţă pentru interconectare cu reţeaua de telefonie fixă pe care o operează, în continuare ORI, şi, la solicitare, va pune la dispoziţia oricărui furnizor-solicitant ORI şi modificările şi/sau completările acesteia.”;</w:t>
      </w: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 xml:space="preserve">Punctul 33 se modifică și se expune în următoarea redacție: </w:t>
      </w:r>
    </w:p>
    <w:p w:rsidR="00195BAA" w:rsidRPr="00D476AB" w:rsidRDefault="00195BAA" w:rsidP="00195BAA">
      <w:pPr>
        <w:ind w:firstLine="720"/>
        <w:jc w:val="both"/>
        <w:rPr>
          <w:sz w:val="26"/>
          <w:szCs w:val="26"/>
          <w:lang w:val="ro-RO"/>
        </w:rPr>
      </w:pPr>
      <w:r w:rsidRPr="00D476AB">
        <w:rPr>
          <w:sz w:val="26"/>
          <w:szCs w:val="26"/>
          <w:lang w:val="ro-RO"/>
        </w:rPr>
        <w:t xml:space="preserve">“33. În cazul în care furnizorul-ofertant intenţionează să modifice sau să completeze ORI, proiectul modificărilor sau completărilor </w:t>
      </w:r>
      <w:r w:rsidR="00AB4747">
        <w:rPr>
          <w:sz w:val="26"/>
          <w:szCs w:val="26"/>
          <w:lang w:val="ro-RO"/>
        </w:rPr>
        <w:t>trebuie</w:t>
      </w:r>
      <w:r w:rsidRPr="00D476AB">
        <w:rPr>
          <w:sz w:val="26"/>
          <w:szCs w:val="26"/>
          <w:lang w:val="ro-RO"/>
        </w:rPr>
        <w:t xml:space="preserve"> transmis Agenţiei atât în format electronic, cât şi pe suport de hârtie, cu cel puţin 30 de zile calendaristice înainte de data aprobării şi </w:t>
      </w:r>
      <w:r w:rsidRPr="00822287">
        <w:rPr>
          <w:sz w:val="26"/>
          <w:szCs w:val="26"/>
          <w:lang w:val="ro-RO"/>
        </w:rPr>
        <w:t>publicat</w:t>
      </w:r>
      <w:r w:rsidRPr="00D476AB">
        <w:rPr>
          <w:sz w:val="26"/>
          <w:szCs w:val="26"/>
          <w:lang w:val="ro-RO"/>
        </w:rPr>
        <w:t xml:space="preserve"> pe pagina sa de Internet cu cel puţin 15 zile calendaristice înainte de data aprobării. În cazul unor modificări de structură sau mai mult de 50% din conţinutul ORI, proiectul trebuie transmis Agenţiei cu cel puţin 6 luni înainte de data adoptării şi publicat pe pagina sa de Internet cu cel puţin 2 luni de zile înainte de data aprobării, cu excepţia cazului în care modificarea sau completarea se realizează la cerinţa Agenţiei. De fiecare dată când furnizorul-ofertant transmite Agenţiei şi publică pe pagina sa de Internet modificări sau completări la ORI, acesta va pune concomitent la dispoziţie o versiune, cel puţin în format electronic, care să permită identificarea cu uşurinţă a elementelor actualizate, prin utilizarea unui format diferit al textului adăugat şi prin evidenţierea distinctă a textului eliminat, precum şi identificarea datei realizării actualizării.”;</w:t>
      </w: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 xml:space="preserve">Punctul 40 se modifică și se expune în următoarea redacție: </w:t>
      </w:r>
    </w:p>
    <w:p w:rsidR="00195BAA" w:rsidRPr="00D476AB" w:rsidRDefault="00195BAA" w:rsidP="00195BAA">
      <w:pPr>
        <w:pStyle w:val="ListParagraph"/>
        <w:jc w:val="both"/>
        <w:rPr>
          <w:sz w:val="26"/>
          <w:szCs w:val="26"/>
          <w:lang w:val="ro-RO"/>
        </w:rPr>
      </w:pPr>
      <w:r w:rsidRPr="00D476AB">
        <w:rPr>
          <w:sz w:val="26"/>
          <w:szCs w:val="26"/>
          <w:lang w:val="ro-RO"/>
        </w:rPr>
        <w:t>“40. Furnizorul-ofertant va include în ORI cel puţin următoarele informaţii :</w:t>
      </w:r>
    </w:p>
    <w:p w:rsidR="00195BAA" w:rsidRPr="00D476AB" w:rsidRDefault="00195BAA"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 xml:space="preserve">capacităţile de interconectare disponibile (porturi, puncte disponibile de interconectare, amplasarea lor geografică, caracteristicile tehnice ale interfeţei, alţi parametri tehnici); </w:t>
      </w:r>
    </w:p>
    <w:p w:rsidR="00195BAA" w:rsidRPr="00D476AB" w:rsidRDefault="00195BAA"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 xml:space="preserve">serviciile de interconectare furnizate; </w:t>
      </w:r>
    </w:p>
    <w:p w:rsidR="00195BAA" w:rsidRPr="00D476AB" w:rsidRDefault="00195BAA"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condiţiile tehnice şi comerciale în care serviciile de interconectare vor fi oferite furnizorului – solicitant;</w:t>
      </w:r>
    </w:p>
    <w:p w:rsidR="00195BAA" w:rsidRPr="00D476AB" w:rsidRDefault="00195BAA"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lastRenderedPageBreak/>
        <w:t xml:space="preserve">modul în care solicitanţii pot avea acces la informaţiile prevăzute la prezentul punct, precum şi formatul în care aceste informaţii sunt disponibile, termenii de punere la dispoziţie a acestor informaţii; </w:t>
      </w:r>
    </w:p>
    <w:p w:rsidR="00195BAA" w:rsidRPr="00D476AB" w:rsidRDefault="00195BAA"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acordul asupra nivelului de calitate privind furnizarea serviciilor de interconectare.</w:t>
      </w:r>
    </w:p>
    <w:p w:rsidR="00195BAA" w:rsidRPr="00D476AB" w:rsidRDefault="00195BAA" w:rsidP="00195BAA">
      <w:pPr>
        <w:pStyle w:val="ListParagraph"/>
        <w:ind w:left="0" w:firstLine="720"/>
        <w:jc w:val="both"/>
        <w:rPr>
          <w:sz w:val="26"/>
          <w:szCs w:val="26"/>
          <w:lang w:val="ro-RO"/>
        </w:rPr>
      </w:pPr>
      <w:r w:rsidRPr="00D476AB">
        <w:rPr>
          <w:sz w:val="26"/>
          <w:szCs w:val="26"/>
          <w:lang w:val="ro-RO"/>
        </w:rPr>
        <w:t>Aceste informaţii vor fi actualizate în termen de cel mult 10 zile de la data apariţiei unor modificări, precizându-se şi data realizării actualizării.”;</w:t>
      </w: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Punctul 44 se exclude;</w:t>
      </w:r>
    </w:p>
    <w:p w:rsidR="00195BAA" w:rsidRPr="00D476AB" w:rsidRDefault="00195BAA" w:rsidP="00FC250E">
      <w:pPr>
        <w:pStyle w:val="ListParagraph"/>
        <w:numPr>
          <w:ilvl w:val="0"/>
          <w:numId w:val="3"/>
        </w:numPr>
        <w:spacing w:after="200" w:line="276" w:lineRule="auto"/>
        <w:ind w:left="0" w:firstLine="720"/>
        <w:jc w:val="both"/>
        <w:rPr>
          <w:sz w:val="26"/>
          <w:szCs w:val="26"/>
          <w:lang w:val="ro-RO"/>
        </w:rPr>
      </w:pPr>
      <w:r w:rsidRPr="00D476AB">
        <w:rPr>
          <w:sz w:val="26"/>
          <w:szCs w:val="26"/>
          <w:lang w:val="ro-RO"/>
        </w:rPr>
        <w:t xml:space="preserve">Punctul 46 se modifică și se expune în următoarea redacție: </w:t>
      </w:r>
    </w:p>
    <w:p w:rsidR="00195BAA" w:rsidRPr="00D476AB" w:rsidRDefault="00195BAA" w:rsidP="00195BAA">
      <w:pPr>
        <w:pStyle w:val="ListParagraph"/>
        <w:ind w:left="0" w:firstLine="720"/>
        <w:jc w:val="both"/>
        <w:rPr>
          <w:sz w:val="26"/>
          <w:szCs w:val="26"/>
          <w:lang w:val="ro-RO"/>
        </w:rPr>
      </w:pPr>
      <w:r w:rsidRPr="00D476AB">
        <w:rPr>
          <w:sz w:val="26"/>
          <w:szCs w:val="26"/>
          <w:lang w:val="ro-RO"/>
        </w:rPr>
        <w:t xml:space="preserve">“46. Furnizorul-ofertant are obligația de publicare pe pagina sa de Internet a acordului-tip  de  interconectare. </w:t>
      </w:r>
      <w:r w:rsidR="00993B31">
        <w:rPr>
          <w:sz w:val="26"/>
          <w:szCs w:val="26"/>
          <w:lang w:val="ro-RO"/>
        </w:rPr>
        <w:t>Pentru m</w:t>
      </w:r>
      <w:r w:rsidRPr="00D476AB">
        <w:rPr>
          <w:sz w:val="26"/>
          <w:szCs w:val="26"/>
          <w:lang w:val="ro-RO"/>
        </w:rPr>
        <w:t xml:space="preserve">odificarea sau completarea acordului-tip de interconectare </w:t>
      </w:r>
      <w:r w:rsidR="00993B31">
        <w:rPr>
          <w:sz w:val="26"/>
          <w:szCs w:val="26"/>
          <w:lang w:val="ro-RO"/>
        </w:rPr>
        <w:t>sunt aplicabile</w:t>
      </w:r>
      <w:r w:rsidRPr="00D476AB">
        <w:rPr>
          <w:sz w:val="26"/>
          <w:szCs w:val="26"/>
          <w:lang w:val="ro-RO"/>
        </w:rPr>
        <w:t xml:space="preserve"> </w:t>
      </w:r>
      <w:r w:rsidR="00993B31">
        <w:rPr>
          <w:sz w:val="26"/>
          <w:szCs w:val="26"/>
          <w:lang w:val="ro-RO"/>
        </w:rPr>
        <w:t>condițiile și</w:t>
      </w:r>
      <w:r w:rsidR="00993B31" w:rsidRPr="00D476AB">
        <w:rPr>
          <w:sz w:val="26"/>
          <w:szCs w:val="26"/>
          <w:lang w:val="ro-RO"/>
        </w:rPr>
        <w:t xml:space="preserve"> </w:t>
      </w:r>
      <w:r w:rsidRPr="00D476AB">
        <w:rPr>
          <w:sz w:val="26"/>
          <w:szCs w:val="26"/>
          <w:lang w:val="ro-RO"/>
        </w:rPr>
        <w:t>termeni</w:t>
      </w:r>
      <w:r w:rsidR="00993B31">
        <w:rPr>
          <w:sz w:val="26"/>
          <w:szCs w:val="26"/>
          <w:lang w:val="ro-RO"/>
        </w:rPr>
        <w:t xml:space="preserve">i de la  </w:t>
      </w:r>
      <w:r w:rsidRPr="00D476AB">
        <w:rPr>
          <w:sz w:val="26"/>
          <w:szCs w:val="26"/>
          <w:lang w:val="ro-RO"/>
        </w:rPr>
        <w:t>punctul 33 din prezentele obligații.”</w:t>
      </w:r>
    </w:p>
    <w:p w:rsidR="00195BAA" w:rsidRPr="00D476AB" w:rsidRDefault="00195BAA" w:rsidP="00FC250E">
      <w:pPr>
        <w:pStyle w:val="ListParagraph"/>
        <w:numPr>
          <w:ilvl w:val="0"/>
          <w:numId w:val="3"/>
        </w:numPr>
        <w:spacing w:after="200" w:line="276" w:lineRule="auto"/>
        <w:jc w:val="both"/>
        <w:rPr>
          <w:sz w:val="26"/>
          <w:szCs w:val="26"/>
          <w:lang w:val="ro-RO"/>
        </w:rPr>
      </w:pPr>
      <w:r w:rsidRPr="00D476AB">
        <w:rPr>
          <w:sz w:val="26"/>
          <w:szCs w:val="26"/>
          <w:lang w:val="ro-RO"/>
        </w:rPr>
        <w:t>La punctul 47 sintagma “</w:t>
      </w:r>
      <w:r w:rsidR="00ED032F">
        <w:rPr>
          <w:sz w:val="26"/>
          <w:szCs w:val="26"/>
          <w:lang w:val="ro-RO"/>
        </w:rPr>
        <w:t xml:space="preserve">prevederilor </w:t>
      </w:r>
      <w:r w:rsidRPr="00D476AB">
        <w:rPr>
          <w:sz w:val="26"/>
          <w:szCs w:val="26"/>
          <w:lang w:val="ro-RO"/>
        </w:rPr>
        <w:t>Capitolului V, altor prevederi ale</w:t>
      </w:r>
      <w:r w:rsidR="00105B47">
        <w:rPr>
          <w:sz w:val="26"/>
          <w:szCs w:val="26"/>
          <w:lang w:val="ro-RO"/>
        </w:rPr>
        <w:t xml:space="preserve"> Regulamentului</w:t>
      </w:r>
      <w:r w:rsidRPr="00D476AB">
        <w:rPr>
          <w:sz w:val="26"/>
          <w:szCs w:val="26"/>
          <w:lang w:val="ro-RO"/>
        </w:rPr>
        <w:t xml:space="preserve">” se </w:t>
      </w:r>
      <w:r w:rsidR="00993B31">
        <w:rPr>
          <w:sz w:val="26"/>
          <w:szCs w:val="26"/>
          <w:lang w:val="ro-RO"/>
        </w:rPr>
        <w:t>substituie cu sintagma ”</w:t>
      </w:r>
      <w:r w:rsidR="00ED032F">
        <w:rPr>
          <w:sz w:val="26"/>
          <w:szCs w:val="26"/>
          <w:lang w:val="ro-RO"/>
        </w:rPr>
        <w:t xml:space="preserve">angajamentelor asumate în </w:t>
      </w:r>
      <w:r w:rsidR="00993B31">
        <w:rPr>
          <w:sz w:val="26"/>
          <w:szCs w:val="26"/>
          <w:lang w:val="ro-RO"/>
        </w:rPr>
        <w:t>ORI”</w:t>
      </w:r>
      <w:r w:rsidRPr="00D476AB">
        <w:rPr>
          <w:sz w:val="26"/>
          <w:szCs w:val="26"/>
          <w:lang w:val="ro-RO"/>
        </w:rPr>
        <w:t>;</w:t>
      </w:r>
    </w:p>
    <w:p w:rsidR="00195BAA" w:rsidRPr="00D476AB" w:rsidRDefault="00195BAA" w:rsidP="00FC250E">
      <w:pPr>
        <w:pStyle w:val="ListParagraph"/>
        <w:numPr>
          <w:ilvl w:val="0"/>
          <w:numId w:val="3"/>
        </w:numPr>
        <w:spacing w:after="200" w:line="276" w:lineRule="auto"/>
        <w:jc w:val="both"/>
        <w:rPr>
          <w:sz w:val="26"/>
          <w:szCs w:val="26"/>
          <w:lang w:val="ro-RO"/>
        </w:rPr>
      </w:pPr>
      <w:r w:rsidRPr="00D476AB">
        <w:rPr>
          <w:sz w:val="26"/>
          <w:szCs w:val="26"/>
          <w:lang w:val="ro-RO"/>
        </w:rPr>
        <w:t>La punctul 48 sintagma “ compartimentul II  şi  V  din</w:t>
      </w:r>
      <w:r w:rsidR="00105B47">
        <w:rPr>
          <w:sz w:val="26"/>
          <w:szCs w:val="26"/>
          <w:lang w:val="ro-RO"/>
        </w:rPr>
        <w:t xml:space="preserve"> Regulament</w:t>
      </w:r>
      <w:r w:rsidRPr="00D476AB">
        <w:rPr>
          <w:sz w:val="26"/>
          <w:szCs w:val="26"/>
          <w:lang w:val="ro-RO"/>
        </w:rPr>
        <w:t xml:space="preserve">” se </w:t>
      </w:r>
      <w:r w:rsidR="00993B31">
        <w:rPr>
          <w:sz w:val="26"/>
          <w:szCs w:val="26"/>
          <w:lang w:val="ro-RO"/>
        </w:rPr>
        <w:t>substituie cu sintagma ”ORI”</w:t>
      </w:r>
      <w:r w:rsidRPr="00D476AB">
        <w:rPr>
          <w:sz w:val="26"/>
          <w:szCs w:val="26"/>
          <w:lang w:val="ro-RO"/>
        </w:rPr>
        <w:t>.</w:t>
      </w:r>
    </w:p>
    <w:p w:rsidR="00195BAA" w:rsidRPr="00D476AB" w:rsidRDefault="00195BAA" w:rsidP="00195BAA">
      <w:pPr>
        <w:pStyle w:val="ListParagraph"/>
        <w:jc w:val="both"/>
        <w:rPr>
          <w:sz w:val="26"/>
          <w:szCs w:val="26"/>
          <w:lang w:val="ro-RO"/>
        </w:rPr>
      </w:pPr>
      <w:r w:rsidRPr="00D476AB">
        <w:rPr>
          <w:sz w:val="26"/>
          <w:szCs w:val="26"/>
          <w:lang w:val="ro-RO"/>
        </w:rPr>
        <w:t xml:space="preserve"> </w:t>
      </w:r>
    </w:p>
    <w:p w:rsidR="00ED032F" w:rsidRDefault="00ED032F">
      <w:pPr>
        <w:rPr>
          <w:sz w:val="24"/>
          <w:szCs w:val="24"/>
          <w:lang w:val="ro-RO"/>
        </w:rPr>
      </w:pPr>
      <w:r>
        <w:rPr>
          <w:sz w:val="24"/>
          <w:szCs w:val="24"/>
          <w:lang w:val="ro-RO"/>
        </w:rPr>
        <w:br w:type="page"/>
      </w:r>
    </w:p>
    <w:p w:rsidR="00195BAA" w:rsidRPr="00D476AB" w:rsidRDefault="00195BAA" w:rsidP="00195BAA">
      <w:pPr>
        <w:pStyle w:val="ListParagraph"/>
        <w:jc w:val="right"/>
        <w:rPr>
          <w:sz w:val="26"/>
          <w:szCs w:val="26"/>
          <w:lang w:val="ro-RO"/>
        </w:rPr>
      </w:pPr>
      <w:r w:rsidRPr="00D476AB">
        <w:rPr>
          <w:sz w:val="26"/>
          <w:szCs w:val="26"/>
          <w:lang w:val="ro-RO"/>
        </w:rPr>
        <w:lastRenderedPageBreak/>
        <w:t xml:space="preserve">Anexa nr. 2 </w:t>
      </w:r>
    </w:p>
    <w:p w:rsidR="00195BAA" w:rsidRPr="00D476AB" w:rsidRDefault="00195BAA" w:rsidP="00195BAA">
      <w:pPr>
        <w:pStyle w:val="ListParagraph"/>
        <w:jc w:val="right"/>
        <w:rPr>
          <w:sz w:val="26"/>
          <w:szCs w:val="26"/>
          <w:lang w:val="ro-RO"/>
        </w:rPr>
      </w:pPr>
      <w:r w:rsidRPr="00D476AB">
        <w:rPr>
          <w:sz w:val="26"/>
          <w:szCs w:val="26"/>
          <w:lang w:val="ro-RO"/>
        </w:rPr>
        <w:t xml:space="preserve">la Hotărârea Consiliului de Administrație </w:t>
      </w:r>
    </w:p>
    <w:p w:rsidR="00195BAA" w:rsidRPr="00D476AB" w:rsidRDefault="00195BAA" w:rsidP="00195BAA">
      <w:pPr>
        <w:pStyle w:val="ListParagraph"/>
        <w:jc w:val="right"/>
        <w:rPr>
          <w:sz w:val="26"/>
          <w:szCs w:val="26"/>
          <w:lang w:val="ro-RO"/>
        </w:rPr>
      </w:pPr>
      <w:r w:rsidRPr="00D476AB">
        <w:rPr>
          <w:sz w:val="26"/>
          <w:szCs w:val="26"/>
          <w:lang w:val="ro-RO"/>
        </w:rPr>
        <w:t xml:space="preserve">al ANRCETI nr. __ din __________ </w:t>
      </w:r>
    </w:p>
    <w:p w:rsidR="00195BAA" w:rsidRDefault="00195BAA" w:rsidP="00195BAA">
      <w:pPr>
        <w:pStyle w:val="ListParagraph"/>
        <w:jc w:val="right"/>
        <w:rPr>
          <w:sz w:val="26"/>
          <w:szCs w:val="26"/>
          <w:lang w:val="ro-RO"/>
        </w:rPr>
      </w:pPr>
    </w:p>
    <w:p w:rsidR="00ED032F" w:rsidRDefault="00ED032F" w:rsidP="00425DB8">
      <w:pPr>
        <w:pStyle w:val="ListParagraph"/>
        <w:jc w:val="center"/>
        <w:rPr>
          <w:b/>
          <w:sz w:val="26"/>
          <w:szCs w:val="26"/>
          <w:lang w:val="ro-RO"/>
        </w:rPr>
      </w:pPr>
      <w:r w:rsidRPr="002E0A73">
        <w:rPr>
          <w:b/>
          <w:sz w:val="26"/>
          <w:szCs w:val="26"/>
          <w:lang w:val="ro-RO"/>
        </w:rPr>
        <w:t xml:space="preserve">Modificările </w:t>
      </w:r>
      <w:r w:rsidR="00545B75">
        <w:rPr>
          <w:b/>
          <w:sz w:val="26"/>
          <w:szCs w:val="26"/>
          <w:lang w:val="ro-RO"/>
        </w:rPr>
        <w:t xml:space="preserve">și completările </w:t>
      </w:r>
      <w:r w:rsidR="00AA108A" w:rsidRPr="00B10BB6">
        <w:rPr>
          <w:b/>
          <w:bCs/>
          <w:color w:val="000000"/>
          <w:sz w:val="26"/>
          <w:szCs w:val="26"/>
          <w:lang w:val="ro-RO" w:eastAsia="ru-RU"/>
        </w:rPr>
        <w:t xml:space="preserve">ce se operează </w:t>
      </w:r>
      <w:r w:rsidR="00AA108A">
        <w:rPr>
          <w:b/>
          <w:bCs/>
          <w:color w:val="000000"/>
          <w:sz w:val="26"/>
          <w:szCs w:val="26"/>
          <w:lang w:val="ro-RO" w:eastAsia="ru-RU"/>
        </w:rPr>
        <w:t xml:space="preserve">în </w:t>
      </w:r>
      <w:r w:rsidR="00AA108A" w:rsidRPr="00425DB8">
        <w:rPr>
          <w:b/>
          <w:sz w:val="26"/>
          <w:szCs w:val="26"/>
          <w:lang w:val="ro-RO"/>
        </w:rPr>
        <w:t>Anex</w:t>
      </w:r>
      <w:r w:rsidR="00AA108A">
        <w:rPr>
          <w:b/>
          <w:sz w:val="26"/>
          <w:szCs w:val="26"/>
          <w:lang w:val="ro-RO"/>
        </w:rPr>
        <w:t>a</w:t>
      </w:r>
      <w:r w:rsidRPr="002E0A73">
        <w:rPr>
          <w:b/>
          <w:sz w:val="26"/>
          <w:szCs w:val="26"/>
          <w:lang w:val="ro-RO"/>
        </w:rPr>
        <w:t xml:space="preserve"> la Hotărârea Consiliului de Administrație al ANRCETI</w:t>
      </w:r>
      <w:r>
        <w:rPr>
          <w:b/>
          <w:sz w:val="26"/>
          <w:szCs w:val="26"/>
          <w:lang w:val="ro-RO"/>
        </w:rPr>
        <w:t xml:space="preserve"> </w:t>
      </w:r>
      <w:r w:rsidRPr="00425DB8">
        <w:rPr>
          <w:b/>
          <w:sz w:val="26"/>
          <w:szCs w:val="26"/>
          <w:lang w:val="ro-RO"/>
        </w:rPr>
        <w:t>nr. 42 din 17 noiembrie 2017 „</w:t>
      </w:r>
      <w:r w:rsidR="00AA108A" w:rsidRPr="00425DB8">
        <w:rPr>
          <w:b/>
          <w:sz w:val="26"/>
          <w:szCs w:val="26"/>
          <w:lang w:val="ro-RO"/>
        </w:rPr>
        <w:t>P</w:t>
      </w:r>
      <w:r w:rsidRPr="00425DB8">
        <w:rPr>
          <w:b/>
          <w:sz w:val="26"/>
          <w:szCs w:val="26"/>
          <w:lang w:val="ro-RO"/>
        </w:rPr>
        <w:t>rivind măsurile de reglementare preventivă ale pieței de furnizare cu ridicata de servicii de acces local la puncte fixe”</w:t>
      </w:r>
    </w:p>
    <w:p w:rsidR="00ED032F" w:rsidRPr="00D476AB" w:rsidRDefault="00ED032F" w:rsidP="00425DB8">
      <w:pPr>
        <w:pStyle w:val="ListParagraph"/>
        <w:jc w:val="center"/>
        <w:rPr>
          <w:sz w:val="26"/>
          <w:szCs w:val="26"/>
          <w:lang w:val="ro-RO"/>
        </w:rPr>
      </w:pPr>
    </w:p>
    <w:p w:rsidR="00677F1E" w:rsidRDefault="00677F1E" w:rsidP="00425DB8">
      <w:pPr>
        <w:pStyle w:val="ListParagraph"/>
        <w:numPr>
          <w:ilvl w:val="0"/>
          <w:numId w:val="9"/>
        </w:numPr>
        <w:spacing w:after="200" w:line="276" w:lineRule="auto"/>
        <w:ind w:left="0" w:firstLine="720"/>
        <w:jc w:val="both"/>
        <w:rPr>
          <w:sz w:val="26"/>
          <w:szCs w:val="26"/>
          <w:lang w:val="ro-RO"/>
        </w:rPr>
      </w:pPr>
      <w:r w:rsidRPr="00D476AB">
        <w:rPr>
          <w:sz w:val="26"/>
          <w:szCs w:val="26"/>
          <w:lang w:val="ro-RO"/>
        </w:rPr>
        <w:t xml:space="preserve">Punctul </w:t>
      </w:r>
      <w:r w:rsidR="00195BAA" w:rsidRPr="00D476AB">
        <w:rPr>
          <w:sz w:val="26"/>
          <w:szCs w:val="26"/>
          <w:lang w:val="ro-RO"/>
        </w:rPr>
        <w:t xml:space="preserve">83 </w:t>
      </w:r>
      <w:r>
        <w:rPr>
          <w:sz w:val="26"/>
          <w:szCs w:val="26"/>
          <w:lang w:val="ro-RO"/>
        </w:rPr>
        <w:t xml:space="preserve">va avea următorul cuprins: </w:t>
      </w:r>
    </w:p>
    <w:p w:rsidR="00195BAA" w:rsidRPr="00D476AB" w:rsidRDefault="00677F1E" w:rsidP="00425DB8">
      <w:pPr>
        <w:pStyle w:val="ListParagraph"/>
        <w:spacing w:after="200" w:line="276" w:lineRule="auto"/>
        <w:jc w:val="both"/>
        <w:rPr>
          <w:sz w:val="26"/>
          <w:szCs w:val="26"/>
          <w:lang w:val="ro-RO"/>
        </w:rPr>
      </w:pPr>
      <w:r>
        <w:rPr>
          <w:sz w:val="26"/>
          <w:szCs w:val="26"/>
          <w:lang w:val="ro-RO"/>
        </w:rPr>
        <w:t xml:space="preserve">” 83. </w:t>
      </w:r>
      <w:r w:rsidRPr="00425DB8">
        <w:rPr>
          <w:sz w:val="26"/>
          <w:szCs w:val="26"/>
          <w:lang w:val="ro-RO"/>
        </w:rPr>
        <w:t xml:space="preserve">Acordul de acces trebuie să fie elaborat astfel încât să permită furnizorului-solicitant să selecteze cu uşurinţă punctele de acces, opţiunile de acces şi de colocare, precum şi orice alte servicii oferite pe baza ORA şi va conţine, cel puţin </w:t>
      </w:r>
      <w:r w:rsidR="00195BAA" w:rsidRPr="00D476AB">
        <w:rPr>
          <w:sz w:val="26"/>
          <w:szCs w:val="26"/>
          <w:lang w:val="ro-RO"/>
        </w:rPr>
        <w:t>următoarele:</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condiţii pentru accesul la bucla locală: </w:t>
      </w:r>
    </w:p>
    <w:p w:rsidR="00195BAA" w:rsidRPr="00D476AB" w:rsidRDefault="00195BAA" w:rsidP="00FC250E">
      <w:pPr>
        <w:pStyle w:val="ListParagraph"/>
        <w:numPr>
          <w:ilvl w:val="0"/>
          <w:numId w:val="6"/>
        </w:numPr>
        <w:spacing w:after="200" w:line="276" w:lineRule="auto"/>
        <w:ind w:left="0" w:firstLine="900"/>
        <w:jc w:val="both"/>
        <w:rPr>
          <w:sz w:val="26"/>
          <w:szCs w:val="26"/>
          <w:lang w:val="ro-RO"/>
        </w:rPr>
      </w:pPr>
      <w:r w:rsidRPr="00D476AB">
        <w:rPr>
          <w:sz w:val="26"/>
          <w:szCs w:val="26"/>
          <w:lang w:val="ro-RO"/>
        </w:rPr>
        <w:t xml:space="preserve">elemente de reţea la care se oferă accesul, acoperind în special următoarele elemente: acces la buclele locale, acces la frecvenţele nevocale din spectrul de frecvenţă al unei bucle locale, în cazul accesului partajat la bucla locală; </w:t>
      </w:r>
    </w:p>
    <w:p w:rsidR="00195BAA" w:rsidRPr="00D476AB" w:rsidRDefault="00195BAA" w:rsidP="00FC250E">
      <w:pPr>
        <w:pStyle w:val="ListParagraph"/>
        <w:numPr>
          <w:ilvl w:val="0"/>
          <w:numId w:val="6"/>
        </w:numPr>
        <w:spacing w:after="200" w:line="276" w:lineRule="auto"/>
        <w:ind w:left="0" w:firstLine="900"/>
        <w:jc w:val="both"/>
        <w:rPr>
          <w:sz w:val="26"/>
          <w:szCs w:val="26"/>
          <w:lang w:val="ro-RO"/>
        </w:rPr>
      </w:pPr>
      <w:r w:rsidRPr="00D476AB">
        <w:rPr>
          <w:sz w:val="26"/>
          <w:szCs w:val="26"/>
          <w:lang w:val="ro-RO"/>
        </w:rPr>
        <w:t xml:space="preserve">informaţii privind amplasarea punctelor de acces fizic, disponibilitatea buclelor locale în părţi specifice ale reţelei de acces; </w:t>
      </w:r>
    </w:p>
    <w:p w:rsidR="00195BAA" w:rsidRPr="00D476AB" w:rsidRDefault="00195BAA" w:rsidP="00FC250E">
      <w:pPr>
        <w:pStyle w:val="ListParagraph"/>
        <w:numPr>
          <w:ilvl w:val="0"/>
          <w:numId w:val="6"/>
        </w:numPr>
        <w:spacing w:after="200" w:line="276" w:lineRule="auto"/>
        <w:ind w:left="0" w:firstLine="900"/>
        <w:jc w:val="both"/>
        <w:rPr>
          <w:sz w:val="26"/>
          <w:szCs w:val="26"/>
          <w:lang w:val="ro-RO"/>
        </w:rPr>
      </w:pPr>
      <w:r w:rsidRPr="00D476AB">
        <w:rPr>
          <w:sz w:val="26"/>
          <w:szCs w:val="26"/>
          <w:lang w:val="ro-RO"/>
        </w:rPr>
        <w:t xml:space="preserve">condiţii tehnice ce prevăd accesul şi utilizarea buclelor locale, inclusiv caracteristicile tehnice ale perechii metalice torsadate în bucla locală; </w:t>
      </w:r>
    </w:p>
    <w:p w:rsidR="00195BAA" w:rsidRPr="00D476AB" w:rsidRDefault="00195BAA" w:rsidP="00FC250E">
      <w:pPr>
        <w:pStyle w:val="ListParagraph"/>
        <w:numPr>
          <w:ilvl w:val="0"/>
          <w:numId w:val="6"/>
        </w:numPr>
        <w:spacing w:after="200" w:line="276" w:lineRule="auto"/>
        <w:ind w:left="0" w:firstLine="900"/>
        <w:jc w:val="both"/>
        <w:rPr>
          <w:sz w:val="26"/>
          <w:szCs w:val="26"/>
          <w:lang w:val="ro-RO"/>
        </w:rPr>
      </w:pPr>
      <w:r w:rsidRPr="00D476AB">
        <w:rPr>
          <w:sz w:val="26"/>
          <w:szCs w:val="26"/>
          <w:lang w:val="ro-RO"/>
        </w:rPr>
        <w:t xml:space="preserve">proceduri de comandă şi acordare, restricţii de utilizare;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servicii de colocare: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informaţii privind spaţiile de colocare relevante;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opţiuni de colocare în spaţiile de colocare (inclusiv colocare fizică în interiorul sau exteriorul clădirii furnizorului ofertant şi colocare virtuală);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caracteristicile echipamentului: restricţii, dacă există, asupra echipamentului ce poate fi colocat;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condiţii de securitate: măsuri aplicate de către furnizorul-ofertant pentru a asigura securitatea spaţiilor de colocare;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condiţii de acces pentru personalul furnizorilor;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condiţii de siguranţă;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reguli de alocare a spaţiului, în cazul în care spaţiul este limitat; </w:t>
      </w:r>
    </w:p>
    <w:p w:rsidR="00195BAA" w:rsidRPr="00D476AB" w:rsidRDefault="00195BAA" w:rsidP="00FC250E">
      <w:pPr>
        <w:pStyle w:val="ListParagraph"/>
        <w:numPr>
          <w:ilvl w:val="0"/>
          <w:numId w:val="7"/>
        </w:numPr>
        <w:spacing w:after="200" w:line="276" w:lineRule="auto"/>
        <w:ind w:left="0" w:firstLine="900"/>
        <w:jc w:val="both"/>
        <w:rPr>
          <w:sz w:val="26"/>
          <w:szCs w:val="26"/>
          <w:lang w:val="ro-RO"/>
        </w:rPr>
      </w:pPr>
      <w:r w:rsidRPr="00D476AB">
        <w:rPr>
          <w:sz w:val="26"/>
          <w:szCs w:val="26"/>
          <w:lang w:val="ro-RO"/>
        </w:rPr>
        <w:t xml:space="preserve">condiţii în care furnizorii-solicitanţi pot participa la verificarea caracteristicilor tehnice ale liniilor de abonat sau capacităţilor pentru care s-a refuzat satisfacerea comenzii;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condiţii de acces prin intermediul unor interfeţe utile la sistemele de asistenţă operaţională ale furnizorului-ofertant, care permite efectuarea în timp real a următoarelor acţiuni: verificarea posibilităţii tehnice de furnizare a accesului de bandă largă prin linia de abonat a solicitantului, plasarea comenzilor de punere la dispoziţie a liniilor de abonat, verificarea procesului de satisfacere a comenzilor, plasarea comenzilor de remediere a deranjamentelor etc.;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lastRenderedPageBreak/>
        <w:t xml:space="preserve">condiţii de furnizare: </w:t>
      </w:r>
    </w:p>
    <w:p w:rsidR="00195BAA" w:rsidRPr="00D476AB" w:rsidRDefault="00195BAA" w:rsidP="00FC250E">
      <w:pPr>
        <w:pStyle w:val="ListParagraph"/>
        <w:numPr>
          <w:ilvl w:val="0"/>
          <w:numId w:val="8"/>
        </w:numPr>
        <w:spacing w:after="200" w:line="276" w:lineRule="auto"/>
        <w:ind w:left="0" w:firstLine="900"/>
        <w:jc w:val="both"/>
        <w:rPr>
          <w:sz w:val="26"/>
          <w:szCs w:val="26"/>
          <w:lang w:val="ro-RO"/>
        </w:rPr>
      </w:pPr>
      <w:r w:rsidRPr="00D476AB">
        <w:rPr>
          <w:sz w:val="26"/>
          <w:szCs w:val="26"/>
          <w:lang w:val="ro-RO"/>
        </w:rPr>
        <w:t xml:space="preserve">timpul limită pentru răspunsul la cererile de furnizare a serviciilor şi a accesului la reţele şi/sau infrastructura asociată; acorduri asupra nivelului de calitate a serviciilor, soluţionarea erorilor, proceduri de revenire la un nivel normal al serviciului; </w:t>
      </w:r>
    </w:p>
    <w:p w:rsidR="00195BAA" w:rsidRPr="00D476AB" w:rsidRDefault="00195BAA" w:rsidP="00FC250E">
      <w:pPr>
        <w:pStyle w:val="ListParagraph"/>
        <w:numPr>
          <w:ilvl w:val="0"/>
          <w:numId w:val="8"/>
        </w:numPr>
        <w:spacing w:after="200" w:line="276" w:lineRule="auto"/>
        <w:ind w:left="0" w:firstLine="900"/>
        <w:jc w:val="both"/>
        <w:rPr>
          <w:sz w:val="26"/>
          <w:szCs w:val="26"/>
          <w:lang w:val="ro-RO"/>
        </w:rPr>
      </w:pPr>
      <w:r w:rsidRPr="00D476AB">
        <w:rPr>
          <w:sz w:val="26"/>
          <w:szCs w:val="26"/>
          <w:lang w:val="ro-RO"/>
        </w:rPr>
        <w:t xml:space="preserve">termeni contractuali standard de furnizare a accesului la bucla locală, inclusiv, după caz, compensaţii prevăzute în cazul nerespectării termenelor de execuţie;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preţuri sau formule de stabilire a acestora pentru fiecare element, enumerate mai sus;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schimbul de informaţii, confidenţialitate şi securitate;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cesionarea drepturilor sau obligaţiilor;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amendamente şi suplimente;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responsabilităţi;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 xml:space="preserve">situaţii excepţionale; </w:t>
      </w:r>
    </w:p>
    <w:p w:rsidR="00195BAA" w:rsidRPr="00D476AB" w:rsidRDefault="00195BAA" w:rsidP="00FC250E">
      <w:pPr>
        <w:pStyle w:val="ListParagraph"/>
        <w:numPr>
          <w:ilvl w:val="1"/>
          <w:numId w:val="5"/>
        </w:numPr>
        <w:spacing w:after="200" w:line="276" w:lineRule="auto"/>
        <w:ind w:left="0" w:firstLine="720"/>
        <w:jc w:val="both"/>
        <w:rPr>
          <w:sz w:val="26"/>
          <w:szCs w:val="26"/>
          <w:lang w:val="ro-RO"/>
        </w:rPr>
      </w:pPr>
      <w:r w:rsidRPr="00D476AB">
        <w:rPr>
          <w:sz w:val="26"/>
          <w:szCs w:val="26"/>
          <w:lang w:val="ro-RO"/>
        </w:rPr>
        <w:t>litigii.”.</w:t>
      </w:r>
    </w:p>
    <w:p w:rsidR="00195BAA" w:rsidRPr="00D476AB" w:rsidRDefault="00195BAA" w:rsidP="00195BAA">
      <w:pPr>
        <w:pStyle w:val="ListParagraph"/>
        <w:jc w:val="both"/>
        <w:rPr>
          <w:sz w:val="26"/>
          <w:szCs w:val="26"/>
          <w:lang w:val="ro-RO"/>
        </w:rPr>
      </w:pPr>
    </w:p>
    <w:p w:rsidR="00195BAA" w:rsidRPr="00D476AB" w:rsidRDefault="00195BAA" w:rsidP="00425DB8">
      <w:pPr>
        <w:pStyle w:val="ListParagraph"/>
        <w:numPr>
          <w:ilvl w:val="0"/>
          <w:numId w:val="9"/>
        </w:numPr>
        <w:spacing w:after="200" w:line="276" w:lineRule="auto"/>
        <w:ind w:left="0" w:firstLine="720"/>
        <w:jc w:val="both"/>
        <w:rPr>
          <w:sz w:val="26"/>
          <w:szCs w:val="26"/>
          <w:lang w:val="ro-RO"/>
        </w:rPr>
      </w:pPr>
      <w:r w:rsidRPr="00D476AB">
        <w:rPr>
          <w:sz w:val="26"/>
          <w:szCs w:val="26"/>
          <w:lang w:val="ro-RO"/>
        </w:rPr>
        <w:t xml:space="preserve">La punctul 98 ultima </w:t>
      </w:r>
      <w:r w:rsidR="00677F1E">
        <w:rPr>
          <w:sz w:val="26"/>
          <w:szCs w:val="26"/>
          <w:lang w:val="ro-RO"/>
        </w:rPr>
        <w:t>frază</w:t>
      </w:r>
      <w:r w:rsidR="00677F1E" w:rsidRPr="00D476AB">
        <w:rPr>
          <w:sz w:val="26"/>
          <w:szCs w:val="26"/>
          <w:lang w:val="ro-RO"/>
        </w:rPr>
        <w:t xml:space="preserve"> </w:t>
      </w:r>
      <w:r w:rsidR="00677F1E">
        <w:rPr>
          <w:sz w:val="26"/>
          <w:szCs w:val="26"/>
          <w:lang w:val="ro-RO"/>
        </w:rPr>
        <w:t xml:space="preserve">este înlocuită </w:t>
      </w:r>
      <w:r w:rsidR="00FD20F6">
        <w:rPr>
          <w:sz w:val="26"/>
          <w:szCs w:val="26"/>
          <w:lang w:val="ro-RO"/>
        </w:rPr>
        <w:t>de</w:t>
      </w:r>
      <w:r w:rsidR="00677F1E">
        <w:rPr>
          <w:sz w:val="26"/>
          <w:szCs w:val="26"/>
          <w:lang w:val="ro-RO"/>
        </w:rPr>
        <w:t xml:space="preserve"> următoarea</w:t>
      </w:r>
      <w:r w:rsidRPr="00D476AB">
        <w:rPr>
          <w:sz w:val="26"/>
          <w:szCs w:val="26"/>
          <w:lang w:val="ro-RO"/>
        </w:rPr>
        <w:t xml:space="preserve">: “În cazul în care furnizorul-ofertant intenţionează să modifice sau să completeze ORA, proiectul modificărilor sau completărilor </w:t>
      </w:r>
      <w:r w:rsidR="00AB4747">
        <w:rPr>
          <w:sz w:val="26"/>
          <w:szCs w:val="26"/>
          <w:lang w:val="ro-RO"/>
        </w:rPr>
        <w:t>trebuie</w:t>
      </w:r>
      <w:r w:rsidRPr="00D476AB">
        <w:rPr>
          <w:sz w:val="26"/>
          <w:szCs w:val="26"/>
          <w:lang w:val="ro-RO"/>
        </w:rPr>
        <w:t xml:space="preserve"> transmis Agenţiei atât în format electronic, cât şi pe suport de hârtie, cu cel puţin 30 de zile calendaristice înainte de data aprobării şi publicat pe pagina sa de Internet cu cel puţin 15 zile calendaristice înainte de data aprobării. În cazul unor modificări de structură sau mai mult de 50% din conţinutul ORA, proiectul trebuie transmis Agenţiei cu cel puţin 6 luni înainte de data adoptării şi publicat pe pagina sa de Internet cu cel puţin 2 luni de zile înainte de data aprobării, cu excepţia cazului în care modificarea sau completarea se realizează la cerinţa Agenţiei. De fiecare dată când furnizorul-ofertant transmite Agenţiei şi publică pe pagina sa de Internet modificări sau completări la ORA, acesta va pune concomitent la dispoziţie o versiune, cel puţin în format electronic, care să permită identificarea cu uşurinţă a elementelor actualizate, prin utilizarea unui format diferit al textului adăugat şi prin evidenţierea distinctă a textului eliminat, precum şi identificarea datei realizării actualizării.”;</w:t>
      </w:r>
    </w:p>
    <w:p w:rsidR="00195BAA" w:rsidRPr="00D476AB" w:rsidRDefault="00195BAA" w:rsidP="00425DB8">
      <w:pPr>
        <w:pStyle w:val="ListParagraph"/>
        <w:numPr>
          <w:ilvl w:val="0"/>
          <w:numId w:val="9"/>
        </w:numPr>
        <w:spacing w:after="200" w:line="276" w:lineRule="auto"/>
        <w:ind w:left="0" w:firstLine="720"/>
        <w:jc w:val="both"/>
        <w:rPr>
          <w:sz w:val="26"/>
          <w:szCs w:val="26"/>
          <w:lang w:val="ro-RO"/>
        </w:rPr>
      </w:pPr>
      <w:r w:rsidRPr="00D476AB">
        <w:rPr>
          <w:sz w:val="26"/>
          <w:szCs w:val="26"/>
          <w:lang w:val="ro-RO"/>
        </w:rPr>
        <w:t xml:space="preserve">La punctul 136 sintagma “şi/sau de Regulamentul cu privire la interconectare nr.12/2009” se exclude. </w:t>
      </w:r>
    </w:p>
    <w:p w:rsidR="00195BAA" w:rsidRDefault="00195BAA" w:rsidP="00195BAA">
      <w:pPr>
        <w:pStyle w:val="ListParagraph"/>
        <w:jc w:val="right"/>
        <w:rPr>
          <w:sz w:val="24"/>
          <w:szCs w:val="24"/>
          <w:lang w:val="ro-RO"/>
        </w:rPr>
      </w:pPr>
    </w:p>
    <w:p w:rsidR="00ED032F" w:rsidRDefault="00ED032F">
      <w:pPr>
        <w:rPr>
          <w:sz w:val="24"/>
          <w:szCs w:val="24"/>
          <w:lang w:val="ro-RO"/>
        </w:rPr>
      </w:pPr>
      <w:r>
        <w:rPr>
          <w:sz w:val="24"/>
          <w:szCs w:val="24"/>
          <w:lang w:val="ro-RO"/>
        </w:rPr>
        <w:br w:type="page"/>
      </w:r>
    </w:p>
    <w:p w:rsidR="00195BAA" w:rsidRPr="00D476AB" w:rsidRDefault="00195BAA" w:rsidP="00195BAA">
      <w:pPr>
        <w:pStyle w:val="ListParagraph"/>
        <w:jc w:val="right"/>
        <w:rPr>
          <w:sz w:val="26"/>
          <w:szCs w:val="26"/>
          <w:lang w:val="ro-RO"/>
        </w:rPr>
      </w:pPr>
      <w:r w:rsidRPr="00D476AB">
        <w:rPr>
          <w:sz w:val="26"/>
          <w:szCs w:val="26"/>
          <w:lang w:val="ro-RO"/>
        </w:rPr>
        <w:lastRenderedPageBreak/>
        <w:t xml:space="preserve">Anexa nr. 3 </w:t>
      </w:r>
    </w:p>
    <w:p w:rsidR="00195BAA" w:rsidRPr="00D476AB" w:rsidRDefault="00195BAA" w:rsidP="00195BAA">
      <w:pPr>
        <w:pStyle w:val="ListParagraph"/>
        <w:jc w:val="right"/>
        <w:rPr>
          <w:sz w:val="26"/>
          <w:szCs w:val="26"/>
          <w:lang w:val="ro-RO"/>
        </w:rPr>
      </w:pPr>
      <w:r w:rsidRPr="00D476AB">
        <w:rPr>
          <w:sz w:val="26"/>
          <w:szCs w:val="26"/>
          <w:lang w:val="ro-RO"/>
        </w:rPr>
        <w:t xml:space="preserve">la Hotărârea Consiliului de Administrație </w:t>
      </w:r>
    </w:p>
    <w:p w:rsidR="00195BAA" w:rsidRPr="00D476AB" w:rsidRDefault="00195BAA" w:rsidP="00195BAA">
      <w:pPr>
        <w:pStyle w:val="ListParagraph"/>
        <w:jc w:val="right"/>
        <w:rPr>
          <w:sz w:val="26"/>
          <w:szCs w:val="26"/>
          <w:lang w:val="ro-RO"/>
        </w:rPr>
      </w:pPr>
      <w:r w:rsidRPr="00D476AB">
        <w:rPr>
          <w:sz w:val="26"/>
          <w:szCs w:val="26"/>
          <w:lang w:val="ro-RO"/>
        </w:rPr>
        <w:t xml:space="preserve">al ANRCETI nr. __ din __________ </w:t>
      </w:r>
    </w:p>
    <w:p w:rsidR="00195BAA" w:rsidRDefault="00195BAA" w:rsidP="00195BAA">
      <w:pPr>
        <w:pStyle w:val="ListParagraph"/>
        <w:jc w:val="right"/>
        <w:rPr>
          <w:sz w:val="26"/>
          <w:szCs w:val="26"/>
          <w:lang w:val="ro-RO"/>
        </w:rPr>
      </w:pPr>
    </w:p>
    <w:p w:rsidR="00ED032F" w:rsidRDefault="00ED032F" w:rsidP="00425DB8">
      <w:pPr>
        <w:pStyle w:val="ListParagraph"/>
        <w:jc w:val="center"/>
        <w:rPr>
          <w:sz w:val="26"/>
          <w:szCs w:val="26"/>
          <w:lang w:val="ro-RO"/>
        </w:rPr>
      </w:pPr>
      <w:r w:rsidRPr="002E0A73">
        <w:rPr>
          <w:b/>
          <w:sz w:val="26"/>
          <w:szCs w:val="26"/>
          <w:lang w:val="ro-RO"/>
        </w:rPr>
        <w:t xml:space="preserve">Modificările </w:t>
      </w:r>
      <w:r w:rsidR="00545B75">
        <w:rPr>
          <w:b/>
          <w:sz w:val="26"/>
          <w:szCs w:val="26"/>
          <w:lang w:val="ro-RO"/>
        </w:rPr>
        <w:t xml:space="preserve">și completările </w:t>
      </w:r>
      <w:r w:rsidR="00AA108A" w:rsidRPr="00B10BB6">
        <w:rPr>
          <w:b/>
          <w:bCs/>
          <w:color w:val="000000"/>
          <w:sz w:val="26"/>
          <w:szCs w:val="26"/>
          <w:lang w:val="ro-RO" w:eastAsia="ru-RU"/>
        </w:rPr>
        <w:t xml:space="preserve">ce se operează </w:t>
      </w:r>
      <w:r w:rsidR="00AA108A">
        <w:rPr>
          <w:b/>
          <w:bCs/>
          <w:color w:val="000000"/>
          <w:sz w:val="26"/>
          <w:szCs w:val="26"/>
          <w:lang w:val="ro-RO" w:eastAsia="ru-RU"/>
        </w:rPr>
        <w:t xml:space="preserve">în </w:t>
      </w:r>
      <w:r w:rsidR="00AA108A" w:rsidRPr="00425DB8">
        <w:rPr>
          <w:b/>
          <w:sz w:val="26"/>
          <w:szCs w:val="26"/>
          <w:lang w:val="ro-RO"/>
        </w:rPr>
        <w:t>Anex</w:t>
      </w:r>
      <w:r w:rsidR="00AA108A">
        <w:rPr>
          <w:b/>
          <w:sz w:val="26"/>
          <w:szCs w:val="26"/>
          <w:lang w:val="ro-RO"/>
        </w:rPr>
        <w:t>a</w:t>
      </w:r>
      <w:r w:rsidR="00AA108A" w:rsidRPr="00AB4747">
        <w:rPr>
          <w:b/>
          <w:sz w:val="26"/>
          <w:szCs w:val="26"/>
          <w:lang w:val="en-US"/>
        </w:rPr>
        <w:t xml:space="preserve"> </w:t>
      </w:r>
      <w:r w:rsidRPr="002E0A73">
        <w:rPr>
          <w:b/>
          <w:sz w:val="26"/>
          <w:szCs w:val="26"/>
          <w:lang w:val="ro-RO"/>
        </w:rPr>
        <w:t>la Hotărârea Consiliului de Administrație al ANRCETI</w:t>
      </w:r>
      <w:r>
        <w:rPr>
          <w:b/>
          <w:sz w:val="26"/>
          <w:szCs w:val="26"/>
          <w:lang w:val="ro-RO"/>
        </w:rPr>
        <w:t xml:space="preserve"> </w:t>
      </w:r>
      <w:r w:rsidRPr="00425DB8">
        <w:rPr>
          <w:b/>
          <w:sz w:val="26"/>
          <w:szCs w:val="26"/>
          <w:lang w:val="ro-RO"/>
        </w:rPr>
        <w:t>nr. 43 din 17 noiembrie 2017 „</w:t>
      </w:r>
      <w:r w:rsidR="00AA108A" w:rsidRPr="00425DB8">
        <w:rPr>
          <w:b/>
          <w:sz w:val="26"/>
          <w:szCs w:val="26"/>
          <w:lang w:val="ro-RO"/>
        </w:rPr>
        <w:t>P</w:t>
      </w:r>
      <w:r w:rsidRPr="00425DB8">
        <w:rPr>
          <w:b/>
          <w:sz w:val="26"/>
          <w:szCs w:val="26"/>
          <w:lang w:val="ro-RO"/>
        </w:rPr>
        <w:t>rivind măsurile de reglementare preventivă ale pieței de furnizare cu ridicata de servicii de acces central la puncte fixe pentru produse de larg consum”</w:t>
      </w:r>
    </w:p>
    <w:p w:rsidR="00ED032F" w:rsidRPr="00D476AB" w:rsidRDefault="00ED032F" w:rsidP="00195BAA">
      <w:pPr>
        <w:pStyle w:val="ListParagraph"/>
        <w:jc w:val="right"/>
        <w:rPr>
          <w:sz w:val="26"/>
          <w:szCs w:val="26"/>
          <w:lang w:val="ro-RO"/>
        </w:rPr>
      </w:pPr>
    </w:p>
    <w:p w:rsidR="00195BAA" w:rsidRPr="00D476AB" w:rsidRDefault="00195BAA" w:rsidP="00425DB8">
      <w:pPr>
        <w:pStyle w:val="ListParagraph"/>
        <w:numPr>
          <w:ilvl w:val="0"/>
          <w:numId w:val="10"/>
        </w:numPr>
        <w:spacing w:after="200" w:line="276" w:lineRule="auto"/>
        <w:ind w:left="0" w:firstLine="720"/>
        <w:jc w:val="both"/>
        <w:rPr>
          <w:sz w:val="26"/>
          <w:szCs w:val="26"/>
          <w:lang w:val="ro-RO"/>
        </w:rPr>
      </w:pPr>
      <w:r w:rsidRPr="00D476AB">
        <w:rPr>
          <w:sz w:val="26"/>
          <w:szCs w:val="26"/>
          <w:lang w:val="ro-RO"/>
        </w:rPr>
        <w:t xml:space="preserve">La punctul 45 prima </w:t>
      </w:r>
      <w:r w:rsidR="00FD20F6">
        <w:rPr>
          <w:sz w:val="26"/>
          <w:szCs w:val="26"/>
          <w:lang w:val="ro-RO"/>
        </w:rPr>
        <w:t>frază</w:t>
      </w:r>
      <w:r w:rsidR="00FD20F6" w:rsidRPr="00D476AB">
        <w:rPr>
          <w:sz w:val="26"/>
          <w:szCs w:val="26"/>
          <w:lang w:val="ro-RO"/>
        </w:rPr>
        <w:t xml:space="preserve"> </w:t>
      </w:r>
      <w:r w:rsidRPr="00D476AB">
        <w:rPr>
          <w:sz w:val="26"/>
          <w:szCs w:val="26"/>
          <w:lang w:val="ro-RO"/>
        </w:rPr>
        <w:t>se expune în următoarea redacție: “Acordul de acces bitstream se va negocia în termenii şi condiţiile similare celor de negociere a acordului de acces la bucla/</w:t>
      </w:r>
      <w:proofErr w:type="spellStart"/>
      <w:r w:rsidRPr="00D476AB">
        <w:rPr>
          <w:sz w:val="26"/>
          <w:szCs w:val="26"/>
          <w:lang w:val="ro-RO"/>
        </w:rPr>
        <w:t>subbucla</w:t>
      </w:r>
      <w:proofErr w:type="spellEnd"/>
      <w:r w:rsidRPr="00D476AB">
        <w:rPr>
          <w:sz w:val="26"/>
          <w:szCs w:val="26"/>
          <w:lang w:val="ro-RO"/>
        </w:rPr>
        <w:t xml:space="preserve"> locală în conformitate cu Obligaţiile speciale preventive ce se impun S.A.„Moldtelecom, aprobate prin Hotărârea Consiliului de Administrație al ANRCETI nr. 42 din 14 noiembrie 2017 privind măsurile de reglementare preventivă ale pieței de furnizare cu ridicata de servicii de acces local la puncte fixe.”; </w:t>
      </w:r>
    </w:p>
    <w:p w:rsidR="00195BAA" w:rsidRPr="00D476AB" w:rsidRDefault="00195BAA" w:rsidP="00425DB8">
      <w:pPr>
        <w:pStyle w:val="ListParagraph"/>
        <w:numPr>
          <w:ilvl w:val="0"/>
          <w:numId w:val="10"/>
        </w:numPr>
        <w:spacing w:after="200" w:line="276" w:lineRule="auto"/>
        <w:ind w:left="0" w:firstLine="720"/>
        <w:jc w:val="both"/>
        <w:rPr>
          <w:sz w:val="26"/>
          <w:szCs w:val="26"/>
          <w:lang w:val="ro-RO"/>
        </w:rPr>
      </w:pPr>
      <w:r w:rsidRPr="00D476AB">
        <w:rPr>
          <w:sz w:val="26"/>
          <w:szCs w:val="26"/>
          <w:lang w:val="ro-RO"/>
        </w:rPr>
        <w:t xml:space="preserve">La punctul 49 ultima </w:t>
      </w:r>
      <w:r w:rsidR="00FD20F6">
        <w:rPr>
          <w:sz w:val="26"/>
          <w:szCs w:val="26"/>
          <w:lang w:val="ro-RO"/>
        </w:rPr>
        <w:t>frază este înlocuită prin</w:t>
      </w:r>
      <w:r w:rsidRPr="00D476AB">
        <w:rPr>
          <w:sz w:val="26"/>
          <w:szCs w:val="26"/>
          <w:lang w:val="ro-RO"/>
        </w:rPr>
        <w:t xml:space="preserve"> următoarea: “În cazul în care furnizorul-ofertant intenţionează să modifice sau să completeze ORB, proiectul modificărilor sau completărilor </w:t>
      </w:r>
      <w:r w:rsidR="00AB4747">
        <w:rPr>
          <w:sz w:val="26"/>
          <w:szCs w:val="26"/>
          <w:lang w:val="ro-RO"/>
        </w:rPr>
        <w:t>trebuie</w:t>
      </w:r>
      <w:r w:rsidRPr="00D476AB">
        <w:rPr>
          <w:sz w:val="26"/>
          <w:szCs w:val="26"/>
          <w:lang w:val="ro-RO"/>
        </w:rPr>
        <w:t xml:space="preserve"> transmis Agenţiei atât în format electronic, cât şi pe suport de hârtie, cu cel puţin 30 de zile calendaristice înainte de data aprobării şi publicat pe pagina sa de Internet cu cel puţin 15 zile calendaristice înainte de data aprobării. În cazul unor modificări de structură sau mai mult de 50% din conţinutul ORB, proiectul trebuie transmis Agenţiei cu cel puţin 6 luni înainte de data adoptării şi publicat pe pagina sa de Internet cu cel puţin 2 luni de zile înainte de data aprobării, cu excepţia cazului în care modificarea sau completarea se realizează la cerinţa Agenţiei. De fiecare dată când furnizorul-ofertant transmite Agenţiei şi publică pe pagina sa de Internet modificări sau completări la ORB, acesta va pune concomitent la dispoziţie o versiune, cel puţin în format electronic, care să permită identificarea cu uşurinţă a elementelor actualizate, prin utilizarea unui format diferit al textului adăugat şi prin evidenţierea distinctă a textului eliminat, precum şi identificarea datei realizării actualizării.”;</w:t>
      </w:r>
    </w:p>
    <w:p w:rsidR="00195BAA" w:rsidRPr="00D476AB" w:rsidRDefault="00195BAA" w:rsidP="00425DB8">
      <w:pPr>
        <w:pStyle w:val="ListParagraph"/>
        <w:numPr>
          <w:ilvl w:val="0"/>
          <w:numId w:val="10"/>
        </w:numPr>
        <w:spacing w:after="200" w:line="276" w:lineRule="auto"/>
        <w:ind w:left="0" w:firstLine="720"/>
        <w:jc w:val="both"/>
        <w:rPr>
          <w:sz w:val="26"/>
          <w:szCs w:val="26"/>
          <w:lang w:val="ro-RO"/>
        </w:rPr>
      </w:pPr>
      <w:r w:rsidRPr="00D476AB">
        <w:rPr>
          <w:sz w:val="26"/>
          <w:szCs w:val="26"/>
          <w:lang w:val="ro-RO"/>
        </w:rPr>
        <w:t xml:space="preserve">La punctul 74 sintagma “şi/sau de Regulamentul cu privire la interconectare nr.12/2009” se exclude. </w:t>
      </w:r>
    </w:p>
    <w:p w:rsidR="00ED032F" w:rsidRDefault="00ED032F">
      <w:pPr>
        <w:rPr>
          <w:sz w:val="26"/>
          <w:szCs w:val="26"/>
          <w:lang w:val="ro-RO"/>
        </w:rPr>
      </w:pPr>
      <w:r>
        <w:rPr>
          <w:sz w:val="26"/>
          <w:szCs w:val="26"/>
          <w:lang w:val="ro-RO"/>
        </w:rPr>
        <w:br w:type="page"/>
      </w:r>
    </w:p>
    <w:p w:rsidR="00293942" w:rsidRPr="00D476AB" w:rsidRDefault="00293942" w:rsidP="00293942">
      <w:pPr>
        <w:pStyle w:val="ListParagraph"/>
        <w:jc w:val="right"/>
        <w:rPr>
          <w:sz w:val="26"/>
          <w:szCs w:val="26"/>
          <w:lang w:val="ro-RO"/>
        </w:rPr>
      </w:pPr>
      <w:r w:rsidRPr="00D476AB">
        <w:rPr>
          <w:sz w:val="26"/>
          <w:szCs w:val="26"/>
          <w:lang w:val="ro-RO"/>
        </w:rPr>
        <w:lastRenderedPageBreak/>
        <w:t xml:space="preserve">Anexa nr. 4 </w:t>
      </w:r>
    </w:p>
    <w:p w:rsidR="00293942" w:rsidRPr="00D476AB" w:rsidRDefault="00293942" w:rsidP="00293942">
      <w:pPr>
        <w:pStyle w:val="ListParagraph"/>
        <w:jc w:val="right"/>
        <w:rPr>
          <w:sz w:val="26"/>
          <w:szCs w:val="26"/>
          <w:lang w:val="ro-RO"/>
        </w:rPr>
      </w:pPr>
      <w:r w:rsidRPr="00D476AB">
        <w:rPr>
          <w:sz w:val="26"/>
          <w:szCs w:val="26"/>
          <w:lang w:val="ro-RO"/>
        </w:rPr>
        <w:t xml:space="preserve">la Hotărârea Consiliului de Administrație </w:t>
      </w:r>
    </w:p>
    <w:p w:rsidR="00293942" w:rsidRPr="00D476AB" w:rsidRDefault="00293942" w:rsidP="00293942">
      <w:pPr>
        <w:pStyle w:val="ListParagraph"/>
        <w:jc w:val="right"/>
        <w:rPr>
          <w:sz w:val="26"/>
          <w:szCs w:val="26"/>
          <w:lang w:val="ro-RO"/>
        </w:rPr>
      </w:pPr>
      <w:r w:rsidRPr="00D476AB">
        <w:rPr>
          <w:sz w:val="26"/>
          <w:szCs w:val="26"/>
          <w:lang w:val="ro-RO"/>
        </w:rPr>
        <w:t xml:space="preserve">al ANRCETI nr. __ din __________ </w:t>
      </w:r>
    </w:p>
    <w:p w:rsidR="00293942" w:rsidRDefault="00293942" w:rsidP="00293942">
      <w:pPr>
        <w:pStyle w:val="ListParagraph"/>
        <w:jc w:val="right"/>
        <w:rPr>
          <w:sz w:val="26"/>
          <w:szCs w:val="26"/>
          <w:lang w:val="ro-RO"/>
        </w:rPr>
      </w:pPr>
    </w:p>
    <w:p w:rsidR="00ED032F" w:rsidRPr="00425DB8" w:rsidRDefault="00ED032F" w:rsidP="00425DB8">
      <w:pPr>
        <w:pStyle w:val="ListParagraph"/>
        <w:jc w:val="center"/>
        <w:rPr>
          <w:color w:val="000000"/>
          <w:sz w:val="26"/>
          <w:szCs w:val="26"/>
          <w:lang w:val="ro-RO"/>
        </w:rPr>
      </w:pPr>
      <w:r w:rsidRPr="002E0A73">
        <w:rPr>
          <w:b/>
          <w:sz w:val="26"/>
          <w:szCs w:val="26"/>
          <w:lang w:val="ro-RO"/>
        </w:rPr>
        <w:t xml:space="preserve">Modificările </w:t>
      </w:r>
      <w:r w:rsidR="00545B75">
        <w:rPr>
          <w:b/>
          <w:sz w:val="26"/>
          <w:szCs w:val="26"/>
          <w:lang w:val="ro-RO"/>
        </w:rPr>
        <w:t xml:space="preserve">și completările </w:t>
      </w:r>
      <w:r w:rsidR="00AA108A" w:rsidRPr="00B10BB6">
        <w:rPr>
          <w:b/>
          <w:bCs/>
          <w:color w:val="000000"/>
          <w:sz w:val="26"/>
          <w:szCs w:val="26"/>
          <w:lang w:val="ro-RO" w:eastAsia="ru-RU"/>
        </w:rPr>
        <w:t xml:space="preserve">ce se operează </w:t>
      </w:r>
      <w:r w:rsidR="00AA108A">
        <w:rPr>
          <w:b/>
          <w:bCs/>
          <w:color w:val="000000"/>
          <w:sz w:val="26"/>
          <w:szCs w:val="26"/>
          <w:lang w:val="ro-RO" w:eastAsia="ru-RU"/>
        </w:rPr>
        <w:t xml:space="preserve">în </w:t>
      </w:r>
      <w:r w:rsidR="00AA108A" w:rsidRPr="00425DB8">
        <w:rPr>
          <w:b/>
          <w:sz w:val="26"/>
          <w:szCs w:val="26"/>
          <w:lang w:val="ro-RO"/>
        </w:rPr>
        <w:t>Anex</w:t>
      </w:r>
      <w:r w:rsidR="00AA108A">
        <w:rPr>
          <w:b/>
          <w:sz w:val="26"/>
          <w:szCs w:val="26"/>
          <w:lang w:val="ro-RO"/>
        </w:rPr>
        <w:t>a</w:t>
      </w:r>
      <w:r w:rsidR="00AA108A" w:rsidRPr="00AB4747">
        <w:rPr>
          <w:b/>
          <w:sz w:val="26"/>
          <w:szCs w:val="26"/>
          <w:lang w:val="en-US"/>
        </w:rPr>
        <w:t xml:space="preserve"> </w:t>
      </w:r>
      <w:r w:rsidRPr="002E0A73">
        <w:rPr>
          <w:b/>
          <w:sz w:val="26"/>
          <w:szCs w:val="26"/>
          <w:lang w:val="ro-RO"/>
        </w:rPr>
        <w:t>la Hotărârea Consiliului de Administrație al ANRCETI</w:t>
      </w:r>
      <w:r w:rsidR="00677F1E">
        <w:rPr>
          <w:b/>
          <w:sz w:val="26"/>
          <w:szCs w:val="26"/>
          <w:lang w:val="ro-RO"/>
        </w:rPr>
        <w:t xml:space="preserve"> nr.</w:t>
      </w:r>
      <w:r w:rsidR="00677F1E" w:rsidRPr="00425DB8">
        <w:rPr>
          <w:b/>
          <w:sz w:val="26"/>
          <w:szCs w:val="26"/>
          <w:lang w:val="ro-RO"/>
        </w:rPr>
        <w:t>77 din 23 decembrie 2010 „</w:t>
      </w:r>
      <w:r w:rsidR="00AA108A" w:rsidRPr="00425DB8">
        <w:rPr>
          <w:b/>
          <w:sz w:val="26"/>
          <w:szCs w:val="26"/>
          <w:lang w:val="ro-RO"/>
        </w:rPr>
        <w:t>C</w:t>
      </w:r>
      <w:r w:rsidR="00677F1E" w:rsidRPr="00425DB8">
        <w:rPr>
          <w:b/>
          <w:sz w:val="26"/>
          <w:szCs w:val="26"/>
          <w:lang w:val="ro-RO"/>
        </w:rPr>
        <w:t>u privire la impunerea obligaţiilor speciale preventive S.A.“Orange Moldova” în legătură cu puterea sa semnificativă pe piaţa de terminare a apelurilor voce în reţeaua individuală de telefonie mobilă”</w:t>
      </w:r>
    </w:p>
    <w:p w:rsidR="00ED032F" w:rsidRPr="00D476AB" w:rsidRDefault="00ED032F" w:rsidP="00293942">
      <w:pPr>
        <w:pStyle w:val="ListParagraph"/>
        <w:jc w:val="right"/>
        <w:rPr>
          <w:sz w:val="26"/>
          <w:szCs w:val="26"/>
          <w:lang w:val="ro-RO"/>
        </w:rPr>
      </w:pP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 xml:space="preserve">La punctul 1 sintagma “Regulamentul cu privire la interconectare, aprobat prin Hotărârea Consiliului de Administraţie al Agenţiei nr.12 din 31.01.2009” se substituie cu sintagma “Regulamentul cu privire la acces și interconectare, aprobat prin Hotărârea Consiliului de Administraţie al Agenţiei nr.   din                    ”, iar sintagma </w:t>
      </w:r>
      <w:r w:rsidRPr="00425DB8">
        <w:rPr>
          <w:sz w:val="26"/>
          <w:szCs w:val="26"/>
          <w:lang w:val="ro-RO"/>
        </w:rPr>
        <w:t>“</w:t>
      </w:r>
      <w:r w:rsidRPr="00D476AB">
        <w:rPr>
          <w:sz w:val="26"/>
          <w:szCs w:val="26"/>
          <w:lang w:val="ro-RO"/>
        </w:rPr>
        <w:t>p.12</w:t>
      </w:r>
      <w:r w:rsidRPr="00425DB8">
        <w:rPr>
          <w:sz w:val="26"/>
          <w:szCs w:val="26"/>
          <w:lang w:val="ro-RO"/>
        </w:rPr>
        <w:t xml:space="preserve">” se </w:t>
      </w:r>
      <w:r w:rsidRPr="00D476AB">
        <w:rPr>
          <w:sz w:val="26"/>
          <w:szCs w:val="26"/>
          <w:lang w:val="ro-RO"/>
        </w:rPr>
        <w:t>substituie</w:t>
      </w:r>
      <w:r w:rsidRPr="00425DB8">
        <w:rPr>
          <w:sz w:val="26"/>
          <w:szCs w:val="26"/>
          <w:lang w:val="ro-RO"/>
        </w:rPr>
        <w:t xml:space="preserve"> cu </w:t>
      </w:r>
      <w:r w:rsidRPr="00D476AB">
        <w:rPr>
          <w:sz w:val="26"/>
          <w:szCs w:val="26"/>
          <w:lang w:val="ro-RO"/>
        </w:rPr>
        <w:t>sintagma</w:t>
      </w:r>
      <w:r w:rsidRPr="00425DB8">
        <w:rPr>
          <w:sz w:val="26"/>
          <w:szCs w:val="26"/>
          <w:lang w:val="ro-RO"/>
        </w:rPr>
        <w:t>“</w:t>
      </w:r>
      <w:r w:rsidRPr="00D476AB">
        <w:rPr>
          <w:sz w:val="26"/>
          <w:szCs w:val="26"/>
          <w:lang w:val="ro-RO"/>
        </w:rPr>
        <w:t>p.21</w:t>
      </w:r>
      <w:r w:rsidRPr="00425DB8">
        <w:rPr>
          <w:sz w:val="26"/>
          <w:szCs w:val="26"/>
          <w:lang w:val="ro-RO"/>
        </w:rPr>
        <w:t>”</w:t>
      </w:r>
      <w:r w:rsidRPr="00D476AB">
        <w:rPr>
          <w:sz w:val="26"/>
          <w:szCs w:val="26"/>
          <w:lang w:val="ro-RO"/>
        </w:rPr>
        <w:t>;</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 xml:space="preserve">La punctul 3 sintagma “de Interconectare” se </w:t>
      </w:r>
      <w:r w:rsidR="003D6453">
        <w:rPr>
          <w:sz w:val="26"/>
          <w:szCs w:val="26"/>
          <w:lang w:val="ro-RO"/>
        </w:rPr>
        <w:t>exclude</w:t>
      </w:r>
      <w:r w:rsidRPr="00D476AB">
        <w:rPr>
          <w:sz w:val="26"/>
          <w:szCs w:val="26"/>
          <w:lang w:val="ro-RO"/>
        </w:rPr>
        <w:t>;</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 xml:space="preserve">Punctul 16 se modifică și se expune în următoarea redacție: </w:t>
      </w:r>
    </w:p>
    <w:p w:rsidR="00293942" w:rsidRPr="00D476AB" w:rsidRDefault="00293942" w:rsidP="00293942">
      <w:pPr>
        <w:ind w:firstLine="720"/>
        <w:jc w:val="both"/>
        <w:rPr>
          <w:sz w:val="26"/>
          <w:szCs w:val="26"/>
          <w:lang w:val="ro-RO"/>
        </w:rPr>
      </w:pPr>
      <w:r w:rsidRPr="00D476AB">
        <w:rPr>
          <w:sz w:val="26"/>
          <w:szCs w:val="26"/>
          <w:lang w:val="ro-RO"/>
        </w:rPr>
        <w:t xml:space="preserve">“16. Furnizorul-ofertant are obligația de publicare pe pagina sa de Internet a Ofertei de referinţă pentru interconectare cu reţeaua de telefonie </w:t>
      </w:r>
      <w:r w:rsidR="00FD20F6">
        <w:rPr>
          <w:sz w:val="26"/>
          <w:szCs w:val="26"/>
          <w:lang w:val="ro-RO"/>
        </w:rPr>
        <w:t>mobilă</w:t>
      </w:r>
      <w:r w:rsidR="00FD20F6" w:rsidRPr="00D476AB">
        <w:rPr>
          <w:sz w:val="26"/>
          <w:szCs w:val="26"/>
          <w:lang w:val="ro-RO"/>
        </w:rPr>
        <w:t xml:space="preserve"> </w:t>
      </w:r>
      <w:r w:rsidRPr="00D476AB">
        <w:rPr>
          <w:sz w:val="26"/>
          <w:szCs w:val="26"/>
          <w:lang w:val="ro-RO"/>
        </w:rPr>
        <w:t>pe care o operează, în continuare ORI, şi, la solicitare, va pune la dispoziţia oricărui furnizor-solicitant ORI şi modificările şi/sau completările acesteia.”;</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 xml:space="preserve">Punctul 17 se modifică și se expune în următoarea redacție: </w:t>
      </w:r>
    </w:p>
    <w:p w:rsidR="00293942" w:rsidRPr="00D476AB" w:rsidRDefault="00293942" w:rsidP="00293942">
      <w:pPr>
        <w:ind w:firstLine="720"/>
        <w:jc w:val="both"/>
        <w:rPr>
          <w:sz w:val="26"/>
          <w:szCs w:val="26"/>
          <w:lang w:val="ro-RO"/>
        </w:rPr>
      </w:pPr>
      <w:r w:rsidRPr="00D476AB">
        <w:rPr>
          <w:sz w:val="26"/>
          <w:szCs w:val="26"/>
          <w:lang w:val="ro-RO"/>
        </w:rPr>
        <w:t xml:space="preserve">“17. În cazul în care furnizorul-ofertant intenţionează să modifice sau să completeze ORI, proiectul modificărilor sau completărilor </w:t>
      </w:r>
      <w:r w:rsidR="00AB4747">
        <w:rPr>
          <w:sz w:val="26"/>
          <w:szCs w:val="26"/>
          <w:lang w:val="ro-RO"/>
        </w:rPr>
        <w:t>trebuie</w:t>
      </w:r>
      <w:r w:rsidRPr="00D476AB">
        <w:rPr>
          <w:sz w:val="26"/>
          <w:szCs w:val="26"/>
          <w:lang w:val="ro-RO"/>
        </w:rPr>
        <w:t xml:space="preserve"> transmis Agenţiei atât în format electronic, cât şi pe suport de hârtie, cu cel puţin 30 de zile calendaristice înainte de data aprobării şi publicat pe pagina sa de Internet cu cel puţin 15 zile calendaristice înainte de data aprobării. În cazul unor modificări de structură sau mai mult de 50% din conţinutul ORI, proiectul trebuie transmis Agenţiei cu cel puţin 6 luni înainte de data adoptării şi publicat pe pagina sa de Internet cu cel puţin 2 luni de zile înainte de data aprobării, cu excepţia cazului în care modificarea sau completarea se realizează la cerinţa Agenţiei. De fiecare dată când furnizorul-ofertant transmite Agenţiei şi publică pe pagina sa de Internet modificări sau completări la ORI, acesta va pune concomitent la dispoziţie o versiune, cel puţin în format electronic, care să permită identificarea cu uşurinţă a elementelor actualizate, prin utilizarea unui format diferit al textului adăugat şi prin evidenţierea distinctă a textului eliminat, precum şi identificarea datei realizării actualizării.”;</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 xml:space="preserve">Punctul 23 se modifică și se expune în următoarea redacție: </w:t>
      </w:r>
    </w:p>
    <w:p w:rsidR="00293942" w:rsidRPr="00D476AB" w:rsidRDefault="00293942" w:rsidP="00293942">
      <w:pPr>
        <w:pStyle w:val="ListParagraph"/>
        <w:jc w:val="both"/>
        <w:rPr>
          <w:sz w:val="26"/>
          <w:szCs w:val="26"/>
          <w:lang w:val="ro-RO"/>
        </w:rPr>
      </w:pPr>
      <w:r w:rsidRPr="00D476AB">
        <w:rPr>
          <w:sz w:val="26"/>
          <w:szCs w:val="26"/>
          <w:lang w:val="ro-RO"/>
        </w:rPr>
        <w:t>“23. Furnizorul-ofertant va include în ORI cel puţin următoarele informaţii :</w:t>
      </w:r>
    </w:p>
    <w:p w:rsidR="00293942" w:rsidRPr="00D476AB" w:rsidRDefault="00293942"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 xml:space="preserve">capacităţile de interconectare disponibile (porturi, puncte disponibile de interconectare, amplasarea lor geografică, caracteristicile tehnice ale interfeţei, alţi parametri tehnici); </w:t>
      </w:r>
    </w:p>
    <w:p w:rsidR="00293942" w:rsidRPr="00D476AB" w:rsidRDefault="00293942"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 xml:space="preserve">serviciile de interconectare furnizate; </w:t>
      </w:r>
    </w:p>
    <w:p w:rsidR="00293942" w:rsidRPr="00D476AB" w:rsidRDefault="00293942"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condiţiile tehnice şi comerciale în care serviciile de interconectare vor fi oferite furnizorului – solicitant;</w:t>
      </w:r>
    </w:p>
    <w:p w:rsidR="00293942" w:rsidRPr="00D476AB" w:rsidRDefault="00293942"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lastRenderedPageBreak/>
        <w:t xml:space="preserve">modul în care solicitanţii pot avea acces la informaţiile prevăzute la prezentul punct, precum şi formatul în care aceste informaţii sunt disponibile, termenii de punere la dispoziţie a acestor informaţii; </w:t>
      </w:r>
    </w:p>
    <w:p w:rsidR="00293942" w:rsidRPr="00D476AB" w:rsidRDefault="00293942"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acordul asupra nivelului de calitate privind furnizarea serviciilor de interconectare.</w:t>
      </w:r>
    </w:p>
    <w:p w:rsidR="00293942" w:rsidRPr="00D476AB" w:rsidRDefault="00293942" w:rsidP="00293942">
      <w:pPr>
        <w:pStyle w:val="ListParagraph"/>
        <w:ind w:left="0" w:firstLine="720"/>
        <w:jc w:val="both"/>
        <w:rPr>
          <w:sz w:val="26"/>
          <w:szCs w:val="26"/>
          <w:lang w:val="ro-RO"/>
        </w:rPr>
      </w:pPr>
      <w:r w:rsidRPr="00D476AB">
        <w:rPr>
          <w:sz w:val="26"/>
          <w:szCs w:val="26"/>
          <w:lang w:val="ro-RO"/>
        </w:rPr>
        <w:t>Aceste informaţii vor fi actualizate în termen de cel mult 15 zile de la data apariţiei unor modificări, precizându-se şi data realizării actualizării.”;</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Punctul 25 se exclude;</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 xml:space="preserve">La punctul 27 sintagma </w:t>
      </w:r>
      <w:r w:rsidR="00FD20F6" w:rsidRPr="00D476AB">
        <w:rPr>
          <w:sz w:val="26"/>
          <w:szCs w:val="26"/>
          <w:lang w:val="ro-RO"/>
        </w:rPr>
        <w:t>“</w:t>
      </w:r>
      <w:r w:rsidR="00FD20F6">
        <w:rPr>
          <w:sz w:val="26"/>
          <w:szCs w:val="26"/>
          <w:lang w:val="ro-RO"/>
        </w:rPr>
        <w:t xml:space="preserve">prevederilor </w:t>
      </w:r>
      <w:r w:rsidR="00FD20F6" w:rsidRPr="00D476AB">
        <w:rPr>
          <w:sz w:val="26"/>
          <w:szCs w:val="26"/>
          <w:lang w:val="ro-RO"/>
        </w:rPr>
        <w:t>Capitolului V, altor prevederi ale</w:t>
      </w:r>
      <w:r w:rsidR="00321FD4">
        <w:rPr>
          <w:sz w:val="26"/>
          <w:szCs w:val="26"/>
          <w:lang w:val="ro-RO"/>
        </w:rPr>
        <w:t xml:space="preserve"> Regulamentului</w:t>
      </w:r>
      <w:r w:rsidR="00FD20F6" w:rsidRPr="00D476AB">
        <w:rPr>
          <w:sz w:val="26"/>
          <w:szCs w:val="26"/>
          <w:lang w:val="ro-RO"/>
        </w:rPr>
        <w:t xml:space="preserve">” se </w:t>
      </w:r>
      <w:r w:rsidR="00FD20F6">
        <w:rPr>
          <w:sz w:val="26"/>
          <w:szCs w:val="26"/>
          <w:lang w:val="ro-RO"/>
        </w:rPr>
        <w:t>substituie cu sintagma ”angajamentelor asumate în ORI”</w:t>
      </w:r>
      <w:r w:rsidR="00FD20F6" w:rsidRPr="00D476AB">
        <w:rPr>
          <w:sz w:val="26"/>
          <w:szCs w:val="26"/>
          <w:lang w:val="ro-RO"/>
        </w:rPr>
        <w:t>;</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La punctul 28 sintagma “compartimentul II  şi  V  din</w:t>
      </w:r>
      <w:r w:rsidR="00321FD4">
        <w:rPr>
          <w:sz w:val="26"/>
          <w:szCs w:val="26"/>
          <w:lang w:val="ro-RO"/>
        </w:rPr>
        <w:t xml:space="preserve"> Regulament</w:t>
      </w:r>
      <w:r w:rsidRPr="00D476AB">
        <w:rPr>
          <w:sz w:val="26"/>
          <w:szCs w:val="26"/>
          <w:lang w:val="ro-RO"/>
        </w:rPr>
        <w:t xml:space="preserve">” se </w:t>
      </w:r>
      <w:r w:rsidR="00FD20F6">
        <w:rPr>
          <w:sz w:val="26"/>
          <w:szCs w:val="26"/>
          <w:lang w:val="ro-RO"/>
        </w:rPr>
        <w:t>substituie cu sintagma ”ORI”</w:t>
      </w:r>
      <w:r w:rsidRPr="00D476AB">
        <w:rPr>
          <w:sz w:val="26"/>
          <w:szCs w:val="26"/>
          <w:lang w:val="ro-RO"/>
        </w:rPr>
        <w:t>;</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La punctul 38 sintagma “p. 12” se substituie cu sintagma “p. 21”;</w:t>
      </w:r>
    </w:p>
    <w:p w:rsidR="00293942" w:rsidRPr="00D476AB" w:rsidRDefault="00293942" w:rsidP="00425DB8">
      <w:pPr>
        <w:pStyle w:val="ListParagraph"/>
        <w:numPr>
          <w:ilvl w:val="0"/>
          <w:numId w:val="11"/>
        </w:numPr>
        <w:spacing w:after="200" w:line="276" w:lineRule="auto"/>
        <w:ind w:left="0" w:firstLine="720"/>
        <w:jc w:val="both"/>
        <w:rPr>
          <w:sz w:val="26"/>
          <w:szCs w:val="26"/>
          <w:lang w:val="ro-RO"/>
        </w:rPr>
      </w:pPr>
      <w:r w:rsidRPr="00D476AB">
        <w:rPr>
          <w:sz w:val="26"/>
          <w:szCs w:val="26"/>
          <w:lang w:val="ro-RO"/>
        </w:rPr>
        <w:t>La punctul 39 sintagma “p. 12” se substituie cu sintagma “p. 21”.</w:t>
      </w:r>
    </w:p>
    <w:p w:rsidR="00ED032F" w:rsidRDefault="00293942" w:rsidP="00293942">
      <w:pPr>
        <w:pStyle w:val="ListParagraph"/>
        <w:jc w:val="both"/>
        <w:rPr>
          <w:sz w:val="26"/>
          <w:szCs w:val="26"/>
          <w:lang w:val="ro-RO"/>
        </w:rPr>
      </w:pPr>
      <w:r w:rsidRPr="00D476AB">
        <w:rPr>
          <w:sz w:val="26"/>
          <w:szCs w:val="26"/>
          <w:lang w:val="ro-RO"/>
        </w:rPr>
        <w:t xml:space="preserve"> </w:t>
      </w:r>
    </w:p>
    <w:p w:rsidR="00ED032F" w:rsidRDefault="00ED032F">
      <w:pPr>
        <w:rPr>
          <w:sz w:val="26"/>
          <w:szCs w:val="26"/>
          <w:lang w:val="ro-RO"/>
        </w:rPr>
      </w:pPr>
      <w:r>
        <w:rPr>
          <w:sz w:val="26"/>
          <w:szCs w:val="26"/>
          <w:lang w:val="ro-RO"/>
        </w:rPr>
        <w:br w:type="page"/>
      </w:r>
    </w:p>
    <w:p w:rsidR="00897D99" w:rsidRPr="00D476AB" w:rsidRDefault="00897D99" w:rsidP="00897D99">
      <w:pPr>
        <w:pStyle w:val="ListParagraph"/>
        <w:jc w:val="right"/>
        <w:rPr>
          <w:sz w:val="26"/>
          <w:szCs w:val="26"/>
          <w:lang w:val="ro-RO"/>
        </w:rPr>
      </w:pPr>
      <w:r w:rsidRPr="00D476AB">
        <w:rPr>
          <w:sz w:val="26"/>
          <w:szCs w:val="26"/>
          <w:lang w:val="ro-RO"/>
        </w:rPr>
        <w:lastRenderedPageBreak/>
        <w:t xml:space="preserve">Anexa nr. 5 </w:t>
      </w:r>
    </w:p>
    <w:p w:rsidR="00897D99" w:rsidRPr="00D476AB" w:rsidRDefault="00897D99" w:rsidP="00897D99">
      <w:pPr>
        <w:pStyle w:val="ListParagraph"/>
        <w:jc w:val="right"/>
        <w:rPr>
          <w:sz w:val="26"/>
          <w:szCs w:val="26"/>
          <w:lang w:val="ro-RO"/>
        </w:rPr>
      </w:pPr>
      <w:r w:rsidRPr="00D476AB">
        <w:rPr>
          <w:sz w:val="26"/>
          <w:szCs w:val="26"/>
          <w:lang w:val="ro-RO"/>
        </w:rPr>
        <w:t xml:space="preserve">la Hotărârea Consiliului de Administrație </w:t>
      </w:r>
    </w:p>
    <w:p w:rsidR="00897D99" w:rsidRPr="00D476AB" w:rsidRDefault="00897D99" w:rsidP="00897D99">
      <w:pPr>
        <w:pStyle w:val="ListParagraph"/>
        <w:jc w:val="right"/>
        <w:rPr>
          <w:sz w:val="26"/>
          <w:szCs w:val="26"/>
          <w:lang w:val="ro-RO"/>
        </w:rPr>
      </w:pPr>
      <w:r w:rsidRPr="00D476AB">
        <w:rPr>
          <w:sz w:val="26"/>
          <w:szCs w:val="26"/>
          <w:lang w:val="ro-RO"/>
        </w:rPr>
        <w:t xml:space="preserve">al ANRCETI nr. __ din __________ </w:t>
      </w:r>
    </w:p>
    <w:p w:rsidR="00897D99" w:rsidRDefault="00897D99" w:rsidP="00897D99">
      <w:pPr>
        <w:pStyle w:val="ListParagraph"/>
        <w:jc w:val="right"/>
        <w:rPr>
          <w:sz w:val="26"/>
          <w:szCs w:val="26"/>
          <w:lang w:val="ro-RO"/>
        </w:rPr>
      </w:pPr>
    </w:p>
    <w:p w:rsidR="00ED032F" w:rsidRPr="00425DB8" w:rsidRDefault="00ED032F" w:rsidP="00425DB8">
      <w:pPr>
        <w:pStyle w:val="ListParagraph"/>
        <w:jc w:val="center"/>
        <w:rPr>
          <w:b/>
          <w:sz w:val="26"/>
          <w:szCs w:val="26"/>
          <w:lang w:val="ro-RO"/>
        </w:rPr>
      </w:pPr>
      <w:r w:rsidRPr="002E0A73">
        <w:rPr>
          <w:b/>
          <w:sz w:val="26"/>
          <w:szCs w:val="26"/>
          <w:lang w:val="ro-RO"/>
        </w:rPr>
        <w:t xml:space="preserve">Modificările </w:t>
      </w:r>
      <w:r w:rsidR="00545B75">
        <w:rPr>
          <w:b/>
          <w:sz w:val="26"/>
          <w:szCs w:val="26"/>
          <w:lang w:val="ro-RO"/>
        </w:rPr>
        <w:t xml:space="preserve">și completările </w:t>
      </w:r>
      <w:r w:rsidR="00AA108A" w:rsidRPr="00B10BB6">
        <w:rPr>
          <w:b/>
          <w:bCs/>
          <w:color w:val="000000"/>
          <w:sz w:val="26"/>
          <w:szCs w:val="26"/>
          <w:lang w:val="ro-RO" w:eastAsia="ru-RU"/>
        </w:rPr>
        <w:t xml:space="preserve">ce se operează </w:t>
      </w:r>
      <w:r w:rsidR="00AA108A">
        <w:rPr>
          <w:b/>
          <w:bCs/>
          <w:color w:val="000000"/>
          <w:sz w:val="26"/>
          <w:szCs w:val="26"/>
          <w:lang w:val="ro-RO" w:eastAsia="ru-RU"/>
        </w:rPr>
        <w:t xml:space="preserve">în </w:t>
      </w:r>
      <w:r w:rsidR="00AA108A" w:rsidRPr="00425DB8">
        <w:rPr>
          <w:b/>
          <w:sz w:val="26"/>
          <w:szCs w:val="26"/>
          <w:lang w:val="ro-RO"/>
        </w:rPr>
        <w:t>Anex</w:t>
      </w:r>
      <w:r w:rsidR="00AA108A">
        <w:rPr>
          <w:b/>
          <w:sz w:val="26"/>
          <w:szCs w:val="26"/>
          <w:lang w:val="ro-RO"/>
        </w:rPr>
        <w:t>a</w:t>
      </w:r>
      <w:r w:rsidR="00AA108A" w:rsidRPr="00AB4747">
        <w:rPr>
          <w:b/>
          <w:sz w:val="26"/>
          <w:szCs w:val="26"/>
          <w:lang w:val="en-US"/>
        </w:rPr>
        <w:t xml:space="preserve"> </w:t>
      </w:r>
      <w:r w:rsidRPr="002E0A73">
        <w:rPr>
          <w:b/>
          <w:sz w:val="26"/>
          <w:szCs w:val="26"/>
          <w:lang w:val="ro-RO"/>
        </w:rPr>
        <w:t>la Hotărârea Consiliului de Administrație al ANRCETI</w:t>
      </w:r>
      <w:r w:rsidR="00677F1E">
        <w:rPr>
          <w:b/>
          <w:sz w:val="26"/>
          <w:szCs w:val="26"/>
          <w:lang w:val="ro-RO"/>
        </w:rPr>
        <w:t xml:space="preserve"> </w:t>
      </w:r>
      <w:r w:rsidR="00677F1E" w:rsidRPr="00425DB8">
        <w:rPr>
          <w:b/>
          <w:sz w:val="26"/>
          <w:szCs w:val="26"/>
          <w:lang w:val="ro-RO"/>
        </w:rPr>
        <w:t>nr.78 din 23 decembrie 2010 „</w:t>
      </w:r>
      <w:r w:rsidR="00AA108A" w:rsidRPr="00425DB8">
        <w:rPr>
          <w:b/>
          <w:sz w:val="26"/>
          <w:szCs w:val="26"/>
          <w:lang w:val="ro-RO"/>
        </w:rPr>
        <w:t>C</w:t>
      </w:r>
      <w:r w:rsidR="00677F1E" w:rsidRPr="00425DB8">
        <w:rPr>
          <w:b/>
          <w:sz w:val="26"/>
          <w:szCs w:val="26"/>
          <w:lang w:val="ro-RO"/>
        </w:rPr>
        <w:t>u privire la impunerea obligaţiilor speciale preventive S.A.“Moldcell” în legătură cu puterea sa semnificativă pe piaţa de terminare a apelurilor voce în reţeaua individuală de telefonie fixă”</w:t>
      </w:r>
    </w:p>
    <w:p w:rsidR="00ED032F" w:rsidRPr="00D476AB" w:rsidRDefault="00ED032F" w:rsidP="00897D99">
      <w:pPr>
        <w:pStyle w:val="ListParagraph"/>
        <w:jc w:val="right"/>
        <w:rPr>
          <w:sz w:val="26"/>
          <w:szCs w:val="26"/>
          <w:lang w:val="ro-RO"/>
        </w:rPr>
      </w:pP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 xml:space="preserve">La punctul 1 sintagma “Regulamentul cu privire la interconectare, aprobat prin Hotărârea Consiliului de Administraţie al Agenţiei nr.12 din 31.01.2009” se substituie cu sintagma “Regulamentul cu privire la acces și interconectare, aprobat prin Hotărârea Consiliului de Administraţie al Agenţiei nr.   din                    ”, iar sintagma </w:t>
      </w:r>
      <w:r w:rsidRPr="00425DB8">
        <w:rPr>
          <w:sz w:val="26"/>
          <w:szCs w:val="26"/>
          <w:lang w:val="ro-RO"/>
        </w:rPr>
        <w:t>“</w:t>
      </w:r>
      <w:r w:rsidRPr="00D476AB">
        <w:rPr>
          <w:sz w:val="26"/>
          <w:szCs w:val="26"/>
          <w:lang w:val="ro-RO"/>
        </w:rPr>
        <w:t>p.12</w:t>
      </w:r>
      <w:r w:rsidRPr="00425DB8">
        <w:rPr>
          <w:sz w:val="26"/>
          <w:szCs w:val="26"/>
          <w:lang w:val="ro-RO"/>
        </w:rPr>
        <w:t xml:space="preserve">” se </w:t>
      </w:r>
      <w:r w:rsidRPr="00D476AB">
        <w:rPr>
          <w:sz w:val="26"/>
          <w:szCs w:val="26"/>
          <w:lang w:val="ro-RO"/>
        </w:rPr>
        <w:t>substituie</w:t>
      </w:r>
      <w:r w:rsidRPr="00425DB8">
        <w:rPr>
          <w:sz w:val="26"/>
          <w:szCs w:val="26"/>
          <w:lang w:val="ro-RO"/>
        </w:rPr>
        <w:t xml:space="preserve"> cu </w:t>
      </w:r>
      <w:r w:rsidRPr="00D476AB">
        <w:rPr>
          <w:sz w:val="26"/>
          <w:szCs w:val="26"/>
          <w:lang w:val="ro-RO"/>
        </w:rPr>
        <w:t>sintagma</w:t>
      </w:r>
      <w:r w:rsidRPr="00425DB8">
        <w:rPr>
          <w:sz w:val="26"/>
          <w:szCs w:val="26"/>
          <w:lang w:val="ro-RO"/>
        </w:rPr>
        <w:t>“</w:t>
      </w:r>
      <w:r w:rsidRPr="00D476AB">
        <w:rPr>
          <w:sz w:val="26"/>
          <w:szCs w:val="26"/>
          <w:lang w:val="ro-RO"/>
        </w:rPr>
        <w:t>p.21</w:t>
      </w:r>
      <w:r w:rsidRPr="00425DB8">
        <w:rPr>
          <w:sz w:val="26"/>
          <w:szCs w:val="26"/>
          <w:lang w:val="ro-RO"/>
        </w:rPr>
        <w:t>”</w:t>
      </w:r>
      <w:r w:rsidRPr="00D476AB">
        <w:rPr>
          <w:sz w:val="26"/>
          <w:szCs w:val="26"/>
          <w:lang w:val="ro-RO"/>
        </w:rPr>
        <w:t>;</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 xml:space="preserve">La punctul 3 sintagma “de Interconectare” se </w:t>
      </w:r>
      <w:r w:rsidR="003D6453">
        <w:rPr>
          <w:sz w:val="26"/>
          <w:szCs w:val="26"/>
          <w:lang w:val="ro-RO"/>
        </w:rPr>
        <w:t>exclude</w:t>
      </w:r>
      <w:r w:rsidRPr="00D476AB">
        <w:rPr>
          <w:sz w:val="26"/>
          <w:szCs w:val="26"/>
          <w:lang w:val="ro-RO"/>
        </w:rPr>
        <w:t>;</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 xml:space="preserve">Punctul 16 se modifică și se expune în următoarea redacție: </w:t>
      </w:r>
    </w:p>
    <w:p w:rsidR="00897D99" w:rsidRPr="00D476AB" w:rsidRDefault="00897D99" w:rsidP="00897D99">
      <w:pPr>
        <w:ind w:firstLine="720"/>
        <w:jc w:val="both"/>
        <w:rPr>
          <w:sz w:val="26"/>
          <w:szCs w:val="26"/>
          <w:lang w:val="ro-RO"/>
        </w:rPr>
      </w:pPr>
      <w:r w:rsidRPr="00D476AB">
        <w:rPr>
          <w:sz w:val="26"/>
          <w:szCs w:val="26"/>
          <w:lang w:val="ro-RO"/>
        </w:rPr>
        <w:t xml:space="preserve">“16. Furnizorul-ofertant are obligația de publicare pe pagina sa de Internet a Ofertei de referinţă pentru interconectare cu reţeaua de telefonie </w:t>
      </w:r>
      <w:r w:rsidR="00FD20F6">
        <w:rPr>
          <w:sz w:val="26"/>
          <w:szCs w:val="26"/>
          <w:lang w:val="ro-RO"/>
        </w:rPr>
        <w:t>mobilă</w:t>
      </w:r>
      <w:r w:rsidR="00FD20F6" w:rsidRPr="00D476AB">
        <w:rPr>
          <w:sz w:val="26"/>
          <w:szCs w:val="26"/>
          <w:lang w:val="ro-RO"/>
        </w:rPr>
        <w:t xml:space="preserve"> </w:t>
      </w:r>
      <w:r w:rsidRPr="00D476AB">
        <w:rPr>
          <w:sz w:val="26"/>
          <w:szCs w:val="26"/>
          <w:lang w:val="ro-RO"/>
        </w:rPr>
        <w:t>pe care o operează, în continuare ORI, şi, la solicitare, va pune la dispoziţia oricărui furnizor-solicitant ORI şi modificările şi/sau completările acesteia.”;</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 xml:space="preserve">Punctul 17 se modifică și se expune în următoarea redacție: </w:t>
      </w:r>
    </w:p>
    <w:p w:rsidR="00897D99" w:rsidRPr="00D476AB" w:rsidRDefault="00897D99" w:rsidP="00897D99">
      <w:pPr>
        <w:ind w:firstLine="720"/>
        <w:jc w:val="both"/>
        <w:rPr>
          <w:sz w:val="26"/>
          <w:szCs w:val="26"/>
          <w:lang w:val="ro-RO"/>
        </w:rPr>
      </w:pPr>
      <w:r w:rsidRPr="00D476AB">
        <w:rPr>
          <w:sz w:val="26"/>
          <w:szCs w:val="26"/>
          <w:lang w:val="ro-RO"/>
        </w:rPr>
        <w:t xml:space="preserve">“17. În cazul în care furnizorul-ofertant intenţionează să modifice sau să completeze ORI, proiectul modificărilor sau completărilor </w:t>
      </w:r>
      <w:r w:rsidR="00AB4747">
        <w:rPr>
          <w:sz w:val="26"/>
          <w:szCs w:val="26"/>
          <w:lang w:val="ro-RO"/>
        </w:rPr>
        <w:t>trebuie</w:t>
      </w:r>
      <w:r w:rsidRPr="00D476AB">
        <w:rPr>
          <w:sz w:val="26"/>
          <w:szCs w:val="26"/>
          <w:lang w:val="ro-RO"/>
        </w:rPr>
        <w:t xml:space="preserve"> transmis Agenţiei atât în format electronic, cât şi pe suport de hârtie, cu cel puţin 30 de zile calendaristice înainte de data aprobării şi publicat pe pagina sa de Internet cu cel puţin 15 zile calendaristice înainte de data aprobării. În cazul unor modificări de structură sau mai mult de 50% din conţinutul ORI, proiectul trebuie transmis Agenţiei cu cel puţin 6 luni înainte de data adoptării şi publicat pe pagina sa de Internet cu cel puţin 2 luni de zile înainte de data aprobării, cu excepţia cazului în care modificarea sau completarea se realizează la cerinţa Agenţiei. De fiecare dată când furnizorul-ofertant transmite Agenţiei şi publică pe pagina sa de Internet modificări sau completări la ORI, acesta va pune concomitent la dispoziţie o versiune, cel puţin în format electronic, care să permită identificarea cu uşurinţă a elementelor actualizate, prin utilizarea unui format diferit al textului adăugat şi prin evidenţierea distinctă a textului eliminat, precum şi identificarea datei realizării actualizării.”;</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 xml:space="preserve">Punctul 23 se modifică și se expune în următoarea redacție: </w:t>
      </w:r>
    </w:p>
    <w:p w:rsidR="00897D99" w:rsidRPr="00D476AB" w:rsidRDefault="00897D99" w:rsidP="00897D99">
      <w:pPr>
        <w:pStyle w:val="ListParagraph"/>
        <w:jc w:val="both"/>
        <w:rPr>
          <w:sz w:val="26"/>
          <w:szCs w:val="26"/>
          <w:lang w:val="ro-RO"/>
        </w:rPr>
      </w:pPr>
      <w:r w:rsidRPr="00D476AB">
        <w:rPr>
          <w:sz w:val="26"/>
          <w:szCs w:val="26"/>
          <w:lang w:val="ro-RO"/>
        </w:rPr>
        <w:t>“23. Furnizorul-ofertant va include în ORI cel puţin următoarele informaţii :</w:t>
      </w:r>
    </w:p>
    <w:p w:rsidR="00897D99" w:rsidRPr="00D476AB" w:rsidRDefault="00897D99"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 xml:space="preserve">capacităţile de interconectare disponibile (porturi, puncte disponibile de interconectare, amplasarea lor geografică, caracteristicile tehnice ale interfeţei, alţi parametri tehnici); </w:t>
      </w:r>
    </w:p>
    <w:p w:rsidR="00897D99" w:rsidRPr="00D476AB" w:rsidRDefault="00897D99"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 xml:space="preserve">serviciile de interconectare furnizate; </w:t>
      </w:r>
    </w:p>
    <w:p w:rsidR="00897D99" w:rsidRPr="00D476AB" w:rsidRDefault="00897D99"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condiţiile tehnice şi comerciale în care serviciile de interconectare vor fi oferite furnizorului – solicitant;</w:t>
      </w:r>
    </w:p>
    <w:p w:rsidR="00897D99" w:rsidRPr="00D476AB" w:rsidRDefault="00897D99"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lastRenderedPageBreak/>
        <w:t xml:space="preserve">modul în care solicitanţii pot avea acces la informaţiile prevăzute la prezentul punct, precum şi formatul în care aceste informaţii sunt disponibile, termenii de punere la dispoziţie a acestor informaţii; </w:t>
      </w:r>
    </w:p>
    <w:p w:rsidR="00897D99" w:rsidRPr="00D476AB" w:rsidRDefault="00897D99" w:rsidP="00FC250E">
      <w:pPr>
        <w:pStyle w:val="ListParagraph"/>
        <w:numPr>
          <w:ilvl w:val="1"/>
          <w:numId w:val="4"/>
        </w:numPr>
        <w:spacing w:after="200" w:line="276" w:lineRule="auto"/>
        <w:ind w:left="0" w:firstLine="720"/>
        <w:jc w:val="both"/>
        <w:rPr>
          <w:sz w:val="26"/>
          <w:szCs w:val="26"/>
          <w:lang w:val="ro-RO"/>
        </w:rPr>
      </w:pPr>
      <w:r w:rsidRPr="00D476AB">
        <w:rPr>
          <w:sz w:val="26"/>
          <w:szCs w:val="26"/>
          <w:lang w:val="ro-RO"/>
        </w:rPr>
        <w:t>acordul asupra nivelului de calitate privind furnizarea serviciilor de interconectare.</w:t>
      </w:r>
    </w:p>
    <w:p w:rsidR="00897D99" w:rsidRPr="00D476AB" w:rsidRDefault="00897D99" w:rsidP="00897D99">
      <w:pPr>
        <w:pStyle w:val="ListParagraph"/>
        <w:ind w:left="0" w:firstLine="720"/>
        <w:jc w:val="both"/>
        <w:rPr>
          <w:sz w:val="26"/>
          <w:szCs w:val="26"/>
          <w:lang w:val="ro-RO"/>
        </w:rPr>
      </w:pPr>
      <w:r w:rsidRPr="00D476AB">
        <w:rPr>
          <w:sz w:val="26"/>
          <w:szCs w:val="26"/>
          <w:lang w:val="ro-RO"/>
        </w:rPr>
        <w:t>Aceste informaţii vor fi actualizate în termen de cel mult 15 zile de la data apariţiei unor modificări, precizându-se şi data realizării actualizării.”;</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Punctul 25 se exclude;</w:t>
      </w:r>
    </w:p>
    <w:p w:rsidR="00F60784" w:rsidRPr="00D476AB" w:rsidRDefault="00F60784"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La punctul 27 sintagma “</w:t>
      </w:r>
      <w:r>
        <w:rPr>
          <w:sz w:val="26"/>
          <w:szCs w:val="26"/>
          <w:lang w:val="ro-RO"/>
        </w:rPr>
        <w:t xml:space="preserve">prevederilor </w:t>
      </w:r>
      <w:r w:rsidRPr="00D476AB">
        <w:rPr>
          <w:sz w:val="26"/>
          <w:szCs w:val="26"/>
          <w:lang w:val="ro-RO"/>
        </w:rPr>
        <w:t>Capitolului V, altor prevederi ale</w:t>
      </w:r>
      <w:r w:rsidR="003D6453">
        <w:rPr>
          <w:sz w:val="26"/>
          <w:szCs w:val="26"/>
          <w:lang w:val="ro-RO"/>
        </w:rPr>
        <w:t xml:space="preserve"> </w:t>
      </w:r>
      <w:r w:rsidR="00321FD4">
        <w:rPr>
          <w:sz w:val="26"/>
          <w:szCs w:val="26"/>
          <w:lang w:val="ro-RO"/>
        </w:rPr>
        <w:t>Regulamentului</w:t>
      </w:r>
      <w:r w:rsidRPr="00D476AB">
        <w:rPr>
          <w:sz w:val="26"/>
          <w:szCs w:val="26"/>
          <w:lang w:val="ro-RO"/>
        </w:rPr>
        <w:t xml:space="preserve">” se </w:t>
      </w:r>
      <w:r>
        <w:rPr>
          <w:sz w:val="26"/>
          <w:szCs w:val="26"/>
          <w:lang w:val="ro-RO"/>
        </w:rPr>
        <w:t>substituie cu sintagma ”angajamentelor asumate în ORI”</w:t>
      </w:r>
      <w:r w:rsidRPr="00D476AB">
        <w:rPr>
          <w:sz w:val="26"/>
          <w:szCs w:val="26"/>
          <w:lang w:val="ro-RO"/>
        </w:rPr>
        <w:t>;</w:t>
      </w:r>
    </w:p>
    <w:p w:rsidR="00F60784" w:rsidRPr="00D476AB" w:rsidRDefault="00F60784"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La punctul 28 sintagma “compartimentul II  şi  V din</w:t>
      </w:r>
      <w:r w:rsidR="00321FD4">
        <w:rPr>
          <w:sz w:val="26"/>
          <w:szCs w:val="26"/>
          <w:lang w:val="ro-RO"/>
        </w:rPr>
        <w:t xml:space="preserve"> Regulament</w:t>
      </w:r>
      <w:r w:rsidRPr="00D476AB">
        <w:rPr>
          <w:sz w:val="26"/>
          <w:szCs w:val="26"/>
          <w:lang w:val="ro-RO"/>
        </w:rPr>
        <w:t xml:space="preserve">” se </w:t>
      </w:r>
      <w:r>
        <w:rPr>
          <w:sz w:val="26"/>
          <w:szCs w:val="26"/>
          <w:lang w:val="ro-RO"/>
        </w:rPr>
        <w:t>substituie cu sintagma ”ORI”</w:t>
      </w:r>
      <w:r w:rsidRPr="00D476AB">
        <w:rPr>
          <w:sz w:val="26"/>
          <w:szCs w:val="26"/>
          <w:lang w:val="ro-RO"/>
        </w:rPr>
        <w:t>;</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La punctul 38 sintagma “p. 12” se substituie cu sintagma “p. 21”;</w:t>
      </w:r>
    </w:p>
    <w:p w:rsidR="00897D99" w:rsidRPr="00D476AB" w:rsidRDefault="00897D99" w:rsidP="00425DB8">
      <w:pPr>
        <w:pStyle w:val="ListParagraph"/>
        <w:numPr>
          <w:ilvl w:val="0"/>
          <w:numId w:val="12"/>
        </w:numPr>
        <w:spacing w:after="200" w:line="276" w:lineRule="auto"/>
        <w:ind w:left="0" w:firstLine="720"/>
        <w:jc w:val="both"/>
        <w:rPr>
          <w:sz w:val="26"/>
          <w:szCs w:val="26"/>
          <w:lang w:val="ro-RO"/>
        </w:rPr>
      </w:pPr>
      <w:r w:rsidRPr="00D476AB">
        <w:rPr>
          <w:sz w:val="26"/>
          <w:szCs w:val="26"/>
          <w:lang w:val="ro-RO"/>
        </w:rPr>
        <w:t>La punctul 39 sintagma “p. 12” se substituie cu sintagma “p. 21”.</w:t>
      </w:r>
    </w:p>
    <w:p w:rsidR="00897D99" w:rsidRDefault="00897D99" w:rsidP="00897D99">
      <w:pPr>
        <w:pStyle w:val="ListParagraph"/>
        <w:jc w:val="right"/>
        <w:rPr>
          <w:sz w:val="24"/>
          <w:szCs w:val="24"/>
          <w:lang w:val="ro-RO"/>
        </w:rPr>
      </w:pPr>
    </w:p>
    <w:p w:rsidR="00ED032F" w:rsidRDefault="00ED032F">
      <w:pPr>
        <w:rPr>
          <w:sz w:val="24"/>
          <w:szCs w:val="24"/>
          <w:lang w:val="ro-RO"/>
        </w:rPr>
      </w:pPr>
      <w:r>
        <w:rPr>
          <w:sz w:val="24"/>
          <w:szCs w:val="24"/>
          <w:lang w:val="ro-RO"/>
        </w:rPr>
        <w:br w:type="page"/>
      </w:r>
    </w:p>
    <w:p w:rsidR="00897D99" w:rsidRPr="00D476AB" w:rsidRDefault="00897D99" w:rsidP="00897D99">
      <w:pPr>
        <w:pStyle w:val="ListParagraph"/>
        <w:jc w:val="right"/>
        <w:rPr>
          <w:sz w:val="26"/>
          <w:szCs w:val="26"/>
          <w:lang w:val="ro-RO"/>
        </w:rPr>
      </w:pPr>
      <w:r w:rsidRPr="00D476AB">
        <w:rPr>
          <w:sz w:val="26"/>
          <w:szCs w:val="26"/>
          <w:lang w:val="ro-RO"/>
        </w:rPr>
        <w:lastRenderedPageBreak/>
        <w:t>Anexa nr. 6</w:t>
      </w:r>
    </w:p>
    <w:p w:rsidR="00897D99" w:rsidRPr="00D476AB" w:rsidRDefault="00897D99" w:rsidP="00897D99">
      <w:pPr>
        <w:pStyle w:val="ListParagraph"/>
        <w:jc w:val="right"/>
        <w:rPr>
          <w:sz w:val="26"/>
          <w:szCs w:val="26"/>
          <w:lang w:val="ro-RO"/>
        </w:rPr>
      </w:pPr>
      <w:r w:rsidRPr="00D476AB">
        <w:rPr>
          <w:sz w:val="26"/>
          <w:szCs w:val="26"/>
          <w:lang w:val="ro-RO"/>
        </w:rPr>
        <w:t xml:space="preserve">la Hotărârea Consiliului de Administrație </w:t>
      </w:r>
    </w:p>
    <w:p w:rsidR="00897D99" w:rsidRPr="00D476AB" w:rsidRDefault="00897D99" w:rsidP="00897D99">
      <w:pPr>
        <w:pStyle w:val="ListParagraph"/>
        <w:jc w:val="right"/>
        <w:rPr>
          <w:sz w:val="26"/>
          <w:szCs w:val="26"/>
          <w:lang w:val="ro-RO"/>
        </w:rPr>
      </w:pPr>
      <w:r w:rsidRPr="00D476AB">
        <w:rPr>
          <w:sz w:val="26"/>
          <w:szCs w:val="26"/>
          <w:lang w:val="ro-RO"/>
        </w:rPr>
        <w:t xml:space="preserve">al ANRCETI nr. __ din __________ </w:t>
      </w:r>
    </w:p>
    <w:p w:rsidR="00897D99" w:rsidRDefault="00897D99" w:rsidP="00897D99">
      <w:pPr>
        <w:pStyle w:val="ListParagraph"/>
        <w:jc w:val="right"/>
        <w:rPr>
          <w:sz w:val="26"/>
          <w:szCs w:val="26"/>
          <w:lang w:val="ro-RO"/>
        </w:rPr>
      </w:pPr>
    </w:p>
    <w:p w:rsidR="00ED032F" w:rsidRPr="00425DB8" w:rsidRDefault="00ED032F" w:rsidP="00425DB8">
      <w:pPr>
        <w:pStyle w:val="ListParagraph"/>
        <w:jc w:val="center"/>
        <w:rPr>
          <w:b/>
          <w:sz w:val="26"/>
          <w:szCs w:val="26"/>
          <w:lang w:val="ro-RO"/>
        </w:rPr>
      </w:pPr>
      <w:r w:rsidRPr="002E0A73">
        <w:rPr>
          <w:b/>
          <w:sz w:val="26"/>
          <w:szCs w:val="26"/>
          <w:lang w:val="ro-RO"/>
        </w:rPr>
        <w:t xml:space="preserve">Modificările </w:t>
      </w:r>
      <w:r w:rsidR="00545B75">
        <w:rPr>
          <w:b/>
          <w:sz w:val="26"/>
          <w:szCs w:val="26"/>
          <w:lang w:val="ro-RO"/>
        </w:rPr>
        <w:t xml:space="preserve">și completările </w:t>
      </w:r>
      <w:r w:rsidR="00AA108A" w:rsidRPr="00B10BB6">
        <w:rPr>
          <w:b/>
          <w:bCs/>
          <w:color w:val="000000"/>
          <w:sz w:val="26"/>
          <w:szCs w:val="26"/>
          <w:lang w:val="ro-RO" w:eastAsia="ru-RU"/>
        </w:rPr>
        <w:t xml:space="preserve">ce se operează </w:t>
      </w:r>
      <w:r w:rsidR="00AA108A">
        <w:rPr>
          <w:b/>
          <w:bCs/>
          <w:color w:val="000000"/>
          <w:sz w:val="26"/>
          <w:szCs w:val="26"/>
          <w:lang w:val="ro-RO" w:eastAsia="ru-RU"/>
        </w:rPr>
        <w:t xml:space="preserve">în </w:t>
      </w:r>
      <w:r w:rsidR="00AA108A" w:rsidRPr="00425DB8">
        <w:rPr>
          <w:b/>
          <w:sz w:val="26"/>
          <w:szCs w:val="26"/>
          <w:lang w:val="ro-RO"/>
        </w:rPr>
        <w:t>Anex</w:t>
      </w:r>
      <w:r w:rsidR="00AA108A">
        <w:rPr>
          <w:b/>
          <w:sz w:val="26"/>
          <w:szCs w:val="26"/>
          <w:lang w:val="ro-RO"/>
        </w:rPr>
        <w:t>a</w:t>
      </w:r>
      <w:r w:rsidR="00AA108A" w:rsidRPr="00AB4747">
        <w:rPr>
          <w:b/>
          <w:sz w:val="26"/>
          <w:szCs w:val="26"/>
          <w:lang w:val="en-US"/>
        </w:rPr>
        <w:t xml:space="preserve"> </w:t>
      </w:r>
      <w:r w:rsidRPr="002E0A73">
        <w:rPr>
          <w:b/>
          <w:sz w:val="26"/>
          <w:szCs w:val="26"/>
          <w:lang w:val="ro-RO"/>
        </w:rPr>
        <w:t>la Hotărârea Consiliului de Administrație al ANRCETI</w:t>
      </w:r>
      <w:r w:rsidR="00677F1E">
        <w:rPr>
          <w:b/>
          <w:sz w:val="26"/>
          <w:szCs w:val="26"/>
          <w:lang w:val="ro-RO"/>
        </w:rPr>
        <w:t xml:space="preserve"> nr.</w:t>
      </w:r>
      <w:r w:rsidR="00677F1E" w:rsidRPr="00425DB8">
        <w:rPr>
          <w:b/>
          <w:sz w:val="26"/>
          <w:szCs w:val="26"/>
          <w:lang w:val="ro-RO"/>
        </w:rPr>
        <w:t>79 din 23 decembrie 2010 „</w:t>
      </w:r>
      <w:r w:rsidR="00AA108A" w:rsidRPr="00425DB8">
        <w:rPr>
          <w:b/>
          <w:sz w:val="26"/>
          <w:szCs w:val="26"/>
          <w:lang w:val="ro-RO"/>
        </w:rPr>
        <w:t>C</w:t>
      </w:r>
      <w:r w:rsidR="00677F1E" w:rsidRPr="00425DB8">
        <w:rPr>
          <w:b/>
          <w:sz w:val="26"/>
          <w:szCs w:val="26"/>
          <w:lang w:val="ro-RO"/>
        </w:rPr>
        <w:t>u privire la impunerea obligaţiilor speciale preventive S.A.“Moldtelecom” în legătură cu puterea sa semnificativă pe piaţa de terminare a apelurilor voce în reţeaua individuală de telefonie mobilă”</w:t>
      </w:r>
    </w:p>
    <w:p w:rsidR="00ED032F" w:rsidRPr="00D476AB" w:rsidRDefault="00ED032F" w:rsidP="00897D99">
      <w:pPr>
        <w:pStyle w:val="ListParagraph"/>
        <w:jc w:val="right"/>
        <w:rPr>
          <w:sz w:val="26"/>
          <w:szCs w:val="26"/>
          <w:lang w:val="ro-RO"/>
        </w:rPr>
      </w:pPr>
    </w:p>
    <w:p w:rsidR="00897D99" w:rsidRPr="00D476AB" w:rsidRDefault="00897D99" w:rsidP="00425DB8">
      <w:pPr>
        <w:pStyle w:val="ListParagraph"/>
        <w:numPr>
          <w:ilvl w:val="0"/>
          <w:numId w:val="13"/>
        </w:numPr>
        <w:spacing w:after="200" w:line="276" w:lineRule="auto"/>
        <w:ind w:left="0" w:firstLine="720"/>
        <w:jc w:val="both"/>
        <w:rPr>
          <w:sz w:val="26"/>
          <w:szCs w:val="26"/>
          <w:lang w:val="ro-RO"/>
        </w:rPr>
      </w:pPr>
      <w:r w:rsidRPr="00D476AB">
        <w:rPr>
          <w:sz w:val="26"/>
          <w:szCs w:val="26"/>
          <w:lang w:val="ro-RO"/>
        </w:rPr>
        <w:t xml:space="preserve">La punctul 1 sintagma “Regulamentul cu privire la interconectare, aprobat prin Hotărârea Consiliului de Administraţie al Agenţiei nr.12 din 31.01.2009” se substituie cu sintagma “Regulamentul cu privire la acces și interconectare, aprobat prin Hotărârea Consiliului de Administraţie al Agenţiei nr.   din                    ”, iar sintagma </w:t>
      </w:r>
      <w:r w:rsidRPr="00425DB8">
        <w:rPr>
          <w:sz w:val="26"/>
          <w:szCs w:val="26"/>
          <w:lang w:val="ro-RO"/>
        </w:rPr>
        <w:t>“</w:t>
      </w:r>
      <w:r w:rsidRPr="00D476AB">
        <w:rPr>
          <w:sz w:val="26"/>
          <w:szCs w:val="26"/>
          <w:lang w:val="ro-RO"/>
        </w:rPr>
        <w:t>p.12</w:t>
      </w:r>
      <w:r w:rsidRPr="00425DB8">
        <w:rPr>
          <w:sz w:val="26"/>
          <w:szCs w:val="26"/>
          <w:lang w:val="ro-RO"/>
        </w:rPr>
        <w:t xml:space="preserve">” se </w:t>
      </w:r>
      <w:r w:rsidRPr="00D476AB">
        <w:rPr>
          <w:sz w:val="26"/>
          <w:szCs w:val="26"/>
          <w:lang w:val="ro-RO"/>
        </w:rPr>
        <w:t>substituie</w:t>
      </w:r>
      <w:r w:rsidRPr="00425DB8">
        <w:rPr>
          <w:sz w:val="26"/>
          <w:szCs w:val="26"/>
          <w:lang w:val="ro-RO"/>
        </w:rPr>
        <w:t xml:space="preserve"> cu </w:t>
      </w:r>
      <w:r w:rsidRPr="00D476AB">
        <w:rPr>
          <w:sz w:val="26"/>
          <w:szCs w:val="26"/>
          <w:lang w:val="ro-RO"/>
        </w:rPr>
        <w:t>sintagma</w:t>
      </w:r>
      <w:r w:rsidRPr="00425DB8">
        <w:rPr>
          <w:sz w:val="26"/>
          <w:szCs w:val="26"/>
          <w:lang w:val="ro-RO"/>
        </w:rPr>
        <w:t>“</w:t>
      </w:r>
      <w:r w:rsidRPr="00D476AB">
        <w:rPr>
          <w:sz w:val="26"/>
          <w:szCs w:val="26"/>
          <w:lang w:val="ro-RO"/>
        </w:rPr>
        <w:t>p.21</w:t>
      </w:r>
      <w:r w:rsidRPr="00425DB8">
        <w:rPr>
          <w:sz w:val="26"/>
          <w:szCs w:val="26"/>
          <w:lang w:val="ro-RO"/>
        </w:rPr>
        <w:t>”</w:t>
      </w:r>
      <w:r w:rsidRPr="00D476AB">
        <w:rPr>
          <w:sz w:val="26"/>
          <w:szCs w:val="26"/>
          <w:lang w:val="ro-RO"/>
        </w:rPr>
        <w:t>;</w:t>
      </w:r>
    </w:p>
    <w:p w:rsidR="00897D99" w:rsidRPr="00D476AB" w:rsidRDefault="00897D99" w:rsidP="00425DB8">
      <w:pPr>
        <w:pStyle w:val="ListParagraph"/>
        <w:numPr>
          <w:ilvl w:val="0"/>
          <w:numId w:val="13"/>
        </w:numPr>
        <w:spacing w:after="200" w:line="276" w:lineRule="auto"/>
        <w:ind w:left="0" w:firstLine="720"/>
        <w:jc w:val="both"/>
        <w:rPr>
          <w:sz w:val="26"/>
          <w:szCs w:val="26"/>
          <w:lang w:val="ro-RO"/>
        </w:rPr>
      </w:pPr>
      <w:r w:rsidRPr="00D476AB">
        <w:rPr>
          <w:sz w:val="26"/>
          <w:szCs w:val="26"/>
          <w:lang w:val="ro-RO"/>
        </w:rPr>
        <w:t xml:space="preserve">La punctul 3 sintagma “de Interconectare” se </w:t>
      </w:r>
      <w:r w:rsidR="003D6453">
        <w:rPr>
          <w:sz w:val="26"/>
          <w:szCs w:val="26"/>
          <w:lang w:val="ro-RO"/>
        </w:rPr>
        <w:t>exclude</w:t>
      </w:r>
      <w:r w:rsidR="00D476AB">
        <w:rPr>
          <w:sz w:val="26"/>
          <w:szCs w:val="26"/>
          <w:lang w:val="ro-RO"/>
        </w:rPr>
        <w:t>.</w:t>
      </w:r>
    </w:p>
    <w:p w:rsidR="00195BAA" w:rsidRPr="00822287" w:rsidRDefault="00195BA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822287" w:rsidRDefault="00AA108A" w:rsidP="001E0F6E">
      <w:pPr>
        <w:ind w:left="5760" w:firstLine="720"/>
        <w:jc w:val="both"/>
        <w:rPr>
          <w:b/>
          <w:sz w:val="26"/>
          <w:szCs w:val="26"/>
          <w:lang w:val="en-US"/>
        </w:rPr>
      </w:pPr>
    </w:p>
    <w:p w:rsidR="00AA108A" w:rsidRPr="00D476AB" w:rsidRDefault="00AA108A" w:rsidP="00AA108A">
      <w:pPr>
        <w:pStyle w:val="ListParagraph"/>
        <w:jc w:val="right"/>
        <w:rPr>
          <w:sz w:val="26"/>
          <w:szCs w:val="26"/>
          <w:lang w:val="ro-RO"/>
        </w:rPr>
      </w:pPr>
      <w:r w:rsidRPr="00D476AB">
        <w:rPr>
          <w:sz w:val="26"/>
          <w:szCs w:val="26"/>
          <w:lang w:val="ro-RO"/>
        </w:rPr>
        <w:lastRenderedPageBreak/>
        <w:t xml:space="preserve">Anexa nr. </w:t>
      </w:r>
      <w:r>
        <w:rPr>
          <w:sz w:val="26"/>
          <w:szCs w:val="26"/>
          <w:lang w:val="ro-RO"/>
        </w:rPr>
        <w:t>7</w:t>
      </w:r>
    </w:p>
    <w:p w:rsidR="00AA108A" w:rsidRPr="00D476AB" w:rsidRDefault="00AA108A" w:rsidP="00AA108A">
      <w:pPr>
        <w:pStyle w:val="ListParagraph"/>
        <w:jc w:val="right"/>
        <w:rPr>
          <w:sz w:val="26"/>
          <w:szCs w:val="26"/>
          <w:lang w:val="ro-RO"/>
        </w:rPr>
      </w:pPr>
      <w:r w:rsidRPr="00D476AB">
        <w:rPr>
          <w:sz w:val="26"/>
          <w:szCs w:val="26"/>
          <w:lang w:val="ro-RO"/>
        </w:rPr>
        <w:t xml:space="preserve">la Hotărârea Consiliului de Administrație </w:t>
      </w:r>
    </w:p>
    <w:p w:rsidR="00AA108A" w:rsidRPr="00D476AB" w:rsidRDefault="00AA108A" w:rsidP="00AA108A">
      <w:pPr>
        <w:pStyle w:val="ListParagraph"/>
        <w:jc w:val="right"/>
        <w:rPr>
          <w:sz w:val="26"/>
          <w:szCs w:val="26"/>
          <w:lang w:val="ro-RO"/>
        </w:rPr>
      </w:pPr>
      <w:r w:rsidRPr="00D476AB">
        <w:rPr>
          <w:sz w:val="26"/>
          <w:szCs w:val="26"/>
          <w:lang w:val="ro-RO"/>
        </w:rPr>
        <w:t xml:space="preserve">al ANRCETI nr. __ din __________ </w:t>
      </w:r>
    </w:p>
    <w:p w:rsidR="00AA108A" w:rsidRDefault="00AA108A" w:rsidP="00AA108A">
      <w:pPr>
        <w:pStyle w:val="ListParagraph"/>
        <w:jc w:val="center"/>
        <w:rPr>
          <w:b/>
          <w:sz w:val="26"/>
          <w:szCs w:val="26"/>
          <w:lang w:val="ro-RO"/>
        </w:rPr>
      </w:pPr>
    </w:p>
    <w:p w:rsidR="00AA108A" w:rsidRPr="00EE6920" w:rsidRDefault="00AA108A" w:rsidP="00AA108A">
      <w:pPr>
        <w:pStyle w:val="ListParagraph"/>
        <w:jc w:val="center"/>
        <w:rPr>
          <w:b/>
          <w:sz w:val="26"/>
          <w:szCs w:val="26"/>
          <w:lang w:val="ro-RO"/>
        </w:rPr>
      </w:pPr>
      <w:r w:rsidRPr="00425DB8">
        <w:rPr>
          <w:b/>
          <w:sz w:val="26"/>
          <w:szCs w:val="26"/>
          <w:lang w:val="ro-RO"/>
        </w:rPr>
        <w:t xml:space="preserve">Modificările </w:t>
      </w:r>
      <w:r>
        <w:rPr>
          <w:b/>
          <w:sz w:val="26"/>
          <w:szCs w:val="26"/>
          <w:lang w:val="ro-RO"/>
        </w:rPr>
        <w:t xml:space="preserve">și completările </w:t>
      </w:r>
      <w:r w:rsidRPr="00B10BB6">
        <w:rPr>
          <w:b/>
          <w:bCs/>
          <w:color w:val="000000"/>
          <w:sz w:val="26"/>
          <w:szCs w:val="26"/>
          <w:lang w:val="ro-RO" w:eastAsia="ru-RU"/>
        </w:rPr>
        <w:t xml:space="preserve">ce se operează </w:t>
      </w:r>
      <w:r>
        <w:rPr>
          <w:b/>
          <w:bCs/>
          <w:color w:val="000000"/>
          <w:sz w:val="26"/>
          <w:szCs w:val="26"/>
          <w:lang w:val="ro-RO" w:eastAsia="ru-RU"/>
        </w:rPr>
        <w:t xml:space="preserve">în </w:t>
      </w:r>
      <w:r w:rsidRPr="00425DB8">
        <w:rPr>
          <w:b/>
          <w:sz w:val="26"/>
          <w:szCs w:val="26"/>
          <w:lang w:val="ro-RO"/>
        </w:rPr>
        <w:t>Anex</w:t>
      </w:r>
      <w:r>
        <w:rPr>
          <w:b/>
          <w:sz w:val="26"/>
          <w:szCs w:val="26"/>
          <w:lang w:val="ro-RO"/>
        </w:rPr>
        <w:t>a</w:t>
      </w:r>
      <w:r w:rsidRPr="00AA108A">
        <w:rPr>
          <w:b/>
          <w:sz w:val="26"/>
          <w:szCs w:val="26"/>
          <w:lang w:val="en-US"/>
        </w:rPr>
        <w:t xml:space="preserve"> </w:t>
      </w:r>
      <w:r w:rsidRPr="00425DB8">
        <w:rPr>
          <w:b/>
          <w:sz w:val="26"/>
          <w:szCs w:val="26"/>
          <w:lang w:val="ro-RO"/>
        </w:rPr>
        <w:t>la Hotărârea Consiliului de Administrație al ANRCETI</w:t>
      </w:r>
      <w:r>
        <w:rPr>
          <w:b/>
          <w:sz w:val="26"/>
          <w:szCs w:val="26"/>
          <w:lang w:val="ro-RO"/>
        </w:rPr>
        <w:t xml:space="preserve"> </w:t>
      </w:r>
      <w:r w:rsidRPr="00EE6920">
        <w:rPr>
          <w:b/>
          <w:sz w:val="26"/>
          <w:szCs w:val="26"/>
          <w:lang w:val="ro-RO"/>
        </w:rPr>
        <w:t>nr. 28 din 01 noiembrie 2011 „Cu privire la impunerea obligaţiilor speciale preventive S.A.”Moldtelecom” în legătură cu puterea sa semnificativă pe piaţa de tranzit de trafic în reţelele publice de telefonie</w:t>
      </w:r>
    </w:p>
    <w:p w:rsidR="00AA108A" w:rsidRDefault="00AA108A" w:rsidP="00AA108A">
      <w:pPr>
        <w:jc w:val="both"/>
        <w:rPr>
          <w:sz w:val="26"/>
          <w:szCs w:val="26"/>
          <w:lang w:val="ro-RO"/>
        </w:rPr>
      </w:pPr>
    </w:p>
    <w:p w:rsidR="00AA108A" w:rsidRPr="00247370" w:rsidRDefault="00AA108A" w:rsidP="00AA108A">
      <w:pPr>
        <w:ind w:firstLine="720"/>
        <w:jc w:val="both"/>
        <w:rPr>
          <w:b/>
          <w:sz w:val="26"/>
          <w:szCs w:val="26"/>
          <w:lang w:val="ro-RO"/>
        </w:rPr>
      </w:pPr>
      <w:r w:rsidRPr="00D476AB">
        <w:rPr>
          <w:sz w:val="26"/>
          <w:szCs w:val="26"/>
          <w:lang w:val="ro-RO"/>
        </w:rPr>
        <w:t>La punctul 1 sintagma “Regulamentul cu privire la interconectare, aprobat prin Hotărârea Consiliului de Administraţie al Agenţiei nr.12 din 31.01.2009” se substituie cu sintagma “Regulamentul cu privire la acces și interconectare, aprobat prin Hotărârea Consiliului de Administraţie al Agenţiei nr.   din                    ”</w:t>
      </w:r>
      <w:r>
        <w:rPr>
          <w:sz w:val="26"/>
          <w:szCs w:val="26"/>
          <w:lang w:val="ro-RO"/>
        </w:rPr>
        <w:t>.</w:t>
      </w:r>
    </w:p>
    <w:p w:rsidR="00AA108A" w:rsidRPr="00AA108A" w:rsidRDefault="00AA108A" w:rsidP="001E0F6E">
      <w:pPr>
        <w:ind w:left="5760" w:firstLine="720"/>
        <w:jc w:val="both"/>
        <w:rPr>
          <w:b/>
          <w:sz w:val="26"/>
          <w:szCs w:val="26"/>
          <w:lang w:val="ro-RO"/>
        </w:rPr>
      </w:pPr>
    </w:p>
    <w:sectPr w:rsidR="00AA108A" w:rsidRPr="00AA108A" w:rsidSect="001E0F6E">
      <w:footerReference w:type="even" r:id="rId9"/>
      <w:footerReference w:type="default" r:id="rId10"/>
      <w:headerReference w:type="first" r:id="rId11"/>
      <w:footerReference w:type="first" r:id="rId12"/>
      <w:pgSz w:w="11906" w:h="16838" w:code="9"/>
      <w:pgMar w:top="1134" w:right="1133" w:bottom="1134" w:left="1560" w:header="289" w:footer="6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9A" w:rsidRDefault="006E4E9A">
      <w:r>
        <w:separator/>
      </w:r>
    </w:p>
  </w:endnote>
  <w:endnote w:type="continuationSeparator" w:id="0">
    <w:p w:rsidR="006E4E9A" w:rsidRDefault="006E4E9A">
      <w:r>
        <w:continuationSeparator/>
      </w:r>
    </w:p>
  </w:endnote>
  <w:endnote w:type="continuationNotice" w:id="1">
    <w:p w:rsidR="006E4E9A" w:rsidRDefault="006E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D" w:rsidRDefault="00921BF0">
    <w:pPr>
      <w:pStyle w:val="Footer"/>
      <w:framePr w:wrap="around" w:vAnchor="text" w:hAnchor="margin" w:xAlign="right" w:y="1"/>
      <w:rPr>
        <w:rStyle w:val="PageNumber"/>
      </w:rPr>
    </w:pPr>
    <w:r>
      <w:rPr>
        <w:rStyle w:val="PageNumber"/>
      </w:rPr>
      <w:fldChar w:fldCharType="begin"/>
    </w:r>
    <w:r w:rsidR="00127D6D">
      <w:rPr>
        <w:rStyle w:val="PageNumber"/>
      </w:rPr>
      <w:instrText xml:space="preserve">PAGE  </w:instrText>
    </w:r>
    <w:r>
      <w:rPr>
        <w:rStyle w:val="PageNumber"/>
      </w:rPr>
      <w:fldChar w:fldCharType="end"/>
    </w:r>
  </w:p>
  <w:p w:rsidR="00127D6D" w:rsidRDefault="00127D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D" w:rsidRDefault="00921BF0">
    <w:pPr>
      <w:pStyle w:val="Footer"/>
      <w:framePr w:wrap="around" w:vAnchor="text" w:hAnchor="margin" w:xAlign="right" w:y="1"/>
      <w:rPr>
        <w:rStyle w:val="PageNumber"/>
      </w:rPr>
    </w:pPr>
    <w:r>
      <w:rPr>
        <w:rStyle w:val="PageNumber"/>
      </w:rPr>
      <w:fldChar w:fldCharType="begin"/>
    </w:r>
    <w:r w:rsidR="00127D6D">
      <w:rPr>
        <w:rStyle w:val="PageNumber"/>
      </w:rPr>
      <w:instrText xml:space="preserve">PAGE  </w:instrText>
    </w:r>
    <w:r>
      <w:rPr>
        <w:rStyle w:val="PageNumber"/>
      </w:rPr>
      <w:fldChar w:fldCharType="separate"/>
    </w:r>
    <w:r w:rsidR="006749B3">
      <w:rPr>
        <w:rStyle w:val="PageNumber"/>
        <w:noProof/>
      </w:rPr>
      <w:t>13</w:t>
    </w:r>
    <w:r>
      <w:rPr>
        <w:rStyle w:val="PageNumber"/>
      </w:rPr>
      <w:fldChar w:fldCharType="end"/>
    </w:r>
  </w:p>
  <w:p w:rsidR="00127D6D" w:rsidRDefault="00127D6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D" w:rsidRDefault="00691829">
    <w:pPr>
      <w:pStyle w:val="Footer"/>
      <w:rPr>
        <w:sz w:val="6"/>
        <w:lang w:val="ro-RO"/>
      </w:rPr>
    </w:pPr>
    <w:r>
      <w:rPr>
        <w:noProof/>
        <w:sz w:val="20"/>
        <w:lang w:val="en-US"/>
      </w:rPr>
      <mc:AlternateContent>
        <mc:Choice Requires="wps">
          <w:drawing>
            <wp:anchor distT="4294967295" distB="4294967295" distL="114300" distR="114300" simplePos="0" relativeHeight="251657728" behindDoc="0" locked="0" layoutInCell="1" allowOverlap="1">
              <wp:simplePos x="0" y="0"/>
              <wp:positionH relativeFrom="column">
                <wp:posOffset>-16510</wp:posOffset>
              </wp:positionH>
              <wp:positionV relativeFrom="paragraph">
                <wp:posOffset>-17145</wp:posOffset>
              </wp:positionV>
              <wp:extent cx="58293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35pt" to="45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" strokecolor="red" strokeweight="4.5pt">
              <v:stroke linestyle="thinThick"/>
            </v:line>
          </w:pict>
        </mc:Fallback>
      </mc:AlternateContent>
    </w:r>
  </w:p>
  <w:p w:rsidR="00127D6D" w:rsidRDefault="00127D6D">
    <w:pPr>
      <w:pStyle w:val="Footer"/>
      <w:rPr>
        <w:sz w:val="20"/>
        <w:lang w:val="en-US"/>
      </w:rPr>
    </w:pPr>
    <w:r>
      <w:rPr>
        <w:sz w:val="20"/>
        <w:lang w:val="ro-RO"/>
      </w:rPr>
      <w:t>bd. Ştefan cel Mare, 134,             Telefon:                           Fax:</w:t>
    </w:r>
    <w:r>
      <w:rPr>
        <w:sz w:val="20"/>
        <w:lang w:val="ro-RO"/>
      </w:rPr>
      <w:tab/>
      <w:t xml:space="preserve">                                     e-mail: office@anrceti.md</w:t>
    </w:r>
  </w:p>
  <w:p w:rsidR="00127D6D" w:rsidRDefault="00127D6D">
    <w:pPr>
      <w:pStyle w:val="Footer"/>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9A" w:rsidRDefault="006E4E9A">
      <w:r>
        <w:separator/>
      </w:r>
    </w:p>
  </w:footnote>
  <w:footnote w:type="continuationSeparator" w:id="0">
    <w:p w:rsidR="006E4E9A" w:rsidRDefault="006E4E9A">
      <w:r>
        <w:continuationSeparator/>
      </w:r>
    </w:p>
  </w:footnote>
  <w:footnote w:type="continuationNotice" w:id="1">
    <w:p w:rsidR="006E4E9A" w:rsidRDefault="006E4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127D6D">
      <w:trPr>
        <w:trHeight w:val="1194"/>
        <w:jc w:val="center"/>
      </w:trPr>
      <w:tc>
        <w:tcPr>
          <w:tcW w:w="4263" w:type="dxa"/>
        </w:tcPr>
        <w:p w:rsidR="00127D6D" w:rsidRDefault="004F4C79">
          <w:pPr>
            <w:pStyle w:val="Heading4"/>
            <w:spacing w:line="240" w:lineRule="auto"/>
            <w:rPr>
              <w:spacing w:val="-8"/>
              <w:sz w:val="20"/>
            </w:rPr>
          </w:pPr>
          <w:r>
            <w:rPr>
              <w:noProof/>
              <w:color w:val="000080"/>
              <w:spacing w:val="-8"/>
              <w:lang w:val="en-US"/>
            </w:rPr>
            <w:drawing>
              <wp:anchor distT="0" distB="0" distL="114300" distR="114300" simplePos="0" relativeHeight="251658752" behindDoc="0" locked="0" layoutInCell="1" allowOverlap="1">
                <wp:simplePos x="0" y="0"/>
                <wp:positionH relativeFrom="column">
                  <wp:posOffset>2508885</wp:posOffset>
                </wp:positionH>
                <wp:positionV relativeFrom="paragraph">
                  <wp:posOffset>-2540</wp:posOffset>
                </wp:positionV>
                <wp:extent cx="720090" cy="720090"/>
                <wp:effectExtent l="0" t="0" r="3810" b="381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sidR="00127D6D">
            <w:rPr>
              <w:bCs w:val="0"/>
              <w:spacing w:val="-8"/>
              <w:sz w:val="20"/>
            </w:rPr>
            <w:t xml:space="preserve">AGENŢIA NAŢIONALĂ PENTRU REGLEMENTARE </w:t>
          </w:r>
          <w:r w:rsidR="00127D6D">
            <w:rPr>
              <w:spacing w:val="-8"/>
              <w:sz w:val="20"/>
            </w:rPr>
            <w:t>ÎN</w:t>
          </w:r>
        </w:p>
        <w:p w:rsidR="00127D6D" w:rsidRDefault="00127D6D">
          <w:pPr>
            <w:pStyle w:val="Heading4"/>
            <w:spacing w:line="240" w:lineRule="auto"/>
            <w:rPr>
              <w:spacing w:val="-8"/>
              <w:sz w:val="20"/>
            </w:rPr>
          </w:pPr>
          <w:r>
            <w:rPr>
              <w:spacing w:val="-8"/>
              <w:sz w:val="20"/>
            </w:rPr>
            <w:t xml:space="preserve">COMUNICAŢII ELECTRONICE ŞI TEHNOLOGIA INFORMAŢIEI A </w:t>
          </w:r>
        </w:p>
        <w:p w:rsidR="00127D6D" w:rsidRDefault="00691829">
          <w:pPr>
            <w:pStyle w:val="Heading4"/>
            <w:spacing w:line="240" w:lineRule="auto"/>
            <w:rPr>
              <w:color w:val="000080"/>
              <w:spacing w:val="-8"/>
            </w:rPr>
          </w:pPr>
          <w:r>
            <w:rPr>
              <w:rFonts w:ascii="Arial Black" w:hAnsi="Arial Black"/>
              <w:noProof/>
              <w:sz w:val="20"/>
              <w:lang w:val="en-US"/>
            </w:rPr>
            <mc:AlternateContent>
              <mc:Choice Requires="wps">
                <w:drawing>
                  <wp:anchor distT="4294967295" distB="4294967295" distL="114300" distR="114300" simplePos="0" relativeHeight="251656704" behindDoc="0" locked="0" layoutInCell="1" allowOverlap="1">
                    <wp:simplePos x="0" y="0"/>
                    <wp:positionH relativeFrom="column">
                      <wp:posOffset>20955</wp:posOffset>
                    </wp:positionH>
                    <wp:positionV relativeFrom="paragraph">
                      <wp:posOffset>170814</wp:posOffset>
                    </wp:positionV>
                    <wp:extent cx="5883910" cy="0"/>
                    <wp:effectExtent l="0" t="19050" r="2159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aK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DtIRoo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00127D6D">
            <w:rPr>
              <w:spacing w:val="-8"/>
              <w:sz w:val="20"/>
            </w:rPr>
            <w:t>REPUBLICII MOLDOVA</w:t>
          </w:r>
        </w:p>
      </w:tc>
      <w:tc>
        <w:tcPr>
          <w:tcW w:w="1201" w:type="dxa"/>
        </w:tcPr>
        <w:p w:rsidR="00127D6D" w:rsidRDefault="00127D6D">
          <w:pPr>
            <w:pStyle w:val="Heading4"/>
            <w:spacing w:line="240" w:lineRule="auto"/>
            <w:jc w:val="left"/>
            <w:rPr>
              <w:color w:val="000080"/>
              <w:spacing w:val="-8"/>
            </w:rPr>
          </w:pPr>
        </w:p>
      </w:tc>
      <w:tc>
        <w:tcPr>
          <w:tcW w:w="4096" w:type="dxa"/>
        </w:tcPr>
        <w:p w:rsidR="00127D6D" w:rsidRDefault="00127D6D">
          <w:pPr>
            <w:pStyle w:val="Heading1"/>
            <w:jc w:val="center"/>
            <w:rPr>
              <w:b/>
              <w:bCs/>
              <w:sz w:val="20"/>
              <w:lang w:val="ru-RU"/>
            </w:rPr>
          </w:pPr>
          <w:r>
            <w:rPr>
              <w:b/>
              <w:bCs/>
              <w:sz w:val="20"/>
              <w:lang w:val="ru-RU"/>
            </w:rPr>
            <w:t xml:space="preserve">НАЦИОНАЛЬНОЕ АГЕНТСТВО ПО РЕГУЛИРОВАНИЮ </w:t>
          </w:r>
          <w:r>
            <w:rPr>
              <w:b/>
              <w:sz w:val="20"/>
              <w:lang w:val="ru-RU"/>
            </w:rPr>
            <w:t>В ОБЛАСТИ ЭЛЕКТРОННЫХ КОММУНИКАЦИЙ И ИНФОРМАЦИОННЫХ ТЕХНОЛОГИЙ РЕСПУБЛИКИ МОЛДОВА</w:t>
          </w:r>
        </w:p>
      </w:tc>
    </w:tr>
  </w:tbl>
  <w:p w:rsidR="00127D6D" w:rsidRPr="00B636B5" w:rsidRDefault="00127D6D">
    <w:pPr>
      <w:spacing w:line="360" w:lineRule="auto"/>
      <w:rPr>
        <w:sz w:val="12"/>
      </w:rPr>
    </w:pPr>
  </w:p>
  <w:p w:rsidR="00127D6D" w:rsidRDefault="00127D6D">
    <w:pPr>
      <w:jc w:val="center"/>
      <w:rPr>
        <w:b/>
        <w:szCs w:val="28"/>
        <w:lang w:val="ro-RO"/>
      </w:rPr>
    </w:pPr>
  </w:p>
  <w:p w:rsidR="00127D6D" w:rsidRDefault="00127D6D">
    <w:pPr>
      <w:jc w:val="center"/>
      <w:rPr>
        <w:b/>
        <w:szCs w:val="28"/>
        <w:lang w:val="ro-RO"/>
      </w:rPr>
    </w:pPr>
    <w:r>
      <w:rPr>
        <w:b/>
        <w:szCs w:val="28"/>
        <w:lang w:val="ro-RO"/>
      </w:rPr>
      <w:t>CONSILIUL DE ADMINISTRAŢIE</w:t>
    </w:r>
  </w:p>
  <w:p w:rsidR="00127D6D" w:rsidRDefault="00127D6D">
    <w:pPr>
      <w:jc w:val="center"/>
      <w:rPr>
        <w:b/>
        <w:szCs w:val="28"/>
        <w:lang w:val="ro-RO"/>
      </w:rPr>
    </w:pPr>
  </w:p>
  <w:p w:rsidR="00127D6D" w:rsidRDefault="00127D6D">
    <w:pPr>
      <w:spacing w:before="120"/>
      <w:jc w:val="center"/>
      <w:rPr>
        <w:b/>
        <w:szCs w:val="28"/>
        <w:lang w:val="ro-RO"/>
      </w:rPr>
    </w:pPr>
    <w:r>
      <w:rPr>
        <w:b/>
        <w:szCs w:val="28"/>
        <w:lang w:val="ro-RO"/>
      </w:rPr>
      <w:t xml:space="preserve">H O T Ă R </w:t>
    </w:r>
    <w:r w:rsidR="0001721F">
      <w:rPr>
        <w:b/>
        <w:szCs w:val="28"/>
        <w:lang w:val="ro-RO"/>
      </w:rPr>
      <w:t xml:space="preserve">Â </w:t>
    </w:r>
    <w:r>
      <w:rPr>
        <w:b/>
        <w:szCs w:val="28"/>
        <w:lang w:val="ro-RO"/>
      </w:rPr>
      <w:t>R E</w:t>
    </w:r>
  </w:p>
  <w:p w:rsidR="00127D6D" w:rsidRDefault="00127D6D">
    <w:pPr>
      <w:spacing w:before="120"/>
      <w:jc w:val="center"/>
      <w:rPr>
        <w:b/>
        <w:szCs w:val="28"/>
        <w:lang w:val="ro-RO"/>
      </w:rPr>
    </w:pPr>
    <w:r>
      <w:rPr>
        <w:b/>
        <w:szCs w:val="28"/>
        <w:lang w:val="ro-RO"/>
      </w:rPr>
      <w:t>mun. Chişinău</w:t>
    </w:r>
  </w:p>
  <w:p w:rsidR="00127D6D" w:rsidRDefault="00127D6D">
    <w:pPr>
      <w:jc w:val="center"/>
      <w:rPr>
        <w:b/>
        <w:szCs w:val="28"/>
        <w:lang w:val="ro-RO"/>
      </w:rPr>
    </w:pPr>
  </w:p>
  <w:p w:rsidR="00127D6D" w:rsidRDefault="00DF07BC" w:rsidP="006749B3">
    <w:pPr>
      <w:ind w:firstLine="720"/>
      <w:rPr>
        <w:b/>
        <w:szCs w:val="28"/>
        <w:lang w:val="ro-RO"/>
      </w:rPr>
    </w:pPr>
    <w:r>
      <w:rPr>
        <w:b/>
        <w:szCs w:val="28"/>
        <w:lang w:val="ro-RO"/>
      </w:rPr>
      <w:t>din</w:t>
    </w:r>
    <w:r w:rsidR="00247370">
      <w:rPr>
        <w:b/>
        <w:szCs w:val="28"/>
        <w:lang w:val="ro-RO"/>
      </w:rPr>
      <w:tab/>
    </w:r>
    <w:r w:rsidR="00247370">
      <w:rPr>
        <w:b/>
        <w:szCs w:val="28"/>
        <w:lang w:val="ro-RO"/>
      </w:rPr>
      <w:tab/>
    </w:r>
    <w:r w:rsidR="00247370">
      <w:rPr>
        <w:b/>
        <w:szCs w:val="28"/>
        <w:lang w:val="ro-RO"/>
      </w:rPr>
      <w:tab/>
    </w:r>
    <w:r w:rsidR="00127D6D">
      <w:rPr>
        <w:b/>
        <w:szCs w:val="28"/>
        <w:lang w:val="ro-RO"/>
      </w:rPr>
      <w:tab/>
    </w:r>
    <w:r w:rsidR="00247370">
      <w:rPr>
        <w:b/>
        <w:szCs w:val="28"/>
        <w:lang w:val="ro-RO"/>
      </w:rPr>
      <w:t xml:space="preserve">                                                                   </w:t>
    </w:r>
    <w:r w:rsidR="00127D6D">
      <w:rPr>
        <w:b/>
        <w:szCs w:val="28"/>
        <w:lang w:val="ro-RO"/>
      </w:rPr>
      <w:t xml:space="preserve">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65E9"/>
    <w:multiLevelType w:val="hybridMultilevel"/>
    <w:tmpl w:val="E34C663E"/>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914C40"/>
    <w:multiLevelType w:val="hybridMultilevel"/>
    <w:tmpl w:val="CAD622D6"/>
    <w:lvl w:ilvl="0" w:tplc="D7044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5385C"/>
    <w:multiLevelType w:val="hybridMultilevel"/>
    <w:tmpl w:val="B1908A3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E38F8"/>
    <w:multiLevelType w:val="hybridMultilevel"/>
    <w:tmpl w:val="A086B968"/>
    <w:lvl w:ilvl="0" w:tplc="E58A9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07029"/>
    <w:multiLevelType w:val="hybridMultilevel"/>
    <w:tmpl w:val="5144385E"/>
    <w:lvl w:ilvl="0" w:tplc="ADBC8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0172D"/>
    <w:multiLevelType w:val="hybridMultilevel"/>
    <w:tmpl w:val="B5B8E7C6"/>
    <w:lvl w:ilvl="0" w:tplc="151412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6722DE"/>
    <w:multiLevelType w:val="hybridMultilevel"/>
    <w:tmpl w:val="9BC2F3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3C2A37"/>
    <w:multiLevelType w:val="hybridMultilevel"/>
    <w:tmpl w:val="6C76579C"/>
    <w:lvl w:ilvl="0" w:tplc="AA5AC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96279"/>
    <w:multiLevelType w:val="hybridMultilevel"/>
    <w:tmpl w:val="1F1AA2C6"/>
    <w:lvl w:ilvl="0" w:tplc="0409000F">
      <w:start w:val="1"/>
      <w:numFmt w:val="decimal"/>
      <w:lvlText w:val="%1."/>
      <w:lvlJc w:val="left"/>
      <w:pPr>
        <w:ind w:left="720" w:hanging="360"/>
      </w:pPr>
      <w:rPr>
        <w:rFonts w:hint="default"/>
      </w:rPr>
    </w:lvl>
    <w:lvl w:ilvl="1" w:tplc="F30E26A2">
      <w:start w:val="1"/>
      <w:numFmt w:val="decimal"/>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821C6"/>
    <w:multiLevelType w:val="hybridMultilevel"/>
    <w:tmpl w:val="A950D888"/>
    <w:lvl w:ilvl="0" w:tplc="4AF61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96DFD"/>
    <w:multiLevelType w:val="hybridMultilevel"/>
    <w:tmpl w:val="866ED47E"/>
    <w:lvl w:ilvl="0" w:tplc="1C461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566AD8"/>
    <w:multiLevelType w:val="hybridMultilevel"/>
    <w:tmpl w:val="45DED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C12FB"/>
    <w:multiLevelType w:val="hybridMultilevel"/>
    <w:tmpl w:val="45DED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0"/>
  </w:num>
  <w:num w:numId="5">
    <w:abstractNumId w:val="2"/>
  </w:num>
  <w:num w:numId="6">
    <w:abstractNumId w:val="11"/>
  </w:num>
  <w:num w:numId="7">
    <w:abstractNumId w:val="12"/>
  </w:num>
  <w:num w:numId="8">
    <w:abstractNumId w:val="6"/>
  </w:num>
  <w:num w:numId="9">
    <w:abstractNumId w:val="10"/>
  </w:num>
  <w:num w:numId="10">
    <w:abstractNumId w:val="9"/>
  </w:num>
  <w:num w:numId="11">
    <w:abstractNumId w:val="4"/>
  </w:num>
  <w:num w:numId="12">
    <w:abstractNumId w:val="7"/>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6F"/>
    <w:rsid w:val="00000916"/>
    <w:rsid w:val="00000B18"/>
    <w:rsid w:val="00003404"/>
    <w:rsid w:val="00003672"/>
    <w:rsid w:val="00005786"/>
    <w:rsid w:val="00007577"/>
    <w:rsid w:val="0001136A"/>
    <w:rsid w:val="000129CB"/>
    <w:rsid w:val="00013D1B"/>
    <w:rsid w:val="00014C3C"/>
    <w:rsid w:val="0001651F"/>
    <w:rsid w:val="00016F5F"/>
    <w:rsid w:val="0001721F"/>
    <w:rsid w:val="00017446"/>
    <w:rsid w:val="00020058"/>
    <w:rsid w:val="00020659"/>
    <w:rsid w:val="00023741"/>
    <w:rsid w:val="000242DA"/>
    <w:rsid w:val="00024978"/>
    <w:rsid w:val="00025205"/>
    <w:rsid w:val="00032885"/>
    <w:rsid w:val="0003315D"/>
    <w:rsid w:val="000332C5"/>
    <w:rsid w:val="00034761"/>
    <w:rsid w:val="00036D81"/>
    <w:rsid w:val="0003798F"/>
    <w:rsid w:val="0004056A"/>
    <w:rsid w:val="000425E7"/>
    <w:rsid w:val="00042ADB"/>
    <w:rsid w:val="000430DB"/>
    <w:rsid w:val="0004391B"/>
    <w:rsid w:val="00044D5F"/>
    <w:rsid w:val="0004516F"/>
    <w:rsid w:val="0004518A"/>
    <w:rsid w:val="00046135"/>
    <w:rsid w:val="0004632B"/>
    <w:rsid w:val="00050353"/>
    <w:rsid w:val="00050E78"/>
    <w:rsid w:val="0005108E"/>
    <w:rsid w:val="0005146C"/>
    <w:rsid w:val="00053D71"/>
    <w:rsid w:val="00055497"/>
    <w:rsid w:val="00056F14"/>
    <w:rsid w:val="00057B27"/>
    <w:rsid w:val="00061BDA"/>
    <w:rsid w:val="00061E92"/>
    <w:rsid w:val="000633B0"/>
    <w:rsid w:val="00065C54"/>
    <w:rsid w:val="00065D84"/>
    <w:rsid w:val="0006770C"/>
    <w:rsid w:val="00071FE0"/>
    <w:rsid w:val="00072283"/>
    <w:rsid w:val="00073A12"/>
    <w:rsid w:val="00076571"/>
    <w:rsid w:val="0007707F"/>
    <w:rsid w:val="00081127"/>
    <w:rsid w:val="00083572"/>
    <w:rsid w:val="00084BF6"/>
    <w:rsid w:val="00085D21"/>
    <w:rsid w:val="00087FC6"/>
    <w:rsid w:val="00090B19"/>
    <w:rsid w:val="0009164B"/>
    <w:rsid w:val="00093481"/>
    <w:rsid w:val="00093706"/>
    <w:rsid w:val="00094DB2"/>
    <w:rsid w:val="000967CB"/>
    <w:rsid w:val="00097745"/>
    <w:rsid w:val="000A1E4A"/>
    <w:rsid w:val="000A34C9"/>
    <w:rsid w:val="000A4826"/>
    <w:rsid w:val="000A4F8D"/>
    <w:rsid w:val="000A52DA"/>
    <w:rsid w:val="000A670E"/>
    <w:rsid w:val="000B22B5"/>
    <w:rsid w:val="000B3CE6"/>
    <w:rsid w:val="000B6571"/>
    <w:rsid w:val="000C01CE"/>
    <w:rsid w:val="000C0D35"/>
    <w:rsid w:val="000C1208"/>
    <w:rsid w:val="000C2986"/>
    <w:rsid w:val="000C53CB"/>
    <w:rsid w:val="000D0295"/>
    <w:rsid w:val="000D091E"/>
    <w:rsid w:val="000D1B91"/>
    <w:rsid w:val="000D698D"/>
    <w:rsid w:val="000D750A"/>
    <w:rsid w:val="000D7689"/>
    <w:rsid w:val="000D7F98"/>
    <w:rsid w:val="000E0B76"/>
    <w:rsid w:val="000E254A"/>
    <w:rsid w:val="000E7B4A"/>
    <w:rsid w:val="000F1AD5"/>
    <w:rsid w:val="000F256E"/>
    <w:rsid w:val="001005E7"/>
    <w:rsid w:val="00102548"/>
    <w:rsid w:val="00102822"/>
    <w:rsid w:val="00102903"/>
    <w:rsid w:val="00104E72"/>
    <w:rsid w:val="00105B47"/>
    <w:rsid w:val="00105CB1"/>
    <w:rsid w:val="00105CF4"/>
    <w:rsid w:val="00105EBA"/>
    <w:rsid w:val="0010616A"/>
    <w:rsid w:val="00110335"/>
    <w:rsid w:val="00110516"/>
    <w:rsid w:val="0011225A"/>
    <w:rsid w:val="001124D5"/>
    <w:rsid w:val="001131A4"/>
    <w:rsid w:val="001139E5"/>
    <w:rsid w:val="001139EB"/>
    <w:rsid w:val="00113B11"/>
    <w:rsid w:val="0011462C"/>
    <w:rsid w:val="00116AD1"/>
    <w:rsid w:val="00122853"/>
    <w:rsid w:val="00123687"/>
    <w:rsid w:val="001249E8"/>
    <w:rsid w:val="001253E6"/>
    <w:rsid w:val="001257E3"/>
    <w:rsid w:val="00125F29"/>
    <w:rsid w:val="00127924"/>
    <w:rsid w:val="00127D6D"/>
    <w:rsid w:val="001317D2"/>
    <w:rsid w:val="001329DB"/>
    <w:rsid w:val="00135954"/>
    <w:rsid w:val="001409B1"/>
    <w:rsid w:val="00140BBC"/>
    <w:rsid w:val="001412E5"/>
    <w:rsid w:val="00141B9E"/>
    <w:rsid w:val="00142E20"/>
    <w:rsid w:val="001477A4"/>
    <w:rsid w:val="001503E8"/>
    <w:rsid w:val="00150765"/>
    <w:rsid w:val="00152F90"/>
    <w:rsid w:val="00153619"/>
    <w:rsid w:val="001538AF"/>
    <w:rsid w:val="00155A6B"/>
    <w:rsid w:val="00155B7C"/>
    <w:rsid w:val="001573F2"/>
    <w:rsid w:val="001577A4"/>
    <w:rsid w:val="001629F9"/>
    <w:rsid w:val="00163493"/>
    <w:rsid w:val="001634D1"/>
    <w:rsid w:val="0016372B"/>
    <w:rsid w:val="0016464B"/>
    <w:rsid w:val="0016652C"/>
    <w:rsid w:val="00170973"/>
    <w:rsid w:val="00170ADE"/>
    <w:rsid w:val="00171DFB"/>
    <w:rsid w:val="00172151"/>
    <w:rsid w:val="00176205"/>
    <w:rsid w:val="00176502"/>
    <w:rsid w:val="00176CBD"/>
    <w:rsid w:val="0017775F"/>
    <w:rsid w:val="00180B6B"/>
    <w:rsid w:val="00181066"/>
    <w:rsid w:val="0018179C"/>
    <w:rsid w:val="00182A7C"/>
    <w:rsid w:val="001844F7"/>
    <w:rsid w:val="001849A6"/>
    <w:rsid w:val="00185126"/>
    <w:rsid w:val="00185E19"/>
    <w:rsid w:val="00186C3D"/>
    <w:rsid w:val="00195095"/>
    <w:rsid w:val="00195BAA"/>
    <w:rsid w:val="0019715C"/>
    <w:rsid w:val="0019784C"/>
    <w:rsid w:val="001A005A"/>
    <w:rsid w:val="001A2141"/>
    <w:rsid w:val="001A3AB6"/>
    <w:rsid w:val="001A43CC"/>
    <w:rsid w:val="001A68DA"/>
    <w:rsid w:val="001B0A6D"/>
    <w:rsid w:val="001B2577"/>
    <w:rsid w:val="001B4AA0"/>
    <w:rsid w:val="001B5382"/>
    <w:rsid w:val="001B5C86"/>
    <w:rsid w:val="001B7F7B"/>
    <w:rsid w:val="001C0A86"/>
    <w:rsid w:val="001C30F8"/>
    <w:rsid w:val="001C505A"/>
    <w:rsid w:val="001D0532"/>
    <w:rsid w:val="001D1908"/>
    <w:rsid w:val="001D63B9"/>
    <w:rsid w:val="001D6BE6"/>
    <w:rsid w:val="001E0F6E"/>
    <w:rsid w:val="001E63B3"/>
    <w:rsid w:val="001E790F"/>
    <w:rsid w:val="001F076D"/>
    <w:rsid w:val="001F1B82"/>
    <w:rsid w:val="001F2FCD"/>
    <w:rsid w:val="001F30F6"/>
    <w:rsid w:val="001F36B4"/>
    <w:rsid w:val="001F46A1"/>
    <w:rsid w:val="001F5271"/>
    <w:rsid w:val="001F5AA5"/>
    <w:rsid w:val="0020155C"/>
    <w:rsid w:val="00204B4B"/>
    <w:rsid w:val="002056DC"/>
    <w:rsid w:val="002061EC"/>
    <w:rsid w:val="00207134"/>
    <w:rsid w:val="00210618"/>
    <w:rsid w:val="0021252B"/>
    <w:rsid w:val="00217D0D"/>
    <w:rsid w:val="00224C5A"/>
    <w:rsid w:val="00227DF0"/>
    <w:rsid w:val="0023121F"/>
    <w:rsid w:val="002312D7"/>
    <w:rsid w:val="00231750"/>
    <w:rsid w:val="002317A9"/>
    <w:rsid w:val="00233237"/>
    <w:rsid w:val="00234303"/>
    <w:rsid w:val="00234A12"/>
    <w:rsid w:val="0023693B"/>
    <w:rsid w:val="00236C84"/>
    <w:rsid w:val="00237A5B"/>
    <w:rsid w:val="002407CE"/>
    <w:rsid w:val="00241234"/>
    <w:rsid w:val="0024399E"/>
    <w:rsid w:val="00243E6A"/>
    <w:rsid w:val="00247370"/>
    <w:rsid w:val="00247F23"/>
    <w:rsid w:val="00250F56"/>
    <w:rsid w:val="002517B1"/>
    <w:rsid w:val="00252F5A"/>
    <w:rsid w:val="00254E54"/>
    <w:rsid w:val="002564E0"/>
    <w:rsid w:val="00257304"/>
    <w:rsid w:val="00260D8B"/>
    <w:rsid w:val="00260E41"/>
    <w:rsid w:val="00260F6D"/>
    <w:rsid w:val="0026141A"/>
    <w:rsid w:val="0026213D"/>
    <w:rsid w:val="002648DA"/>
    <w:rsid w:val="002678BD"/>
    <w:rsid w:val="00271DA3"/>
    <w:rsid w:val="0027318A"/>
    <w:rsid w:val="002760F6"/>
    <w:rsid w:val="00276959"/>
    <w:rsid w:val="0028012D"/>
    <w:rsid w:val="0028052A"/>
    <w:rsid w:val="0028132D"/>
    <w:rsid w:val="00283653"/>
    <w:rsid w:val="00283B2B"/>
    <w:rsid w:val="00283EE9"/>
    <w:rsid w:val="00285148"/>
    <w:rsid w:val="00287F45"/>
    <w:rsid w:val="00291077"/>
    <w:rsid w:val="00293542"/>
    <w:rsid w:val="0029354F"/>
    <w:rsid w:val="00293942"/>
    <w:rsid w:val="00294622"/>
    <w:rsid w:val="002A45A8"/>
    <w:rsid w:val="002A6F18"/>
    <w:rsid w:val="002B1F8E"/>
    <w:rsid w:val="002B3374"/>
    <w:rsid w:val="002B5396"/>
    <w:rsid w:val="002B576C"/>
    <w:rsid w:val="002B7A0E"/>
    <w:rsid w:val="002C1ABC"/>
    <w:rsid w:val="002C5A73"/>
    <w:rsid w:val="002C6420"/>
    <w:rsid w:val="002C6B13"/>
    <w:rsid w:val="002C7C8F"/>
    <w:rsid w:val="002D0179"/>
    <w:rsid w:val="002D0DD8"/>
    <w:rsid w:val="002D302D"/>
    <w:rsid w:val="002D3601"/>
    <w:rsid w:val="002D69B7"/>
    <w:rsid w:val="002E0A4E"/>
    <w:rsid w:val="002E1A17"/>
    <w:rsid w:val="002E47BE"/>
    <w:rsid w:val="002E4F2B"/>
    <w:rsid w:val="002E5074"/>
    <w:rsid w:val="002E644B"/>
    <w:rsid w:val="002E7273"/>
    <w:rsid w:val="002E7549"/>
    <w:rsid w:val="002F0F33"/>
    <w:rsid w:val="002F1F81"/>
    <w:rsid w:val="002F30ED"/>
    <w:rsid w:val="002F656A"/>
    <w:rsid w:val="002F6894"/>
    <w:rsid w:val="003001CD"/>
    <w:rsid w:val="00300859"/>
    <w:rsid w:val="00301CF5"/>
    <w:rsid w:val="00302010"/>
    <w:rsid w:val="0030440B"/>
    <w:rsid w:val="00305679"/>
    <w:rsid w:val="003059B3"/>
    <w:rsid w:val="00307F20"/>
    <w:rsid w:val="00310D4E"/>
    <w:rsid w:val="00311997"/>
    <w:rsid w:val="00313335"/>
    <w:rsid w:val="0032103B"/>
    <w:rsid w:val="003214DD"/>
    <w:rsid w:val="00321FD4"/>
    <w:rsid w:val="0032211F"/>
    <w:rsid w:val="00322F75"/>
    <w:rsid w:val="00325675"/>
    <w:rsid w:val="00326EF8"/>
    <w:rsid w:val="0032752D"/>
    <w:rsid w:val="003318E4"/>
    <w:rsid w:val="00331B1E"/>
    <w:rsid w:val="003325FB"/>
    <w:rsid w:val="0033488C"/>
    <w:rsid w:val="00334997"/>
    <w:rsid w:val="003354DC"/>
    <w:rsid w:val="00335C7C"/>
    <w:rsid w:val="00342385"/>
    <w:rsid w:val="00342E0B"/>
    <w:rsid w:val="00343A36"/>
    <w:rsid w:val="00343DFF"/>
    <w:rsid w:val="00344413"/>
    <w:rsid w:val="00344A6E"/>
    <w:rsid w:val="003459FA"/>
    <w:rsid w:val="003534F3"/>
    <w:rsid w:val="00353504"/>
    <w:rsid w:val="00353CCF"/>
    <w:rsid w:val="00353DB4"/>
    <w:rsid w:val="003542F4"/>
    <w:rsid w:val="003548D8"/>
    <w:rsid w:val="00354D8E"/>
    <w:rsid w:val="0035527B"/>
    <w:rsid w:val="003561B3"/>
    <w:rsid w:val="003570AE"/>
    <w:rsid w:val="00357422"/>
    <w:rsid w:val="00357B17"/>
    <w:rsid w:val="0036072B"/>
    <w:rsid w:val="00363C05"/>
    <w:rsid w:val="00363F95"/>
    <w:rsid w:val="003666E0"/>
    <w:rsid w:val="00366ED3"/>
    <w:rsid w:val="003672E3"/>
    <w:rsid w:val="00367A90"/>
    <w:rsid w:val="0037014B"/>
    <w:rsid w:val="00370F2F"/>
    <w:rsid w:val="0037185C"/>
    <w:rsid w:val="0037400C"/>
    <w:rsid w:val="00374335"/>
    <w:rsid w:val="003751C3"/>
    <w:rsid w:val="003760D7"/>
    <w:rsid w:val="003775A4"/>
    <w:rsid w:val="0038003E"/>
    <w:rsid w:val="00380097"/>
    <w:rsid w:val="003803AF"/>
    <w:rsid w:val="00381A4E"/>
    <w:rsid w:val="003837F0"/>
    <w:rsid w:val="00384161"/>
    <w:rsid w:val="003852E2"/>
    <w:rsid w:val="00385BBC"/>
    <w:rsid w:val="00387BDC"/>
    <w:rsid w:val="00387DBA"/>
    <w:rsid w:val="0039032F"/>
    <w:rsid w:val="00390B4B"/>
    <w:rsid w:val="00391F61"/>
    <w:rsid w:val="00393419"/>
    <w:rsid w:val="003945ED"/>
    <w:rsid w:val="003952EF"/>
    <w:rsid w:val="003954F6"/>
    <w:rsid w:val="003964AB"/>
    <w:rsid w:val="0039780B"/>
    <w:rsid w:val="003A10EE"/>
    <w:rsid w:val="003A1BE9"/>
    <w:rsid w:val="003A2955"/>
    <w:rsid w:val="003A2BE0"/>
    <w:rsid w:val="003A4076"/>
    <w:rsid w:val="003A6ADE"/>
    <w:rsid w:val="003A6F98"/>
    <w:rsid w:val="003B0917"/>
    <w:rsid w:val="003B09E5"/>
    <w:rsid w:val="003B0ED6"/>
    <w:rsid w:val="003B10E9"/>
    <w:rsid w:val="003B2DA7"/>
    <w:rsid w:val="003B30F5"/>
    <w:rsid w:val="003B3525"/>
    <w:rsid w:val="003B3E97"/>
    <w:rsid w:val="003B41D1"/>
    <w:rsid w:val="003B4E4B"/>
    <w:rsid w:val="003B7D4F"/>
    <w:rsid w:val="003B7FCA"/>
    <w:rsid w:val="003C0C09"/>
    <w:rsid w:val="003C0EFE"/>
    <w:rsid w:val="003C19BF"/>
    <w:rsid w:val="003C2FDF"/>
    <w:rsid w:val="003C6E2D"/>
    <w:rsid w:val="003C7659"/>
    <w:rsid w:val="003C7B60"/>
    <w:rsid w:val="003D0EA8"/>
    <w:rsid w:val="003D27CE"/>
    <w:rsid w:val="003D3B58"/>
    <w:rsid w:val="003D5BD2"/>
    <w:rsid w:val="003D6453"/>
    <w:rsid w:val="003D69FE"/>
    <w:rsid w:val="003D714C"/>
    <w:rsid w:val="003D7A78"/>
    <w:rsid w:val="003D7B2C"/>
    <w:rsid w:val="003E00DA"/>
    <w:rsid w:val="003E0179"/>
    <w:rsid w:val="003E6410"/>
    <w:rsid w:val="003E6B43"/>
    <w:rsid w:val="003F08E0"/>
    <w:rsid w:val="003F337B"/>
    <w:rsid w:val="003F33F8"/>
    <w:rsid w:val="003F40E3"/>
    <w:rsid w:val="003F7A64"/>
    <w:rsid w:val="00400643"/>
    <w:rsid w:val="00403126"/>
    <w:rsid w:val="004039F2"/>
    <w:rsid w:val="004041B0"/>
    <w:rsid w:val="0040423C"/>
    <w:rsid w:val="00404BBA"/>
    <w:rsid w:val="00405229"/>
    <w:rsid w:val="00406C2B"/>
    <w:rsid w:val="00406FDA"/>
    <w:rsid w:val="00407709"/>
    <w:rsid w:val="00411431"/>
    <w:rsid w:val="00411DC7"/>
    <w:rsid w:val="00412C9F"/>
    <w:rsid w:val="00412F3E"/>
    <w:rsid w:val="00413AFA"/>
    <w:rsid w:val="00413E83"/>
    <w:rsid w:val="00413F99"/>
    <w:rsid w:val="004156C3"/>
    <w:rsid w:val="00415DBE"/>
    <w:rsid w:val="00416405"/>
    <w:rsid w:val="0041653A"/>
    <w:rsid w:val="00420CC9"/>
    <w:rsid w:val="00420E11"/>
    <w:rsid w:val="00421BF3"/>
    <w:rsid w:val="00422175"/>
    <w:rsid w:val="00422F99"/>
    <w:rsid w:val="0042509C"/>
    <w:rsid w:val="00425514"/>
    <w:rsid w:val="00425DB8"/>
    <w:rsid w:val="004305BF"/>
    <w:rsid w:val="004312E2"/>
    <w:rsid w:val="004314C5"/>
    <w:rsid w:val="00431522"/>
    <w:rsid w:val="0043242C"/>
    <w:rsid w:val="00432C99"/>
    <w:rsid w:val="00436EC4"/>
    <w:rsid w:val="00437638"/>
    <w:rsid w:val="00442BFC"/>
    <w:rsid w:val="00444D31"/>
    <w:rsid w:val="00450667"/>
    <w:rsid w:val="00450B73"/>
    <w:rsid w:val="00451652"/>
    <w:rsid w:val="004526C9"/>
    <w:rsid w:val="00452DF9"/>
    <w:rsid w:val="00455BF3"/>
    <w:rsid w:val="00456639"/>
    <w:rsid w:val="0045697F"/>
    <w:rsid w:val="00456B0E"/>
    <w:rsid w:val="00461773"/>
    <w:rsid w:val="00461A58"/>
    <w:rsid w:val="00462974"/>
    <w:rsid w:val="004634C2"/>
    <w:rsid w:val="00464483"/>
    <w:rsid w:val="00466C73"/>
    <w:rsid w:val="00467102"/>
    <w:rsid w:val="00470F9A"/>
    <w:rsid w:val="00472750"/>
    <w:rsid w:val="004728BE"/>
    <w:rsid w:val="00472E9C"/>
    <w:rsid w:val="004731C1"/>
    <w:rsid w:val="00476190"/>
    <w:rsid w:val="00476CBF"/>
    <w:rsid w:val="00481D3C"/>
    <w:rsid w:val="00482452"/>
    <w:rsid w:val="00482BFB"/>
    <w:rsid w:val="00485D52"/>
    <w:rsid w:val="00486F34"/>
    <w:rsid w:val="004902E9"/>
    <w:rsid w:val="0049044C"/>
    <w:rsid w:val="0049081C"/>
    <w:rsid w:val="00490D29"/>
    <w:rsid w:val="00492686"/>
    <w:rsid w:val="00494506"/>
    <w:rsid w:val="004947EA"/>
    <w:rsid w:val="00497ED7"/>
    <w:rsid w:val="004A29E2"/>
    <w:rsid w:val="004A3047"/>
    <w:rsid w:val="004A35FE"/>
    <w:rsid w:val="004A3F3A"/>
    <w:rsid w:val="004A4ECF"/>
    <w:rsid w:val="004A500E"/>
    <w:rsid w:val="004A518B"/>
    <w:rsid w:val="004A51D2"/>
    <w:rsid w:val="004A6659"/>
    <w:rsid w:val="004A7695"/>
    <w:rsid w:val="004B0955"/>
    <w:rsid w:val="004B12C6"/>
    <w:rsid w:val="004B37A3"/>
    <w:rsid w:val="004B4C05"/>
    <w:rsid w:val="004B5DDD"/>
    <w:rsid w:val="004B5EE9"/>
    <w:rsid w:val="004B6592"/>
    <w:rsid w:val="004B6691"/>
    <w:rsid w:val="004B6D7A"/>
    <w:rsid w:val="004B78D3"/>
    <w:rsid w:val="004C20EF"/>
    <w:rsid w:val="004C296F"/>
    <w:rsid w:val="004C2A8F"/>
    <w:rsid w:val="004C47AE"/>
    <w:rsid w:val="004C4CAE"/>
    <w:rsid w:val="004C4F3D"/>
    <w:rsid w:val="004C5C82"/>
    <w:rsid w:val="004D108E"/>
    <w:rsid w:val="004D1840"/>
    <w:rsid w:val="004D2124"/>
    <w:rsid w:val="004D5F8E"/>
    <w:rsid w:val="004D6E89"/>
    <w:rsid w:val="004E1694"/>
    <w:rsid w:val="004E2080"/>
    <w:rsid w:val="004E69FE"/>
    <w:rsid w:val="004F2308"/>
    <w:rsid w:val="004F308A"/>
    <w:rsid w:val="004F31E6"/>
    <w:rsid w:val="004F4C79"/>
    <w:rsid w:val="004F5275"/>
    <w:rsid w:val="004F69DC"/>
    <w:rsid w:val="005000BC"/>
    <w:rsid w:val="0050163E"/>
    <w:rsid w:val="005051DB"/>
    <w:rsid w:val="00506AA1"/>
    <w:rsid w:val="005107AD"/>
    <w:rsid w:val="00510FF6"/>
    <w:rsid w:val="005123EC"/>
    <w:rsid w:val="00514A0E"/>
    <w:rsid w:val="00516419"/>
    <w:rsid w:val="00516877"/>
    <w:rsid w:val="00516E4A"/>
    <w:rsid w:val="00516F9E"/>
    <w:rsid w:val="00520EDB"/>
    <w:rsid w:val="005226B8"/>
    <w:rsid w:val="00525D09"/>
    <w:rsid w:val="0052625F"/>
    <w:rsid w:val="00531560"/>
    <w:rsid w:val="00531F8D"/>
    <w:rsid w:val="00535694"/>
    <w:rsid w:val="00540E12"/>
    <w:rsid w:val="00541558"/>
    <w:rsid w:val="00541BCE"/>
    <w:rsid w:val="00542BC4"/>
    <w:rsid w:val="00543C4A"/>
    <w:rsid w:val="00543EEA"/>
    <w:rsid w:val="00545B75"/>
    <w:rsid w:val="00546B8B"/>
    <w:rsid w:val="00546C65"/>
    <w:rsid w:val="005476F7"/>
    <w:rsid w:val="00547D1F"/>
    <w:rsid w:val="0055151B"/>
    <w:rsid w:val="005519DA"/>
    <w:rsid w:val="00551B01"/>
    <w:rsid w:val="00551F26"/>
    <w:rsid w:val="00554150"/>
    <w:rsid w:val="00556EC3"/>
    <w:rsid w:val="00556F41"/>
    <w:rsid w:val="00557C7C"/>
    <w:rsid w:val="00562B5A"/>
    <w:rsid w:val="00563A37"/>
    <w:rsid w:val="00570034"/>
    <w:rsid w:val="00571CED"/>
    <w:rsid w:val="0057343C"/>
    <w:rsid w:val="00580CA1"/>
    <w:rsid w:val="005840A6"/>
    <w:rsid w:val="00590095"/>
    <w:rsid w:val="00591680"/>
    <w:rsid w:val="005919CB"/>
    <w:rsid w:val="00591CB5"/>
    <w:rsid w:val="00593D28"/>
    <w:rsid w:val="00593D74"/>
    <w:rsid w:val="00594098"/>
    <w:rsid w:val="00596072"/>
    <w:rsid w:val="00596DC6"/>
    <w:rsid w:val="00596F83"/>
    <w:rsid w:val="00597A38"/>
    <w:rsid w:val="005A0CF1"/>
    <w:rsid w:val="005A12A9"/>
    <w:rsid w:val="005A2D2B"/>
    <w:rsid w:val="005A40FB"/>
    <w:rsid w:val="005A5094"/>
    <w:rsid w:val="005B0514"/>
    <w:rsid w:val="005B27A6"/>
    <w:rsid w:val="005B3E45"/>
    <w:rsid w:val="005B40B3"/>
    <w:rsid w:val="005B4F47"/>
    <w:rsid w:val="005B5D06"/>
    <w:rsid w:val="005B6734"/>
    <w:rsid w:val="005B6A12"/>
    <w:rsid w:val="005B6CAC"/>
    <w:rsid w:val="005C0969"/>
    <w:rsid w:val="005C11FD"/>
    <w:rsid w:val="005C1EE0"/>
    <w:rsid w:val="005C39AB"/>
    <w:rsid w:val="005C3AA1"/>
    <w:rsid w:val="005C4262"/>
    <w:rsid w:val="005C5259"/>
    <w:rsid w:val="005C5554"/>
    <w:rsid w:val="005C61B1"/>
    <w:rsid w:val="005C62DE"/>
    <w:rsid w:val="005C727F"/>
    <w:rsid w:val="005D1554"/>
    <w:rsid w:val="005D2B2E"/>
    <w:rsid w:val="005D2C03"/>
    <w:rsid w:val="005D407B"/>
    <w:rsid w:val="005D500E"/>
    <w:rsid w:val="005D669F"/>
    <w:rsid w:val="005D76E8"/>
    <w:rsid w:val="005E0E29"/>
    <w:rsid w:val="005E16DA"/>
    <w:rsid w:val="005E2FD4"/>
    <w:rsid w:val="005E3B55"/>
    <w:rsid w:val="005E60B1"/>
    <w:rsid w:val="005F047D"/>
    <w:rsid w:val="005F199C"/>
    <w:rsid w:val="005F251C"/>
    <w:rsid w:val="005F2D49"/>
    <w:rsid w:val="005F4171"/>
    <w:rsid w:val="005F42B2"/>
    <w:rsid w:val="005F4F25"/>
    <w:rsid w:val="005F5E19"/>
    <w:rsid w:val="005F64BD"/>
    <w:rsid w:val="00600F8A"/>
    <w:rsid w:val="00601821"/>
    <w:rsid w:val="006018C5"/>
    <w:rsid w:val="00601E26"/>
    <w:rsid w:val="006033F0"/>
    <w:rsid w:val="0060515A"/>
    <w:rsid w:val="00605B19"/>
    <w:rsid w:val="00605DDE"/>
    <w:rsid w:val="00606C1E"/>
    <w:rsid w:val="00610CAA"/>
    <w:rsid w:val="006127C7"/>
    <w:rsid w:val="00613FE4"/>
    <w:rsid w:val="0061491B"/>
    <w:rsid w:val="00614C51"/>
    <w:rsid w:val="006206CD"/>
    <w:rsid w:val="006221CF"/>
    <w:rsid w:val="00622DB8"/>
    <w:rsid w:val="006231FA"/>
    <w:rsid w:val="00623DC6"/>
    <w:rsid w:val="006255BE"/>
    <w:rsid w:val="0062646D"/>
    <w:rsid w:val="00627F86"/>
    <w:rsid w:val="00631695"/>
    <w:rsid w:val="00632095"/>
    <w:rsid w:val="006335C3"/>
    <w:rsid w:val="006338C4"/>
    <w:rsid w:val="00633E16"/>
    <w:rsid w:val="00635F82"/>
    <w:rsid w:val="00637C27"/>
    <w:rsid w:val="00641660"/>
    <w:rsid w:val="00642A43"/>
    <w:rsid w:val="0064443F"/>
    <w:rsid w:val="00644E5D"/>
    <w:rsid w:val="006462CF"/>
    <w:rsid w:val="00646954"/>
    <w:rsid w:val="006476AA"/>
    <w:rsid w:val="00650459"/>
    <w:rsid w:val="00650FAB"/>
    <w:rsid w:val="0065191F"/>
    <w:rsid w:val="00652597"/>
    <w:rsid w:val="00653144"/>
    <w:rsid w:val="00654390"/>
    <w:rsid w:val="006545D8"/>
    <w:rsid w:val="00655DD1"/>
    <w:rsid w:val="00655F56"/>
    <w:rsid w:val="00656891"/>
    <w:rsid w:val="00656C91"/>
    <w:rsid w:val="006579D0"/>
    <w:rsid w:val="006614E7"/>
    <w:rsid w:val="00661BC3"/>
    <w:rsid w:val="0066439C"/>
    <w:rsid w:val="006649F7"/>
    <w:rsid w:val="00665DE4"/>
    <w:rsid w:val="006666F0"/>
    <w:rsid w:val="00666CE9"/>
    <w:rsid w:val="006674DC"/>
    <w:rsid w:val="00667F10"/>
    <w:rsid w:val="0067015D"/>
    <w:rsid w:val="00671F70"/>
    <w:rsid w:val="006720BA"/>
    <w:rsid w:val="006722A6"/>
    <w:rsid w:val="00673EA6"/>
    <w:rsid w:val="006749B3"/>
    <w:rsid w:val="006751C0"/>
    <w:rsid w:val="006756F1"/>
    <w:rsid w:val="00675E66"/>
    <w:rsid w:val="0067719A"/>
    <w:rsid w:val="00677F1E"/>
    <w:rsid w:val="00682185"/>
    <w:rsid w:val="0068429A"/>
    <w:rsid w:val="006862C3"/>
    <w:rsid w:val="00690F63"/>
    <w:rsid w:val="00690F94"/>
    <w:rsid w:val="00691829"/>
    <w:rsid w:val="00691915"/>
    <w:rsid w:val="00691D73"/>
    <w:rsid w:val="00691F63"/>
    <w:rsid w:val="00692D64"/>
    <w:rsid w:val="0069494F"/>
    <w:rsid w:val="006959D0"/>
    <w:rsid w:val="006A0491"/>
    <w:rsid w:val="006A249F"/>
    <w:rsid w:val="006A3913"/>
    <w:rsid w:val="006A3F29"/>
    <w:rsid w:val="006A51D6"/>
    <w:rsid w:val="006A5C49"/>
    <w:rsid w:val="006A5F7C"/>
    <w:rsid w:val="006B1091"/>
    <w:rsid w:val="006B1B16"/>
    <w:rsid w:val="006B21B1"/>
    <w:rsid w:val="006B26C3"/>
    <w:rsid w:val="006B2DE1"/>
    <w:rsid w:val="006B3CB4"/>
    <w:rsid w:val="006B4918"/>
    <w:rsid w:val="006B4F75"/>
    <w:rsid w:val="006B58E9"/>
    <w:rsid w:val="006B7F54"/>
    <w:rsid w:val="006C18B1"/>
    <w:rsid w:val="006C1C7E"/>
    <w:rsid w:val="006C2712"/>
    <w:rsid w:val="006C47D0"/>
    <w:rsid w:val="006C4FAA"/>
    <w:rsid w:val="006C56CE"/>
    <w:rsid w:val="006C58CD"/>
    <w:rsid w:val="006C5C97"/>
    <w:rsid w:val="006D2B23"/>
    <w:rsid w:val="006D5C15"/>
    <w:rsid w:val="006D606C"/>
    <w:rsid w:val="006D70C0"/>
    <w:rsid w:val="006E2321"/>
    <w:rsid w:val="006E2FEA"/>
    <w:rsid w:val="006E4E9A"/>
    <w:rsid w:val="006E6C4A"/>
    <w:rsid w:val="006F0254"/>
    <w:rsid w:val="006F19EE"/>
    <w:rsid w:val="006F3CDA"/>
    <w:rsid w:val="006F412E"/>
    <w:rsid w:val="006F4179"/>
    <w:rsid w:val="00702A3F"/>
    <w:rsid w:val="0070432C"/>
    <w:rsid w:val="007051C4"/>
    <w:rsid w:val="00705ACA"/>
    <w:rsid w:val="00710026"/>
    <w:rsid w:val="00710203"/>
    <w:rsid w:val="00712D87"/>
    <w:rsid w:val="007138EA"/>
    <w:rsid w:val="00715650"/>
    <w:rsid w:val="00720788"/>
    <w:rsid w:val="00720E01"/>
    <w:rsid w:val="0072132C"/>
    <w:rsid w:val="007218DD"/>
    <w:rsid w:val="00721A8C"/>
    <w:rsid w:val="00721D53"/>
    <w:rsid w:val="00721ECD"/>
    <w:rsid w:val="00724923"/>
    <w:rsid w:val="00725FFE"/>
    <w:rsid w:val="00726E9F"/>
    <w:rsid w:val="00734689"/>
    <w:rsid w:val="007346DE"/>
    <w:rsid w:val="00734AA0"/>
    <w:rsid w:val="0073649E"/>
    <w:rsid w:val="00737A9D"/>
    <w:rsid w:val="00737F44"/>
    <w:rsid w:val="00741A13"/>
    <w:rsid w:val="00747DD1"/>
    <w:rsid w:val="00751076"/>
    <w:rsid w:val="00751F1B"/>
    <w:rsid w:val="00752EC4"/>
    <w:rsid w:val="0075416F"/>
    <w:rsid w:val="007546AF"/>
    <w:rsid w:val="00754C78"/>
    <w:rsid w:val="007563D4"/>
    <w:rsid w:val="0075677C"/>
    <w:rsid w:val="00756FE7"/>
    <w:rsid w:val="00757C19"/>
    <w:rsid w:val="00757EF1"/>
    <w:rsid w:val="007606D9"/>
    <w:rsid w:val="00760CD0"/>
    <w:rsid w:val="00760F49"/>
    <w:rsid w:val="00762077"/>
    <w:rsid w:val="00762184"/>
    <w:rsid w:val="00764ECD"/>
    <w:rsid w:val="00765E95"/>
    <w:rsid w:val="00766507"/>
    <w:rsid w:val="00767458"/>
    <w:rsid w:val="00767533"/>
    <w:rsid w:val="00767570"/>
    <w:rsid w:val="00770251"/>
    <w:rsid w:val="0077042D"/>
    <w:rsid w:val="00770745"/>
    <w:rsid w:val="00770D0A"/>
    <w:rsid w:val="00770D4B"/>
    <w:rsid w:val="00771459"/>
    <w:rsid w:val="007735B8"/>
    <w:rsid w:val="007742A4"/>
    <w:rsid w:val="00774878"/>
    <w:rsid w:val="00774BAE"/>
    <w:rsid w:val="00775205"/>
    <w:rsid w:val="00776290"/>
    <w:rsid w:val="00777B00"/>
    <w:rsid w:val="00780984"/>
    <w:rsid w:val="00780B59"/>
    <w:rsid w:val="00780B6E"/>
    <w:rsid w:val="007823B1"/>
    <w:rsid w:val="00783CB4"/>
    <w:rsid w:val="00785409"/>
    <w:rsid w:val="007855C2"/>
    <w:rsid w:val="00790A4D"/>
    <w:rsid w:val="00790D1E"/>
    <w:rsid w:val="00791B3F"/>
    <w:rsid w:val="00794D08"/>
    <w:rsid w:val="00795217"/>
    <w:rsid w:val="00795DD2"/>
    <w:rsid w:val="007977C0"/>
    <w:rsid w:val="007A0697"/>
    <w:rsid w:val="007A0ED7"/>
    <w:rsid w:val="007A1186"/>
    <w:rsid w:val="007A45DE"/>
    <w:rsid w:val="007A5F49"/>
    <w:rsid w:val="007A61FE"/>
    <w:rsid w:val="007A63BB"/>
    <w:rsid w:val="007B17DC"/>
    <w:rsid w:val="007B1EAE"/>
    <w:rsid w:val="007B45A4"/>
    <w:rsid w:val="007B7A56"/>
    <w:rsid w:val="007B7AA9"/>
    <w:rsid w:val="007C0B18"/>
    <w:rsid w:val="007C6AE5"/>
    <w:rsid w:val="007D0BD9"/>
    <w:rsid w:val="007D14B2"/>
    <w:rsid w:val="007D1F84"/>
    <w:rsid w:val="007D2266"/>
    <w:rsid w:val="007D34A8"/>
    <w:rsid w:val="007D4B33"/>
    <w:rsid w:val="007E3495"/>
    <w:rsid w:val="007E43DF"/>
    <w:rsid w:val="007E4705"/>
    <w:rsid w:val="007F0E4D"/>
    <w:rsid w:val="007F1780"/>
    <w:rsid w:val="007F5487"/>
    <w:rsid w:val="007F6BE5"/>
    <w:rsid w:val="00800386"/>
    <w:rsid w:val="00800EB4"/>
    <w:rsid w:val="00801352"/>
    <w:rsid w:val="00803972"/>
    <w:rsid w:val="00803B9E"/>
    <w:rsid w:val="00822287"/>
    <w:rsid w:val="008252B6"/>
    <w:rsid w:val="00825BA7"/>
    <w:rsid w:val="00826E14"/>
    <w:rsid w:val="00827369"/>
    <w:rsid w:val="0083148D"/>
    <w:rsid w:val="008355E0"/>
    <w:rsid w:val="0083605F"/>
    <w:rsid w:val="008413AF"/>
    <w:rsid w:val="00842290"/>
    <w:rsid w:val="00842498"/>
    <w:rsid w:val="0084327D"/>
    <w:rsid w:val="00844834"/>
    <w:rsid w:val="00844ED6"/>
    <w:rsid w:val="0085002A"/>
    <w:rsid w:val="008515B0"/>
    <w:rsid w:val="0085180F"/>
    <w:rsid w:val="00854091"/>
    <w:rsid w:val="00855157"/>
    <w:rsid w:val="00855259"/>
    <w:rsid w:val="00855B30"/>
    <w:rsid w:val="00857C7F"/>
    <w:rsid w:val="00857EBB"/>
    <w:rsid w:val="00861E5B"/>
    <w:rsid w:val="0086391D"/>
    <w:rsid w:val="00864D23"/>
    <w:rsid w:val="00866C8B"/>
    <w:rsid w:val="00870B90"/>
    <w:rsid w:val="00873954"/>
    <w:rsid w:val="00876DB2"/>
    <w:rsid w:val="008774C2"/>
    <w:rsid w:val="00882934"/>
    <w:rsid w:val="00883863"/>
    <w:rsid w:val="00884CEB"/>
    <w:rsid w:val="00885AD9"/>
    <w:rsid w:val="00886903"/>
    <w:rsid w:val="00886FC8"/>
    <w:rsid w:val="00891643"/>
    <w:rsid w:val="008923E8"/>
    <w:rsid w:val="0089328E"/>
    <w:rsid w:val="00894D2F"/>
    <w:rsid w:val="00895292"/>
    <w:rsid w:val="00895AC0"/>
    <w:rsid w:val="0089759A"/>
    <w:rsid w:val="00897D99"/>
    <w:rsid w:val="008A2162"/>
    <w:rsid w:val="008A23F4"/>
    <w:rsid w:val="008A56C3"/>
    <w:rsid w:val="008A7898"/>
    <w:rsid w:val="008B36FE"/>
    <w:rsid w:val="008B4901"/>
    <w:rsid w:val="008B502F"/>
    <w:rsid w:val="008B7243"/>
    <w:rsid w:val="008C0C0C"/>
    <w:rsid w:val="008C2F5D"/>
    <w:rsid w:val="008C2F69"/>
    <w:rsid w:val="008D011F"/>
    <w:rsid w:val="008D1805"/>
    <w:rsid w:val="008D1A35"/>
    <w:rsid w:val="008D478A"/>
    <w:rsid w:val="008D5EC9"/>
    <w:rsid w:val="008D6134"/>
    <w:rsid w:val="008E0F0A"/>
    <w:rsid w:val="008E16D0"/>
    <w:rsid w:val="008E209D"/>
    <w:rsid w:val="008E2BF5"/>
    <w:rsid w:val="008E2DA7"/>
    <w:rsid w:val="008E35AD"/>
    <w:rsid w:val="008E4C47"/>
    <w:rsid w:val="008E4C8E"/>
    <w:rsid w:val="008E51CD"/>
    <w:rsid w:val="008E57DC"/>
    <w:rsid w:val="008E6B53"/>
    <w:rsid w:val="008E7AB6"/>
    <w:rsid w:val="008E7EE1"/>
    <w:rsid w:val="008E7F62"/>
    <w:rsid w:val="008F23E3"/>
    <w:rsid w:val="008F372C"/>
    <w:rsid w:val="008F3B0F"/>
    <w:rsid w:val="008F5662"/>
    <w:rsid w:val="00900714"/>
    <w:rsid w:val="009007BD"/>
    <w:rsid w:val="00901C4E"/>
    <w:rsid w:val="009022FD"/>
    <w:rsid w:val="00902DC5"/>
    <w:rsid w:val="009031D1"/>
    <w:rsid w:val="00904EC1"/>
    <w:rsid w:val="009062FB"/>
    <w:rsid w:val="00907843"/>
    <w:rsid w:val="0091027C"/>
    <w:rsid w:val="0091196B"/>
    <w:rsid w:val="00912899"/>
    <w:rsid w:val="00912AE8"/>
    <w:rsid w:val="009212AF"/>
    <w:rsid w:val="00921BF0"/>
    <w:rsid w:val="0092377C"/>
    <w:rsid w:val="00923AB7"/>
    <w:rsid w:val="00923EC7"/>
    <w:rsid w:val="00924576"/>
    <w:rsid w:val="00926B72"/>
    <w:rsid w:val="00931C5D"/>
    <w:rsid w:val="00932B56"/>
    <w:rsid w:val="009348E5"/>
    <w:rsid w:val="009411A3"/>
    <w:rsid w:val="0094173B"/>
    <w:rsid w:val="00942E1C"/>
    <w:rsid w:val="00942EF3"/>
    <w:rsid w:val="00946442"/>
    <w:rsid w:val="0094740A"/>
    <w:rsid w:val="00947612"/>
    <w:rsid w:val="00950B60"/>
    <w:rsid w:val="00950E4F"/>
    <w:rsid w:val="00951051"/>
    <w:rsid w:val="00952586"/>
    <w:rsid w:val="00952B26"/>
    <w:rsid w:val="00952E93"/>
    <w:rsid w:val="00953DAE"/>
    <w:rsid w:val="00955087"/>
    <w:rsid w:val="009550F8"/>
    <w:rsid w:val="00960615"/>
    <w:rsid w:val="00960C5C"/>
    <w:rsid w:val="00962AEF"/>
    <w:rsid w:val="009656F1"/>
    <w:rsid w:val="00966757"/>
    <w:rsid w:val="0097011A"/>
    <w:rsid w:val="0098086A"/>
    <w:rsid w:val="00982708"/>
    <w:rsid w:val="00985335"/>
    <w:rsid w:val="00991C74"/>
    <w:rsid w:val="00991D8F"/>
    <w:rsid w:val="00992596"/>
    <w:rsid w:val="00992CE8"/>
    <w:rsid w:val="00993973"/>
    <w:rsid w:val="00993B31"/>
    <w:rsid w:val="00995A0D"/>
    <w:rsid w:val="0099693F"/>
    <w:rsid w:val="009974C9"/>
    <w:rsid w:val="009A0662"/>
    <w:rsid w:val="009A1438"/>
    <w:rsid w:val="009A2864"/>
    <w:rsid w:val="009A64B1"/>
    <w:rsid w:val="009B30F3"/>
    <w:rsid w:val="009B3242"/>
    <w:rsid w:val="009B5370"/>
    <w:rsid w:val="009B7A35"/>
    <w:rsid w:val="009B7DB4"/>
    <w:rsid w:val="009C01C3"/>
    <w:rsid w:val="009C1188"/>
    <w:rsid w:val="009C3A7B"/>
    <w:rsid w:val="009C45F2"/>
    <w:rsid w:val="009C47F6"/>
    <w:rsid w:val="009C5700"/>
    <w:rsid w:val="009C68C7"/>
    <w:rsid w:val="009C6CF0"/>
    <w:rsid w:val="009C7B26"/>
    <w:rsid w:val="009D027A"/>
    <w:rsid w:val="009D07F0"/>
    <w:rsid w:val="009D1541"/>
    <w:rsid w:val="009D3C3A"/>
    <w:rsid w:val="009D5C1B"/>
    <w:rsid w:val="009E0B1E"/>
    <w:rsid w:val="009E425D"/>
    <w:rsid w:val="009E42BD"/>
    <w:rsid w:val="009E5547"/>
    <w:rsid w:val="009E5A41"/>
    <w:rsid w:val="009E63D2"/>
    <w:rsid w:val="009E7BCF"/>
    <w:rsid w:val="009F2BDF"/>
    <w:rsid w:val="009F5E04"/>
    <w:rsid w:val="009F7740"/>
    <w:rsid w:val="00A04658"/>
    <w:rsid w:val="00A07B1E"/>
    <w:rsid w:val="00A07C41"/>
    <w:rsid w:val="00A12B04"/>
    <w:rsid w:val="00A13311"/>
    <w:rsid w:val="00A14335"/>
    <w:rsid w:val="00A14700"/>
    <w:rsid w:val="00A17486"/>
    <w:rsid w:val="00A200DD"/>
    <w:rsid w:val="00A211A6"/>
    <w:rsid w:val="00A22FB9"/>
    <w:rsid w:val="00A23395"/>
    <w:rsid w:val="00A23753"/>
    <w:rsid w:val="00A237D5"/>
    <w:rsid w:val="00A2607E"/>
    <w:rsid w:val="00A26B46"/>
    <w:rsid w:val="00A2793B"/>
    <w:rsid w:val="00A30157"/>
    <w:rsid w:val="00A31518"/>
    <w:rsid w:val="00A44B24"/>
    <w:rsid w:val="00A460AD"/>
    <w:rsid w:val="00A467A1"/>
    <w:rsid w:val="00A50176"/>
    <w:rsid w:val="00A50445"/>
    <w:rsid w:val="00A52444"/>
    <w:rsid w:val="00A52946"/>
    <w:rsid w:val="00A53EDD"/>
    <w:rsid w:val="00A54BAC"/>
    <w:rsid w:val="00A54F70"/>
    <w:rsid w:val="00A55D07"/>
    <w:rsid w:val="00A63E25"/>
    <w:rsid w:val="00A66399"/>
    <w:rsid w:val="00A66A46"/>
    <w:rsid w:val="00A67EBF"/>
    <w:rsid w:val="00A71DDD"/>
    <w:rsid w:val="00A72719"/>
    <w:rsid w:val="00A74348"/>
    <w:rsid w:val="00A74677"/>
    <w:rsid w:val="00A74B34"/>
    <w:rsid w:val="00A769F2"/>
    <w:rsid w:val="00A820BA"/>
    <w:rsid w:val="00A85768"/>
    <w:rsid w:val="00A878D4"/>
    <w:rsid w:val="00A87C54"/>
    <w:rsid w:val="00A902ED"/>
    <w:rsid w:val="00A90DB8"/>
    <w:rsid w:val="00A914DF"/>
    <w:rsid w:val="00A928D5"/>
    <w:rsid w:val="00A9508C"/>
    <w:rsid w:val="00A95095"/>
    <w:rsid w:val="00A95526"/>
    <w:rsid w:val="00AA108A"/>
    <w:rsid w:val="00AA1FC0"/>
    <w:rsid w:val="00AA22FF"/>
    <w:rsid w:val="00AA255C"/>
    <w:rsid w:val="00AA3FA0"/>
    <w:rsid w:val="00AA44A4"/>
    <w:rsid w:val="00AA7E6F"/>
    <w:rsid w:val="00AB1E6F"/>
    <w:rsid w:val="00AB2192"/>
    <w:rsid w:val="00AB2612"/>
    <w:rsid w:val="00AB3CCB"/>
    <w:rsid w:val="00AB4747"/>
    <w:rsid w:val="00AB47DE"/>
    <w:rsid w:val="00AB73B3"/>
    <w:rsid w:val="00AB7B72"/>
    <w:rsid w:val="00AB7F39"/>
    <w:rsid w:val="00AC044B"/>
    <w:rsid w:val="00AC06F7"/>
    <w:rsid w:val="00AC2B58"/>
    <w:rsid w:val="00AC2F0C"/>
    <w:rsid w:val="00AC33CC"/>
    <w:rsid w:val="00AC3A80"/>
    <w:rsid w:val="00AC545E"/>
    <w:rsid w:val="00AD07CD"/>
    <w:rsid w:val="00AD2CCF"/>
    <w:rsid w:val="00AD3B1F"/>
    <w:rsid w:val="00AD5BE7"/>
    <w:rsid w:val="00AD7E01"/>
    <w:rsid w:val="00AE0E6C"/>
    <w:rsid w:val="00AE2656"/>
    <w:rsid w:val="00AE40D9"/>
    <w:rsid w:val="00AE46C9"/>
    <w:rsid w:val="00AE5891"/>
    <w:rsid w:val="00AE6E76"/>
    <w:rsid w:val="00AF05FC"/>
    <w:rsid w:val="00AF06DD"/>
    <w:rsid w:val="00AF1058"/>
    <w:rsid w:val="00AF1207"/>
    <w:rsid w:val="00AF142B"/>
    <w:rsid w:val="00AF3575"/>
    <w:rsid w:val="00AF4DBD"/>
    <w:rsid w:val="00B01DBB"/>
    <w:rsid w:val="00B02DDD"/>
    <w:rsid w:val="00B03B78"/>
    <w:rsid w:val="00B064A3"/>
    <w:rsid w:val="00B07C11"/>
    <w:rsid w:val="00B10BB6"/>
    <w:rsid w:val="00B12FC8"/>
    <w:rsid w:val="00B1482E"/>
    <w:rsid w:val="00B1497F"/>
    <w:rsid w:val="00B20538"/>
    <w:rsid w:val="00B2298F"/>
    <w:rsid w:val="00B2476F"/>
    <w:rsid w:val="00B24BEA"/>
    <w:rsid w:val="00B24C98"/>
    <w:rsid w:val="00B2524A"/>
    <w:rsid w:val="00B27B4C"/>
    <w:rsid w:val="00B301F7"/>
    <w:rsid w:val="00B34F60"/>
    <w:rsid w:val="00B35C60"/>
    <w:rsid w:val="00B35CA5"/>
    <w:rsid w:val="00B3795D"/>
    <w:rsid w:val="00B41326"/>
    <w:rsid w:val="00B41B0E"/>
    <w:rsid w:val="00B44375"/>
    <w:rsid w:val="00B46743"/>
    <w:rsid w:val="00B4735E"/>
    <w:rsid w:val="00B50340"/>
    <w:rsid w:val="00B534F7"/>
    <w:rsid w:val="00B5510A"/>
    <w:rsid w:val="00B571AF"/>
    <w:rsid w:val="00B612C8"/>
    <w:rsid w:val="00B61CAD"/>
    <w:rsid w:val="00B636B5"/>
    <w:rsid w:val="00B65430"/>
    <w:rsid w:val="00B6623A"/>
    <w:rsid w:val="00B6666B"/>
    <w:rsid w:val="00B67B86"/>
    <w:rsid w:val="00B74785"/>
    <w:rsid w:val="00B74AE6"/>
    <w:rsid w:val="00B75EB9"/>
    <w:rsid w:val="00B81912"/>
    <w:rsid w:val="00B86F18"/>
    <w:rsid w:val="00B87FA8"/>
    <w:rsid w:val="00B9048E"/>
    <w:rsid w:val="00B9265C"/>
    <w:rsid w:val="00B9478C"/>
    <w:rsid w:val="00B94A8B"/>
    <w:rsid w:val="00BA19BF"/>
    <w:rsid w:val="00BA2416"/>
    <w:rsid w:val="00BA3551"/>
    <w:rsid w:val="00BA3DC1"/>
    <w:rsid w:val="00BB17A6"/>
    <w:rsid w:val="00BB3A18"/>
    <w:rsid w:val="00BB4AD7"/>
    <w:rsid w:val="00BB598F"/>
    <w:rsid w:val="00BB782C"/>
    <w:rsid w:val="00BC0AD4"/>
    <w:rsid w:val="00BC0F6D"/>
    <w:rsid w:val="00BC267C"/>
    <w:rsid w:val="00BC4BC5"/>
    <w:rsid w:val="00BC5C6D"/>
    <w:rsid w:val="00BC5D99"/>
    <w:rsid w:val="00BC757B"/>
    <w:rsid w:val="00BD161E"/>
    <w:rsid w:val="00BD3464"/>
    <w:rsid w:val="00BD3FA7"/>
    <w:rsid w:val="00BD40F5"/>
    <w:rsid w:val="00BD4A67"/>
    <w:rsid w:val="00BD522D"/>
    <w:rsid w:val="00BD5D40"/>
    <w:rsid w:val="00BE2790"/>
    <w:rsid w:val="00BE299B"/>
    <w:rsid w:val="00BE2AEF"/>
    <w:rsid w:val="00BE40E6"/>
    <w:rsid w:val="00BE425C"/>
    <w:rsid w:val="00BE48DC"/>
    <w:rsid w:val="00BE4C52"/>
    <w:rsid w:val="00BE4EC5"/>
    <w:rsid w:val="00BE4F41"/>
    <w:rsid w:val="00BE691F"/>
    <w:rsid w:val="00BE713B"/>
    <w:rsid w:val="00BF0153"/>
    <w:rsid w:val="00BF064A"/>
    <w:rsid w:val="00BF07A8"/>
    <w:rsid w:val="00BF24C6"/>
    <w:rsid w:val="00BF2E82"/>
    <w:rsid w:val="00BF3BE6"/>
    <w:rsid w:val="00BF4408"/>
    <w:rsid w:val="00BF78FD"/>
    <w:rsid w:val="00BF7F1A"/>
    <w:rsid w:val="00C01BB0"/>
    <w:rsid w:val="00C02463"/>
    <w:rsid w:val="00C03C6E"/>
    <w:rsid w:val="00C04AA4"/>
    <w:rsid w:val="00C13F29"/>
    <w:rsid w:val="00C1633A"/>
    <w:rsid w:val="00C170F2"/>
    <w:rsid w:val="00C2397A"/>
    <w:rsid w:val="00C247D1"/>
    <w:rsid w:val="00C304D2"/>
    <w:rsid w:val="00C30CB9"/>
    <w:rsid w:val="00C31FCA"/>
    <w:rsid w:val="00C323ED"/>
    <w:rsid w:val="00C32FAC"/>
    <w:rsid w:val="00C3312E"/>
    <w:rsid w:val="00C34142"/>
    <w:rsid w:val="00C342DD"/>
    <w:rsid w:val="00C34669"/>
    <w:rsid w:val="00C358AA"/>
    <w:rsid w:val="00C3592C"/>
    <w:rsid w:val="00C35AEE"/>
    <w:rsid w:val="00C37F5C"/>
    <w:rsid w:val="00C43F67"/>
    <w:rsid w:val="00C44392"/>
    <w:rsid w:val="00C45642"/>
    <w:rsid w:val="00C4678B"/>
    <w:rsid w:val="00C504AE"/>
    <w:rsid w:val="00C50B99"/>
    <w:rsid w:val="00C53277"/>
    <w:rsid w:val="00C55CD7"/>
    <w:rsid w:val="00C60895"/>
    <w:rsid w:val="00C61579"/>
    <w:rsid w:val="00C70182"/>
    <w:rsid w:val="00C714C6"/>
    <w:rsid w:val="00C72159"/>
    <w:rsid w:val="00C7225A"/>
    <w:rsid w:val="00C7389C"/>
    <w:rsid w:val="00C76C4A"/>
    <w:rsid w:val="00C76D7D"/>
    <w:rsid w:val="00C80294"/>
    <w:rsid w:val="00C805D6"/>
    <w:rsid w:val="00C814C4"/>
    <w:rsid w:val="00C8163C"/>
    <w:rsid w:val="00C81651"/>
    <w:rsid w:val="00C821F5"/>
    <w:rsid w:val="00C8373C"/>
    <w:rsid w:val="00C83B0B"/>
    <w:rsid w:val="00C84AFD"/>
    <w:rsid w:val="00C878BD"/>
    <w:rsid w:val="00C91D86"/>
    <w:rsid w:val="00C94275"/>
    <w:rsid w:val="00C957E6"/>
    <w:rsid w:val="00C97ED9"/>
    <w:rsid w:val="00CA2B3E"/>
    <w:rsid w:val="00CA3254"/>
    <w:rsid w:val="00CA5476"/>
    <w:rsid w:val="00CA766A"/>
    <w:rsid w:val="00CB01E5"/>
    <w:rsid w:val="00CB09F1"/>
    <w:rsid w:val="00CB0B06"/>
    <w:rsid w:val="00CB2B11"/>
    <w:rsid w:val="00CB398D"/>
    <w:rsid w:val="00CB404D"/>
    <w:rsid w:val="00CB5B4C"/>
    <w:rsid w:val="00CB68D9"/>
    <w:rsid w:val="00CB6AF8"/>
    <w:rsid w:val="00CC03BB"/>
    <w:rsid w:val="00CC229A"/>
    <w:rsid w:val="00CC2996"/>
    <w:rsid w:val="00CC3A0E"/>
    <w:rsid w:val="00CC3F89"/>
    <w:rsid w:val="00CC5230"/>
    <w:rsid w:val="00CC559A"/>
    <w:rsid w:val="00CC58FA"/>
    <w:rsid w:val="00CC5AD4"/>
    <w:rsid w:val="00CC5C92"/>
    <w:rsid w:val="00CD0DE3"/>
    <w:rsid w:val="00CD111E"/>
    <w:rsid w:val="00CD1B6F"/>
    <w:rsid w:val="00CD3CBC"/>
    <w:rsid w:val="00CD5C24"/>
    <w:rsid w:val="00CD626F"/>
    <w:rsid w:val="00CE030A"/>
    <w:rsid w:val="00CE206E"/>
    <w:rsid w:val="00CE2702"/>
    <w:rsid w:val="00CE28C9"/>
    <w:rsid w:val="00CE4231"/>
    <w:rsid w:val="00CE47E8"/>
    <w:rsid w:val="00CE6091"/>
    <w:rsid w:val="00CE60B9"/>
    <w:rsid w:val="00CF0417"/>
    <w:rsid w:val="00CF09D8"/>
    <w:rsid w:val="00CF1AA2"/>
    <w:rsid w:val="00CF2628"/>
    <w:rsid w:val="00CF4000"/>
    <w:rsid w:val="00CF4B07"/>
    <w:rsid w:val="00CF5B09"/>
    <w:rsid w:val="00CF6DA4"/>
    <w:rsid w:val="00CF6EED"/>
    <w:rsid w:val="00CF7577"/>
    <w:rsid w:val="00D02693"/>
    <w:rsid w:val="00D02A17"/>
    <w:rsid w:val="00D0429F"/>
    <w:rsid w:val="00D0487B"/>
    <w:rsid w:val="00D04BB8"/>
    <w:rsid w:val="00D06464"/>
    <w:rsid w:val="00D07058"/>
    <w:rsid w:val="00D10FF7"/>
    <w:rsid w:val="00D113C9"/>
    <w:rsid w:val="00D11FB2"/>
    <w:rsid w:val="00D16AA0"/>
    <w:rsid w:val="00D23F19"/>
    <w:rsid w:val="00D24F08"/>
    <w:rsid w:val="00D250B0"/>
    <w:rsid w:val="00D25A2F"/>
    <w:rsid w:val="00D27A34"/>
    <w:rsid w:val="00D3223B"/>
    <w:rsid w:val="00D323DF"/>
    <w:rsid w:val="00D32FC7"/>
    <w:rsid w:val="00D33291"/>
    <w:rsid w:val="00D35618"/>
    <w:rsid w:val="00D36340"/>
    <w:rsid w:val="00D36817"/>
    <w:rsid w:val="00D376C8"/>
    <w:rsid w:val="00D40571"/>
    <w:rsid w:val="00D40F04"/>
    <w:rsid w:val="00D4271C"/>
    <w:rsid w:val="00D42B41"/>
    <w:rsid w:val="00D44539"/>
    <w:rsid w:val="00D450C8"/>
    <w:rsid w:val="00D46606"/>
    <w:rsid w:val="00D476AB"/>
    <w:rsid w:val="00D50C84"/>
    <w:rsid w:val="00D51E12"/>
    <w:rsid w:val="00D51EB9"/>
    <w:rsid w:val="00D53502"/>
    <w:rsid w:val="00D537BE"/>
    <w:rsid w:val="00D54585"/>
    <w:rsid w:val="00D54A8E"/>
    <w:rsid w:val="00D54EAE"/>
    <w:rsid w:val="00D55A49"/>
    <w:rsid w:val="00D5638E"/>
    <w:rsid w:val="00D5660D"/>
    <w:rsid w:val="00D5674B"/>
    <w:rsid w:val="00D56DFE"/>
    <w:rsid w:val="00D60C0C"/>
    <w:rsid w:val="00D61698"/>
    <w:rsid w:val="00D628C6"/>
    <w:rsid w:val="00D62EFE"/>
    <w:rsid w:val="00D63BE8"/>
    <w:rsid w:val="00D6553F"/>
    <w:rsid w:val="00D65C4D"/>
    <w:rsid w:val="00D7055F"/>
    <w:rsid w:val="00D71367"/>
    <w:rsid w:val="00D73653"/>
    <w:rsid w:val="00D767E8"/>
    <w:rsid w:val="00D77EB9"/>
    <w:rsid w:val="00D81BC1"/>
    <w:rsid w:val="00D859EC"/>
    <w:rsid w:val="00D90670"/>
    <w:rsid w:val="00D9311A"/>
    <w:rsid w:val="00D9318B"/>
    <w:rsid w:val="00D93C50"/>
    <w:rsid w:val="00D94A54"/>
    <w:rsid w:val="00D94AA2"/>
    <w:rsid w:val="00D95896"/>
    <w:rsid w:val="00D95909"/>
    <w:rsid w:val="00DA3E22"/>
    <w:rsid w:val="00DA4B80"/>
    <w:rsid w:val="00DA5A23"/>
    <w:rsid w:val="00DB0585"/>
    <w:rsid w:val="00DB39A8"/>
    <w:rsid w:val="00DB560B"/>
    <w:rsid w:val="00DC0358"/>
    <w:rsid w:val="00DC37EF"/>
    <w:rsid w:val="00DC3C06"/>
    <w:rsid w:val="00DC42FA"/>
    <w:rsid w:val="00DC43C3"/>
    <w:rsid w:val="00DC5400"/>
    <w:rsid w:val="00DC6403"/>
    <w:rsid w:val="00DC6602"/>
    <w:rsid w:val="00DC7FBC"/>
    <w:rsid w:val="00DD022A"/>
    <w:rsid w:val="00DD291C"/>
    <w:rsid w:val="00DD393B"/>
    <w:rsid w:val="00DD47CB"/>
    <w:rsid w:val="00DD6595"/>
    <w:rsid w:val="00DD6CC4"/>
    <w:rsid w:val="00DE674B"/>
    <w:rsid w:val="00DE6BB5"/>
    <w:rsid w:val="00DF07BC"/>
    <w:rsid w:val="00DF2B58"/>
    <w:rsid w:val="00DF4CE2"/>
    <w:rsid w:val="00DF4D6D"/>
    <w:rsid w:val="00DF6DD4"/>
    <w:rsid w:val="00E02C3E"/>
    <w:rsid w:val="00E031B0"/>
    <w:rsid w:val="00E03B06"/>
    <w:rsid w:val="00E07B74"/>
    <w:rsid w:val="00E118CC"/>
    <w:rsid w:val="00E134B3"/>
    <w:rsid w:val="00E13AD1"/>
    <w:rsid w:val="00E20C49"/>
    <w:rsid w:val="00E20F97"/>
    <w:rsid w:val="00E223A0"/>
    <w:rsid w:val="00E23BEE"/>
    <w:rsid w:val="00E24D36"/>
    <w:rsid w:val="00E24D54"/>
    <w:rsid w:val="00E26605"/>
    <w:rsid w:val="00E272AB"/>
    <w:rsid w:val="00E320F8"/>
    <w:rsid w:val="00E34F0E"/>
    <w:rsid w:val="00E35905"/>
    <w:rsid w:val="00E36C08"/>
    <w:rsid w:val="00E37903"/>
    <w:rsid w:val="00E41370"/>
    <w:rsid w:val="00E418BA"/>
    <w:rsid w:val="00E41C89"/>
    <w:rsid w:val="00E41EA8"/>
    <w:rsid w:val="00E4405C"/>
    <w:rsid w:val="00E459EE"/>
    <w:rsid w:val="00E46BAF"/>
    <w:rsid w:val="00E46DC0"/>
    <w:rsid w:val="00E521FC"/>
    <w:rsid w:val="00E522FA"/>
    <w:rsid w:val="00E55967"/>
    <w:rsid w:val="00E6036E"/>
    <w:rsid w:val="00E605B2"/>
    <w:rsid w:val="00E60836"/>
    <w:rsid w:val="00E614D7"/>
    <w:rsid w:val="00E66B16"/>
    <w:rsid w:val="00E66DEF"/>
    <w:rsid w:val="00E67A3E"/>
    <w:rsid w:val="00E708D7"/>
    <w:rsid w:val="00E70FE3"/>
    <w:rsid w:val="00E7196C"/>
    <w:rsid w:val="00E71EBB"/>
    <w:rsid w:val="00E73080"/>
    <w:rsid w:val="00E74339"/>
    <w:rsid w:val="00E7435E"/>
    <w:rsid w:val="00E76E55"/>
    <w:rsid w:val="00E8038E"/>
    <w:rsid w:val="00E80654"/>
    <w:rsid w:val="00E80BCC"/>
    <w:rsid w:val="00E825BB"/>
    <w:rsid w:val="00E8339D"/>
    <w:rsid w:val="00E843AF"/>
    <w:rsid w:val="00E8624F"/>
    <w:rsid w:val="00E86F17"/>
    <w:rsid w:val="00E9064A"/>
    <w:rsid w:val="00E90FE8"/>
    <w:rsid w:val="00E94A36"/>
    <w:rsid w:val="00E96A38"/>
    <w:rsid w:val="00EA0C5C"/>
    <w:rsid w:val="00EA4222"/>
    <w:rsid w:val="00EA4A46"/>
    <w:rsid w:val="00EA4E18"/>
    <w:rsid w:val="00EA4F60"/>
    <w:rsid w:val="00EB259F"/>
    <w:rsid w:val="00EB2785"/>
    <w:rsid w:val="00EB5C98"/>
    <w:rsid w:val="00EB669C"/>
    <w:rsid w:val="00EB69DB"/>
    <w:rsid w:val="00EB6ECC"/>
    <w:rsid w:val="00EC0617"/>
    <w:rsid w:val="00EC1FFB"/>
    <w:rsid w:val="00EC266A"/>
    <w:rsid w:val="00EC3878"/>
    <w:rsid w:val="00EC7DED"/>
    <w:rsid w:val="00ED032F"/>
    <w:rsid w:val="00ED133E"/>
    <w:rsid w:val="00ED1847"/>
    <w:rsid w:val="00ED1D36"/>
    <w:rsid w:val="00ED290C"/>
    <w:rsid w:val="00ED41F9"/>
    <w:rsid w:val="00ED4E44"/>
    <w:rsid w:val="00EE0052"/>
    <w:rsid w:val="00EE24ED"/>
    <w:rsid w:val="00EE2AB9"/>
    <w:rsid w:val="00EE2F4C"/>
    <w:rsid w:val="00EE3402"/>
    <w:rsid w:val="00EE5BAE"/>
    <w:rsid w:val="00EE5C1A"/>
    <w:rsid w:val="00EF44EA"/>
    <w:rsid w:val="00EF460B"/>
    <w:rsid w:val="00EF7522"/>
    <w:rsid w:val="00EF7E36"/>
    <w:rsid w:val="00F00A04"/>
    <w:rsid w:val="00F0124C"/>
    <w:rsid w:val="00F029B7"/>
    <w:rsid w:val="00F02E23"/>
    <w:rsid w:val="00F0345E"/>
    <w:rsid w:val="00F037C6"/>
    <w:rsid w:val="00F04396"/>
    <w:rsid w:val="00F05315"/>
    <w:rsid w:val="00F054D7"/>
    <w:rsid w:val="00F06202"/>
    <w:rsid w:val="00F06C10"/>
    <w:rsid w:val="00F11218"/>
    <w:rsid w:val="00F128C5"/>
    <w:rsid w:val="00F138E6"/>
    <w:rsid w:val="00F14518"/>
    <w:rsid w:val="00F1543C"/>
    <w:rsid w:val="00F15621"/>
    <w:rsid w:val="00F1587C"/>
    <w:rsid w:val="00F15C19"/>
    <w:rsid w:val="00F161F9"/>
    <w:rsid w:val="00F167FC"/>
    <w:rsid w:val="00F1707A"/>
    <w:rsid w:val="00F2208C"/>
    <w:rsid w:val="00F22108"/>
    <w:rsid w:val="00F2355B"/>
    <w:rsid w:val="00F24CE1"/>
    <w:rsid w:val="00F24D28"/>
    <w:rsid w:val="00F323DC"/>
    <w:rsid w:val="00F328F8"/>
    <w:rsid w:val="00F343D0"/>
    <w:rsid w:val="00F3483F"/>
    <w:rsid w:val="00F358B8"/>
    <w:rsid w:val="00F36666"/>
    <w:rsid w:val="00F371D5"/>
    <w:rsid w:val="00F375DE"/>
    <w:rsid w:val="00F37827"/>
    <w:rsid w:val="00F40297"/>
    <w:rsid w:val="00F4098F"/>
    <w:rsid w:val="00F41F01"/>
    <w:rsid w:val="00F42BBC"/>
    <w:rsid w:val="00F45319"/>
    <w:rsid w:val="00F457CD"/>
    <w:rsid w:val="00F51D7D"/>
    <w:rsid w:val="00F51EFE"/>
    <w:rsid w:val="00F55062"/>
    <w:rsid w:val="00F551F1"/>
    <w:rsid w:val="00F561EC"/>
    <w:rsid w:val="00F57900"/>
    <w:rsid w:val="00F60784"/>
    <w:rsid w:val="00F65C1C"/>
    <w:rsid w:val="00F66A16"/>
    <w:rsid w:val="00F675B6"/>
    <w:rsid w:val="00F76A37"/>
    <w:rsid w:val="00F811D5"/>
    <w:rsid w:val="00F817B0"/>
    <w:rsid w:val="00F825FB"/>
    <w:rsid w:val="00F83ACB"/>
    <w:rsid w:val="00F84023"/>
    <w:rsid w:val="00F84837"/>
    <w:rsid w:val="00F86BE2"/>
    <w:rsid w:val="00F92A52"/>
    <w:rsid w:val="00F96FDB"/>
    <w:rsid w:val="00FA09E7"/>
    <w:rsid w:val="00FA2B43"/>
    <w:rsid w:val="00FA2F4A"/>
    <w:rsid w:val="00FA42B3"/>
    <w:rsid w:val="00FA4643"/>
    <w:rsid w:val="00FA6C79"/>
    <w:rsid w:val="00FB1E59"/>
    <w:rsid w:val="00FB4524"/>
    <w:rsid w:val="00FB46CF"/>
    <w:rsid w:val="00FB4BDC"/>
    <w:rsid w:val="00FC20FE"/>
    <w:rsid w:val="00FC22CA"/>
    <w:rsid w:val="00FC250E"/>
    <w:rsid w:val="00FC47A2"/>
    <w:rsid w:val="00FC4B8C"/>
    <w:rsid w:val="00FC5902"/>
    <w:rsid w:val="00FC699E"/>
    <w:rsid w:val="00FD01D6"/>
    <w:rsid w:val="00FD050F"/>
    <w:rsid w:val="00FD120B"/>
    <w:rsid w:val="00FD1602"/>
    <w:rsid w:val="00FD20F6"/>
    <w:rsid w:val="00FD3865"/>
    <w:rsid w:val="00FD4D17"/>
    <w:rsid w:val="00FD5382"/>
    <w:rsid w:val="00FD556D"/>
    <w:rsid w:val="00FD5FCF"/>
    <w:rsid w:val="00FD7698"/>
    <w:rsid w:val="00FE2BB8"/>
    <w:rsid w:val="00FE4B7D"/>
    <w:rsid w:val="00FE5FA0"/>
    <w:rsid w:val="00FF095B"/>
    <w:rsid w:val="00FF297E"/>
    <w:rsid w:val="00FF2B32"/>
    <w:rsid w:val="00FF6CF2"/>
    <w:rsid w:val="00FF7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C3"/>
    <w:rPr>
      <w:sz w:val="28"/>
      <w:lang w:val="ru-RU"/>
    </w:rPr>
  </w:style>
  <w:style w:type="paragraph" w:styleId="Heading1">
    <w:name w:val="heading 1"/>
    <w:basedOn w:val="Normal"/>
    <w:next w:val="Normal"/>
    <w:qFormat/>
    <w:pPr>
      <w:keepNext/>
      <w:outlineLvl w:val="0"/>
    </w:pPr>
    <w:rPr>
      <w:lang w:val="ro-RO" w:eastAsia="ru-RU"/>
    </w:rPr>
  </w:style>
  <w:style w:type="paragraph" w:styleId="Heading2">
    <w:name w:val="heading 2"/>
    <w:basedOn w:val="Normal"/>
    <w:next w:val="Normal"/>
    <w:qFormat/>
    <w:pPr>
      <w:keepNext/>
      <w:ind w:left="4320" w:firstLine="720"/>
      <w:jc w:val="both"/>
      <w:outlineLvl w:val="1"/>
    </w:pPr>
    <w:rPr>
      <w:b/>
      <w:bCs/>
      <w:sz w:val="24"/>
      <w:lang w:val="ro-RO"/>
    </w:rPr>
  </w:style>
  <w:style w:type="paragraph" w:styleId="Heading3">
    <w:name w:val="heading 3"/>
    <w:basedOn w:val="Normal"/>
    <w:next w:val="Normal"/>
    <w:qFormat/>
    <w:pPr>
      <w:keepNext/>
      <w:jc w:val="right"/>
      <w:outlineLvl w:val="2"/>
    </w:pPr>
    <w:rPr>
      <w:b/>
      <w:bCs/>
      <w:sz w:val="24"/>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04516F"/>
    <w:rPr>
      <w:b/>
      <w:bCs/>
    </w:rPr>
  </w:style>
  <w:style w:type="paragraph" w:styleId="BalloonText">
    <w:name w:val="Balloon Text"/>
    <w:basedOn w:val="Normal"/>
    <w:semiHidden/>
    <w:rPr>
      <w:rFonts w:ascii="Tahoma" w:hAnsi="Tahoma" w:cs="Tahoma"/>
      <w:sz w:val="16"/>
      <w:szCs w:val="16"/>
    </w:rPr>
  </w:style>
  <w:style w:type="paragraph" w:customStyle="1" w:styleId="CharCharCaracterCaracterCharCharCaracterCaracterCharCharCaracterCaracterCharCharCaracterCaracterCharCharCaracterCaracter">
    <w:name w:val="Знак Знак Char Char Caracter Caracter Char Char Caracter Caracter Char Char Caracter Caracter Char Char Caracter Caracter Char Char Caracter Caracter"/>
    <w:basedOn w:val="Normal"/>
    <w:next w:val="Normal"/>
    <w:pPr>
      <w:spacing w:after="160" w:line="240" w:lineRule="exact"/>
    </w:pPr>
    <w:rPr>
      <w:rFonts w:ascii="Tahoma" w:hAnsi="Tahoma"/>
      <w:sz w:val="24"/>
      <w:lang w:val="en-US"/>
    </w:rPr>
  </w:style>
  <w:style w:type="paragraph" w:customStyle="1" w:styleId="tt">
    <w:name w:val="tt"/>
    <w:basedOn w:val="Normal"/>
    <w:pPr>
      <w:jc w:val="center"/>
    </w:pPr>
    <w:rPr>
      <w:b/>
      <w:bCs/>
      <w:sz w:val="24"/>
      <w:szCs w:val="24"/>
      <w:lang w:eastAsia="ru-RU"/>
    </w:rPr>
  </w:style>
  <w:style w:type="paragraph" w:styleId="NormalWeb">
    <w:name w:val="Normal (Web)"/>
    <w:basedOn w:val="Normal"/>
    <w:pPr>
      <w:ind w:firstLine="567"/>
      <w:jc w:val="both"/>
    </w:pPr>
    <w:rPr>
      <w:sz w:val="24"/>
      <w:szCs w:val="24"/>
      <w:lang w:eastAsia="ru-RU"/>
    </w:rPr>
  </w:style>
  <w:style w:type="character" w:customStyle="1" w:styleId="CharChar">
    <w:name w:val="Char Char"/>
    <w:rPr>
      <w:b/>
      <w:bCs/>
      <w:sz w:val="24"/>
      <w:lang w:val="ro-RO" w:eastAsia="en-US" w:bidi="ar-SA"/>
    </w:rPr>
  </w:style>
  <w:style w:type="character" w:customStyle="1" w:styleId="FontStyle36">
    <w:name w:val="Font Style36"/>
    <w:rPr>
      <w:rFonts w:ascii="Bookman Old Style" w:hAnsi="Bookman Old Style" w:cs="Bookman Old Style"/>
      <w:sz w:val="14"/>
      <w:szCs w:val="14"/>
    </w:rPr>
  </w:style>
  <w:style w:type="character" w:customStyle="1" w:styleId="FontStyle35">
    <w:name w:val="Font Style35"/>
    <w:rPr>
      <w:rFonts w:ascii="Bookman Old Style" w:hAnsi="Bookman Old Style" w:cs="Bookman Old Style"/>
      <w:b/>
      <w:bCs/>
      <w:sz w:val="14"/>
      <w:szCs w:val="14"/>
    </w:rPr>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longtext">
    <w:name w:val="long_text"/>
    <w:basedOn w:val="DefaultParagraphFont"/>
  </w:style>
  <w:style w:type="character" w:styleId="PageNumber">
    <w:name w:val="page number"/>
    <w:basedOn w:val="DefaultParagraphFont"/>
  </w:style>
  <w:style w:type="paragraph" w:styleId="TOC1">
    <w:name w:val="toc 1"/>
    <w:basedOn w:val="Normal"/>
    <w:next w:val="Normal"/>
    <w:autoRedefine/>
    <w:semiHidden/>
    <w:rsid w:val="00461A58"/>
    <w:pPr>
      <w:tabs>
        <w:tab w:val="left" w:pos="400"/>
        <w:tab w:val="left" w:pos="600"/>
        <w:tab w:val="left" w:pos="1200"/>
        <w:tab w:val="right" w:leader="dot" w:pos="8820"/>
      </w:tabs>
      <w:ind w:left="360" w:hanging="360"/>
      <w:jc w:val="both"/>
    </w:pPr>
    <w:rPr>
      <w:rFonts w:ascii="Arial" w:hAnsi="Arial"/>
      <w:noProof/>
      <w:sz w:val="22"/>
      <w:lang w:val="en-GB"/>
    </w:rPr>
  </w:style>
  <w:style w:type="character" w:styleId="Strong">
    <w:name w:val="Strong"/>
    <w:qFormat/>
    <w:rsid w:val="00461A58"/>
    <w:rPr>
      <w:b/>
    </w:rPr>
  </w:style>
  <w:style w:type="paragraph" w:styleId="FootnoteText">
    <w:name w:val="footnote text"/>
    <w:basedOn w:val="Normal"/>
    <w:semiHidden/>
    <w:rsid w:val="00461A58"/>
    <w:rPr>
      <w:sz w:val="20"/>
      <w:lang w:val="en-GB"/>
    </w:rPr>
  </w:style>
  <w:style w:type="character" w:styleId="FootnoteReference">
    <w:name w:val="footnote reference"/>
    <w:semiHidden/>
    <w:rsid w:val="00461A58"/>
    <w:rPr>
      <w:vertAlign w:val="superscript"/>
    </w:rPr>
  </w:style>
  <w:style w:type="paragraph" w:customStyle="1" w:styleId="cn">
    <w:name w:val="cn"/>
    <w:basedOn w:val="Normal"/>
    <w:rsid w:val="00777B00"/>
    <w:pPr>
      <w:jc w:val="center"/>
    </w:pPr>
    <w:rPr>
      <w:sz w:val="24"/>
      <w:szCs w:val="24"/>
      <w:lang w:eastAsia="ru-RU"/>
    </w:rPr>
  </w:style>
  <w:style w:type="table" w:styleId="TableGrid">
    <w:name w:val="Table Grid"/>
    <w:basedOn w:val="TableNormal"/>
    <w:rsid w:val="00EC7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C5D99"/>
    <w:rPr>
      <w:sz w:val="28"/>
      <w:lang w:val="ru-RU"/>
    </w:rPr>
  </w:style>
  <w:style w:type="paragraph" w:styleId="ListParagraph">
    <w:name w:val="List Paragraph"/>
    <w:basedOn w:val="Normal"/>
    <w:uiPriority w:val="34"/>
    <w:qFormat/>
    <w:rsid w:val="00D376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C3"/>
    <w:rPr>
      <w:sz w:val="28"/>
      <w:lang w:val="ru-RU"/>
    </w:rPr>
  </w:style>
  <w:style w:type="paragraph" w:styleId="Heading1">
    <w:name w:val="heading 1"/>
    <w:basedOn w:val="Normal"/>
    <w:next w:val="Normal"/>
    <w:qFormat/>
    <w:pPr>
      <w:keepNext/>
      <w:outlineLvl w:val="0"/>
    </w:pPr>
    <w:rPr>
      <w:lang w:val="ro-RO" w:eastAsia="ru-RU"/>
    </w:rPr>
  </w:style>
  <w:style w:type="paragraph" w:styleId="Heading2">
    <w:name w:val="heading 2"/>
    <w:basedOn w:val="Normal"/>
    <w:next w:val="Normal"/>
    <w:qFormat/>
    <w:pPr>
      <w:keepNext/>
      <w:ind w:left="4320" w:firstLine="720"/>
      <w:jc w:val="both"/>
      <w:outlineLvl w:val="1"/>
    </w:pPr>
    <w:rPr>
      <w:b/>
      <w:bCs/>
      <w:sz w:val="24"/>
      <w:lang w:val="ro-RO"/>
    </w:rPr>
  </w:style>
  <w:style w:type="paragraph" w:styleId="Heading3">
    <w:name w:val="heading 3"/>
    <w:basedOn w:val="Normal"/>
    <w:next w:val="Normal"/>
    <w:qFormat/>
    <w:pPr>
      <w:keepNext/>
      <w:jc w:val="right"/>
      <w:outlineLvl w:val="2"/>
    </w:pPr>
    <w:rPr>
      <w:b/>
      <w:bCs/>
      <w:sz w:val="24"/>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04516F"/>
    <w:rPr>
      <w:b/>
      <w:bCs/>
    </w:rPr>
  </w:style>
  <w:style w:type="paragraph" w:styleId="BalloonText">
    <w:name w:val="Balloon Text"/>
    <w:basedOn w:val="Normal"/>
    <w:semiHidden/>
    <w:rPr>
      <w:rFonts w:ascii="Tahoma" w:hAnsi="Tahoma" w:cs="Tahoma"/>
      <w:sz w:val="16"/>
      <w:szCs w:val="16"/>
    </w:rPr>
  </w:style>
  <w:style w:type="paragraph" w:customStyle="1" w:styleId="CharCharCaracterCaracterCharCharCaracterCaracterCharCharCaracterCaracterCharCharCaracterCaracterCharCharCaracterCaracter">
    <w:name w:val="Знак Знак Char Char Caracter Caracter Char Char Caracter Caracter Char Char Caracter Caracter Char Char Caracter Caracter Char Char Caracter Caracter"/>
    <w:basedOn w:val="Normal"/>
    <w:next w:val="Normal"/>
    <w:pPr>
      <w:spacing w:after="160" w:line="240" w:lineRule="exact"/>
    </w:pPr>
    <w:rPr>
      <w:rFonts w:ascii="Tahoma" w:hAnsi="Tahoma"/>
      <w:sz w:val="24"/>
      <w:lang w:val="en-US"/>
    </w:rPr>
  </w:style>
  <w:style w:type="paragraph" w:customStyle="1" w:styleId="tt">
    <w:name w:val="tt"/>
    <w:basedOn w:val="Normal"/>
    <w:pPr>
      <w:jc w:val="center"/>
    </w:pPr>
    <w:rPr>
      <w:b/>
      <w:bCs/>
      <w:sz w:val="24"/>
      <w:szCs w:val="24"/>
      <w:lang w:eastAsia="ru-RU"/>
    </w:rPr>
  </w:style>
  <w:style w:type="paragraph" w:styleId="NormalWeb">
    <w:name w:val="Normal (Web)"/>
    <w:basedOn w:val="Normal"/>
    <w:pPr>
      <w:ind w:firstLine="567"/>
      <w:jc w:val="both"/>
    </w:pPr>
    <w:rPr>
      <w:sz w:val="24"/>
      <w:szCs w:val="24"/>
      <w:lang w:eastAsia="ru-RU"/>
    </w:rPr>
  </w:style>
  <w:style w:type="character" w:customStyle="1" w:styleId="CharChar">
    <w:name w:val="Char Char"/>
    <w:rPr>
      <w:b/>
      <w:bCs/>
      <w:sz w:val="24"/>
      <w:lang w:val="ro-RO" w:eastAsia="en-US" w:bidi="ar-SA"/>
    </w:rPr>
  </w:style>
  <w:style w:type="character" w:customStyle="1" w:styleId="FontStyle36">
    <w:name w:val="Font Style36"/>
    <w:rPr>
      <w:rFonts w:ascii="Bookman Old Style" w:hAnsi="Bookman Old Style" w:cs="Bookman Old Style"/>
      <w:sz w:val="14"/>
      <w:szCs w:val="14"/>
    </w:rPr>
  </w:style>
  <w:style w:type="character" w:customStyle="1" w:styleId="FontStyle35">
    <w:name w:val="Font Style35"/>
    <w:rPr>
      <w:rFonts w:ascii="Bookman Old Style" w:hAnsi="Bookman Old Style" w:cs="Bookman Old Style"/>
      <w:b/>
      <w:bCs/>
      <w:sz w:val="14"/>
      <w:szCs w:val="14"/>
    </w:rPr>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longtext">
    <w:name w:val="long_text"/>
    <w:basedOn w:val="DefaultParagraphFont"/>
  </w:style>
  <w:style w:type="character" w:styleId="PageNumber">
    <w:name w:val="page number"/>
    <w:basedOn w:val="DefaultParagraphFont"/>
  </w:style>
  <w:style w:type="paragraph" w:styleId="TOC1">
    <w:name w:val="toc 1"/>
    <w:basedOn w:val="Normal"/>
    <w:next w:val="Normal"/>
    <w:autoRedefine/>
    <w:semiHidden/>
    <w:rsid w:val="00461A58"/>
    <w:pPr>
      <w:tabs>
        <w:tab w:val="left" w:pos="400"/>
        <w:tab w:val="left" w:pos="600"/>
        <w:tab w:val="left" w:pos="1200"/>
        <w:tab w:val="right" w:leader="dot" w:pos="8820"/>
      </w:tabs>
      <w:ind w:left="360" w:hanging="360"/>
      <w:jc w:val="both"/>
    </w:pPr>
    <w:rPr>
      <w:rFonts w:ascii="Arial" w:hAnsi="Arial"/>
      <w:noProof/>
      <w:sz w:val="22"/>
      <w:lang w:val="en-GB"/>
    </w:rPr>
  </w:style>
  <w:style w:type="character" w:styleId="Strong">
    <w:name w:val="Strong"/>
    <w:qFormat/>
    <w:rsid w:val="00461A58"/>
    <w:rPr>
      <w:b/>
    </w:rPr>
  </w:style>
  <w:style w:type="paragraph" w:styleId="FootnoteText">
    <w:name w:val="footnote text"/>
    <w:basedOn w:val="Normal"/>
    <w:semiHidden/>
    <w:rsid w:val="00461A58"/>
    <w:rPr>
      <w:sz w:val="20"/>
      <w:lang w:val="en-GB"/>
    </w:rPr>
  </w:style>
  <w:style w:type="character" w:styleId="FootnoteReference">
    <w:name w:val="footnote reference"/>
    <w:semiHidden/>
    <w:rsid w:val="00461A58"/>
    <w:rPr>
      <w:vertAlign w:val="superscript"/>
    </w:rPr>
  </w:style>
  <w:style w:type="paragraph" w:customStyle="1" w:styleId="cn">
    <w:name w:val="cn"/>
    <w:basedOn w:val="Normal"/>
    <w:rsid w:val="00777B00"/>
    <w:pPr>
      <w:jc w:val="center"/>
    </w:pPr>
    <w:rPr>
      <w:sz w:val="24"/>
      <w:szCs w:val="24"/>
      <w:lang w:eastAsia="ru-RU"/>
    </w:rPr>
  </w:style>
  <w:style w:type="table" w:styleId="TableGrid">
    <w:name w:val="Table Grid"/>
    <w:basedOn w:val="TableNormal"/>
    <w:rsid w:val="00EC7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C5D99"/>
    <w:rPr>
      <w:sz w:val="28"/>
      <w:lang w:val="ru-RU"/>
    </w:rPr>
  </w:style>
  <w:style w:type="paragraph" w:styleId="ListParagraph">
    <w:name w:val="List Paragraph"/>
    <w:basedOn w:val="Normal"/>
    <w:uiPriority w:val="34"/>
    <w:qFormat/>
    <w:rsid w:val="00D37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3657">
      <w:bodyDiv w:val="1"/>
      <w:marLeft w:val="0"/>
      <w:marRight w:val="0"/>
      <w:marTop w:val="0"/>
      <w:marBottom w:val="0"/>
      <w:divBdr>
        <w:top w:val="none" w:sz="0" w:space="0" w:color="auto"/>
        <w:left w:val="none" w:sz="0" w:space="0" w:color="auto"/>
        <w:bottom w:val="none" w:sz="0" w:space="0" w:color="auto"/>
        <w:right w:val="none" w:sz="0" w:space="0" w:color="auto"/>
      </w:divBdr>
    </w:div>
    <w:div w:id="574315797">
      <w:bodyDiv w:val="1"/>
      <w:marLeft w:val="0"/>
      <w:marRight w:val="0"/>
      <w:marTop w:val="0"/>
      <w:marBottom w:val="0"/>
      <w:divBdr>
        <w:top w:val="none" w:sz="0" w:space="0" w:color="auto"/>
        <w:left w:val="none" w:sz="0" w:space="0" w:color="auto"/>
        <w:bottom w:val="none" w:sz="0" w:space="0" w:color="auto"/>
        <w:right w:val="none" w:sz="0" w:space="0" w:color="auto"/>
      </w:divBdr>
      <w:divsChild>
        <w:div w:id="354773931">
          <w:marLeft w:val="0"/>
          <w:marRight w:val="0"/>
          <w:marTop w:val="0"/>
          <w:marBottom w:val="0"/>
          <w:divBdr>
            <w:top w:val="none" w:sz="0" w:space="0" w:color="auto"/>
            <w:left w:val="none" w:sz="0" w:space="0" w:color="auto"/>
            <w:bottom w:val="none" w:sz="0" w:space="0" w:color="auto"/>
            <w:right w:val="none" w:sz="0" w:space="0" w:color="auto"/>
          </w:divBdr>
        </w:div>
        <w:div w:id="429545797">
          <w:marLeft w:val="0"/>
          <w:marRight w:val="0"/>
          <w:marTop w:val="0"/>
          <w:marBottom w:val="0"/>
          <w:divBdr>
            <w:top w:val="none" w:sz="0" w:space="0" w:color="auto"/>
            <w:left w:val="none" w:sz="0" w:space="0" w:color="auto"/>
            <w:bottom w:val="none" w:sz="0" w:space="0" w:color="auto"/>
            <w:right w:val="none" w:sz="0" w:space="0" w:color="auto"/>
          </w:divBdr>
        </w:div>
        <w:div w:id="961570775">
          <w:marLeft w:val="0"/>
          <w:marRight w:val="0"/>
          <w:marTop w:val="0"/>
          <w:marBottom w:val="0"/>
          <w:divBdr>
            <w:top w:val="none" w:sz="0" w:space="0" w:color="auto"/>
            <w:left w:val="none" w:sz="0" w:space="0" w:color="auto"/>
            <w:bottom w:val="none" w:sz="0" w:space="0" w:color="auto"/>
            <w:right w:val="none" w:sz="0" w:space="0" w:color="auto"/>
          </w:divBdr>
        </w:div>
        <w:div w:id="1230769876">
          <w:marLeft w:val="0"/>
          <w:marRight w:val="0"/>
          <w:marTop w:val="0"/>
          <w:marBottom w:val="0"/>
          <w:divBdr>
            <w:top w:val="none" w:sz="0" w:space="0" w:color="auto"/>
            <w:left w:val="none" w:sz="0" w:space="0" w:color="auto"/>
            <w:bottom w:val="none" w:sz="0" w:space="0" w:color="auto"/>
            <w:right w:val="none" w:sz="0" w:space="0" w:color="auto"/>
          </w:divBdr>
        </w:div>
        <w:div w:id="1304848584">
          <w:marLeft w:val="0"/>
          <w:marRight w:val="0"/>
          <w:marTop w:val="0"/>
          <w:marBottom w:val="0"/>
          <w:divBdr>
            <w:top w:val="none" w:sz="0" w:space="0" w:color="auto"/>
            <w:left w:val="none" w:sz="0" w:space="0" w:color="auto"/>
            <w:bottom w:val="none" w:sz="0" w:space="0" w:color="auto"/>
            <w:right w:val="none" w:sz="0" w:space="0" w:color="auto"/>
          </w:divBdr>
        </w:div>
        <w:div w:id="1428888127">
          <w:marLeft w:val="0"/>
          <w:marRight w:val="0"/>
          <w:marTop w:val="0"/>
          <w:marBottom w:val="0"/>
          <w:divBdr>
            <w:top w:val="none" w:sz="0" w:space="0" w:color="auto"/>
            <w:left w:val="none" w:sz="0" w:space="0" w:color="auto"/>
            <w:bottom w:val="none" w:sz="0" w:space="0" w:color="auto"/>
            <w:right w:val="none" w:sz="0" w:space="0" w:color="auto"/>
          </w:divBdr>
        </w:div>
        <w:div w:id="1492255658">
          <w:marLeft w:val="0"/>
          <w:marRight w:val="0"/>
          <w:marTop w:val="0"/>
          <w:marBottom w:val="0"/>
          <w:divBdr>
            <w:top w:val="none" w:sz="0" w:space="0" w:color="auto"/>
            <w:left w:val="none" w:sz="0" w:space="0" w:color="auto"/>
            <w:bottom w:val="none" w:sz="0" w:space="0" w:color="auto"/>
            <w:right w:val="none" w:sz="0" w:space="0" w:color="auto"/>
          </w:divBdr>
        </w:div>
        <w:div w:id="1534607757">
          <w:marLeft w:val="0"/>
          <w:marRight w:val="0"/>
          <w:marTop w:val="0"/>
          <w:marBottom w:val="0"/>
          <w:divBdr>
            <w:top w:val="none" w:sz="0" w:space="0" w:color="auto"/>
            <w:left w:val="none" w:sz="0" w:space="0" w:color="auto"/>
            <w:bottom w:val="none" w:sz="0" w:space="0" w:color="auto"/>
            <w:right w:val="none" w:sz="0" w:space="0" w:color="auto"/>
          </w:divBdr>
        </w:div>
        <w:div w:id="1873765107">
          <w:marLeft w:val="0"/>
          <w:marRight w:val="0"/>
          <w:marTop w:val="0"/>
          <w:marBottom w:val="0"/>
          <w:divBdr>
            <w:top w:val="none" w:sz="0" w:space="0" w:color="auto"/>
            <w:left w:val="none" w:sz="0" w:space="0" w:color="auto"/>
            <w:bottom w:val="none" w:sz="0" w:space="0" w:color="auto"/>
            <w:right w:val="none" w:sz="0" w:space="0" w:color="auto"/>
          </w:divBdr>
        </w:div>
        <w:div w:id="1998536277">
          <w:marLeft w:val="0"/>
          <w:marRight w:val="0"/>
          <w:marTop w:val="0"/>
          <w:marBottom w:val="0"/>
          <w:divBdr>
            <w:top w:val="none" w:sz="0" w:space="0" w:color="auto"/>
            <w:left w:val="none" w:sz="0" w:space="0" w:color="auto"/>
            <w:bottom w:val="none" w:sz="0" w:space="0" w:color="auto"/>
            <w:right w:val="none" w:sz="0" w:space="0" w:color="auto"/>
          </w:divBdr>
        </w:div>
      </w:divsChild>
    </w:div>
    <w:div w:id="807669332">
      <w:bodyDiv w:val="1"/>
      <w:marLeft w:val="0"/>
      <w:marRight w:val="0"/>
      <w:marTop w:val="0"/>
      <w:marBottom w:val="0"/>
      <w:divBdr>
        <w:top w:val="none" w:sz="0" w:space="0" w:color="auto"/>
        <w:left w:val="none" w:sz="0" w:space="0" w:color="auto"/>
        <w:bottom w:val="none" w:sz="0" w:space="0" w:color="auto"/>
        <w:right w:val="none" w:sz="0" w:space="0" w:color="auto"/>
      </w:divBdr>
    </w:div>
    <w:div w:id="1288853780">
      <w:bodyDiv w:val="1"/>
      <w:marLeft w:val="0"/>
      <w:marRight w:val="0"/>
      <w:marTop w:val="0"/>
      <w:marBottom w:val="0"/>
      <w:divBdr>
        <w:top w:val="none" w:sz="0" w:space="0" w:color="auto"/>
        <w:left w:val="none" w:sz="0" w:space="0" w:color="auto"/>
        <w:bottom w:val="none" w:sz="0" w:space="0" w:color="auto"/>
        <w:right w:val="none" w:sz="0" w:space="0" w:color="auto"/>
      </w:divBdr>
      <w:divsChild>
        <w:div w:id="69351372">
          <w:marLeft w:val="0"/>
          <w:marRight w:val="0"/>
          <w:marTop w:val="0"/>
          <w:marBottom w:val="0"/>
          <w:divBdr>
            <w:top w:val="none" w:sz="0" w:space="0" w:color="auto"/>
            <w:left w:val="none" w:sz="0" w:space="0" w:color="auto"/>
            <w:bottom w:val="none" w:sz="0" w:space="0" w:color="auto"/>
            <w:right w:val="none" w:sz="0" w:space="0" w:color="auto"/>
          </w:divBdr>
        </w:div>
        <w:div w:id="225606147">
          <w:marLeft w:val="0"/>
          <w:marRight w:val="0"/>
          <w:marTop w:val="0"/>
          <w:marBottom w:val="0"/>
          <w:divBdr>
            <w:top w:val="none" w:sz="0" w:space="0" w:color="auto"/>
            <w:left w:val="none" w:sz="0" w:space="0" w:color="auto"/>
            <w:bottom w:val="none" w:sz="0" w:space="0" w:color="auto"/>
            <w:right w:val="none" w:sz="0" w:space="0" w:color="auto"/>
          </w:divBdr>
        </w:div>
        <w:div w:id="461308664">
          <w:marLeft w:val="0"/>
          <w:marRight w:val="0"/>
          <w:marTop w:val="0"/>
          <w:marBottom w:val="0"/>
          <w:divBdr>
            <w:top w:val="none" w:sz="0" w:space="0" w:color="auto"/>
            <w:left w:val="none" w:sz="0" w:space="0" w:color="auto"/>
            <w:bottom w:val="none" w:sz="0" w:space="0" w:color="auto"/>
            <w:right w:val="none" w:sz="0" w:space="0" w:color="auto"/>
          </w:divBdr>
        </w:div>
        <w:div w:id="520238425">
          <w:marLeft w:val="0"/>
          <w:marRight w:val="0"/>
          <w:marTop w:val="0"/>
          <w:marBottom w:val="0"/>
          <w:divBdr>
            <w:top w:val="none" w:sz="0" w:space="0" w:color="auto"/>
            <w:left w:val="none" w:sz="0" w:space="0" w:color="auto"/>
            <w:bottom w:val="none" w:sz="0" w:space="0" w:color="auto"/>
            <w:right w:val="none" w:sz="0" w:space="0" w:color="auto"/>
          </w:divBdr>
        </w:div>
        <w:div w:id="593559921">
          <w:marLeft w:val="0"/>
          <w:marRight w:val="0"/>
          <w:marTop w:val="0"/>
          <w:marBottom w:val="0"/>
          <w:divBdr>
            <w:top w:val="none" w:sz="0" w:space="0" w:color="auto"/>
            <w:left w:val="none" w:sz="0" w:space="0" w:color="auto"/>
            <w:bottom w:val="none" w:sz="0" w:space="0" w:color="auto"/>
            <w:right w:val="none" w:sz="0" w:space="0" w:color="auto"/>
          </w:divBdr>
        </w:div>
        <w:div w:id="628324122">
          <w:marLeft w:val="0"/>
          <w:marRight w:val="0"/>
          <w:marTop w:val="0"/>
          <w:marBottom w:val="0"/>
          <w:divBdr>
            <w:top w:val="none" w:sz="0" w:space="0" w:color="auto"/>
            <w:left w:val="none" w:sz="0" w:space="0" w:color="auto"/>
            <w:bottom w:val="none" w:sz="0" w:space="0" w:color="auto"/>
            <w:right w:val="none" w:sz="0" w:space="0" w:color="auto"/>
          </w:divBdr>
        </w:div>
        <w:div w:id="1291742553">
          <w:marLeft w:val="0"/>
          <w:marRight w:val="0"/>
          <w:marTop w:val="0"/>
          <w:marBottom w:val="0"/>
          <w:divBdr>
            <w:top w:val="none" w:sz="0" w:space="0" w:color="auto"/>
            <w:left w:val="none" w:sz="0" w:space="0" w:color="auto"/>
            <w:bottom w:val="none" w:sz="0" w:space="0" w:color="auto"/>
            <w:right w:val="none" w:sz="0" w:space="0" w:color="auto"/>
          </w:divBdr>
        </w:div>
        <w:div w:id="1634169013">
          <w:marLeft w:val="0"/>
          <w:marRight w:val="0"/>
          <w:marTop w:val="0"/>
          <w:marBottom w:val="0"/>
          <w:divBdr>
            <w:top w:val="none" w:sz="0" w:space="0" w:color="auto"/>
            <w:left w:val="none" w:sz="0" w:space="0" w:color="auto"/>
            <w:bottom w:val="none" w:sz="0" w:space="0" w:color="auto"/>
            <w:right w:val="none" w:sz="0" w:space="0" w:color="auto"/>
          </w:divBdr>
        </w:div>
        <w:div w:id="1736275407">
          <w:marLeft w:val="0"/>
          <w:marRight w:val="0"/>
          <w:marTop w:val="0"/>
          <w:marBottom w:val="0"/>
          <w:divBdr>
            <w:top w:val="none" w:sz="0" w:space="0" w:color="auto"/>
            <w:left w:val="none" w:sz="0" w:space="0" w:color="auto"/>
            <w:bottom w:val="none" w:sz="0" w:space="0" w:color="auto"/>
            <w:right w:val="none" w:sz="0" w:space="0" w:color="auto"/>
          </w:divBdr>
        </w:div>
        <w:div w:id="186319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81E1-3EE6-4C1F-A03C-8B9DE535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Obligatii piata 4 si 5</vt:lpstr>
    </vt:vector>
  </TitlesOfParts>
  <Company>ANRCETI</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Obligatii piata 4 si 5</dc:title>
  <dc:creator>Vladimir Vozian</dc:creator>
  <cp:lastModifiedBy>Sergiu Copacean</cp:lastModifiedBy>
  <cp:revision>2</cp:revision>
  <cp:lastPrinted>2013-10-22T07:19:00Z</cp:lastPrinted>
  <dcterms:created xsi:type="dcterms:W3CDTF">2018-05-23T06:07:00Z</dcterms:created>
  <dcterms:modified xsi:type="dcterms:W3CDTF">2018-05-23T06:07:00Z</dcterms:modified>
</cp:coreProperties>
</file>