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2209"/>
        <w:gridCol w:w="7732"/>
      </w:tblGrid>
      <w:tr w:rsidR="001A1947" w:rsidRPr="00653DB5" w:rsidTr="004C7ECF">
        <w:tc>
          <w:tcPr>
            <w:tcW w:w="1111" w:type="pct"/>
          </w:tcPr>
          <w:p w:rsidR="00CC43B0" w:rsidRPr="00653DB5" w:rsidRDefault="00CC43B0" w:rsidP="004C7ECF">
            <w:pPr>
              <w:jc w:val="both"/>
              <w:rPr>
                <w:rFonts w:ascii="Times New Roman" w:hAnsi="Times New Roman" w:cs="Times New Roman"/>
                <w:color w:val="000000" w:themeColor="text1"/>
                <w:sz w:val="26"/>
                <w:szCs w:val="26"/>
              </w:rPr>
            </w:pPr>
            <w:bookmarkStart w:id="0" w:name="_GoBack"/>
            <w:bookmarkEnd w:id="0"/>
            <w:r w:rsidRPr="00653DB5">
              <w:rPr>
                <w:rFonts w:ascii="Times New Roman" w:hAnsi="Times New Roman" w:cs="Times New Roman"/>
                <w:noProof/>
                <w:color w:val="000000" w:themeColor="text1"/>
                <w:sz w:val="26"/>
                <w:szCs w:val="26"/>
                <w:lang w:val="en-US"/>
              </w:rPr>
              <w:drawing>
                <wp:inline distT="0" distB="0" distL="0" distR="0" wp14:anchorId="705D5661" wp14:editId="47C7AAE5">
                  <wp:extent cx="1216025" cy="1207770"/>
                  <wp:effectExtent l="0" t="0" r="0" b="0"/>
                  <wp:docPr id="1" name="Picture 1" descr="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07770"/>
                          </a:xfrm>
                          <a:prstGeom prst="rect">
                            <a:avLst/>
                          </a:prstGeom>
                          <a:noFill/>
                          <a:ln>
                            <a:noFill/>
                          </a:ln>
                        </pic:spPr>
                      </pic:pic>
                    </a:graphicData>
                  </a:graphic>
                </wp:inline>
              </w:drawing>
            </w:r>
          </w:p>
        </w:tc>
        <w:tc>
          <w:tcPr>
            <w:tcW w:w="3889" w:type="pct"/>
            <w:vAlign w:val="center"/>
          </w:tcPr>
          <w:p w:rsidR="00CC43B0" w:rsidRPr="00653DB5" w:rsidRDefault="00CC43B0" w:rsidP="004C7ECF">
            <w:pPr>
              <w:jc w:val="center"/>
              <w:rPr>
                <w:rFonts w:ascii="Times New Roman" w:hAnsi="Times New Roman" w:cs="Times New Roman"/>
                <w:b/>
                <w:color w:val="000000" w:themeColor="text1"/>
                <w:sz w:val="26"/>
                <w:szCs w:val="26"/>
              </w:rPr>
            </w:pPr>
            <w:r w:rsidRPr="00653DB5">
              <w:rPr>
                <w:rFonts w:ascii="Times New Roman" w:hAnsi="Times New Roman" w:cs="Times New Roman"/>
                <w:b/>
                <w:color w:val="000000" w:themeColor="text1"/>
                <w:sz w:val="26"/>
                <w:szCs w:val="26"/>
              </w:rPr>
              <w:t>Agenţia Naţională pentru</w:t>
            </w:r>
            <w:r w:rsidRPr="00653DB5">
              <w:rPr>
                <w:rFonts w:ascii="Times New Roman" w:hAnsi="Times New Roman" w:cs="Times New Roman"/>
                <w:b/>
                <w:color w:val="000000" w:themeColor="text1"/>
                <w:sz w:val="26"/>
                <w:szCs w:val="26"/>
              </w:rPr>
              <w:br/>
              <w:t>Reglementar</w:t>
            </w:r>
            <w:r w:rsidR="00527E56" w:rsidRPr="00653DB5">
              <w:rPr>
                <w:rFonts w:ascii="Times New Roman" w:hAnsi="Times New Roman" w:cs="Times New Roman"/>
                <w:b/>
                <w:color w:val="000000" w:themeColor="text1"/>
                <w:sz w:val="26"/>
                <w:szCs w:val="26"/>
              </w:rPr>
              <w:t xml:space="preserve">e în Comunicaţii Electronice şi Tehnologia Informaţiei </w:t>
            </w:r>
            <w:r w:rsidRPr="00653DB5">
              <w:rPr>
                <w:rFonts w:ascii="Times New Roman" w:hAnsi="Times New Roman" w:cs="Times New Roman"/>
                <w:b/>
                <w:color w:val="000000" w:themeColor="text1"/>
                <w:sz w:val="26"/>
                <w:szCs w:val="26"/>
              </w:rPr>
              <w:t>a Republicii Moldova</w:t>
            </w:r>
          </w:p>
        </w:tc>
      </w:tr>
    </w:tbl>
    <w:p w:rsidR="00CC43B0" w:rsidRPr="00653DB5" w:rsidRDefault="00CC43B0" w:rsidP="00CC43B0">
      <w:pPr>
        <w:pStyle w:val="Subtitle1"/>
        <w:tabs>
          <w:tab w:val="left" w:pos="1080"/>
        </w:tabs>
        <w:jc w:val="both"/>
        <w:rPr>
          <w:rFonts w:ascii="Times New Roman" w:hAnsi="Times New Roman"/>
          <w:color w:val="000000" w:themeColor="text1"/>
          <w:sz w:val="26"/>
          <w:szCs w:val="26"/>
          <w:lang w:val="ro-RO"/>
        </w:rPr>
      </w:pPr>
    </w:p>
    <w:p w:rsidR="00CC43B0" w:rsidRPr="00653DB5" w:rsidRDefault="00CC43B0" w:rsidP="00CC43B0">
      <w:pPr>
        <w:pStyle w:val="Subtitle1"/>
        <w:tabs>
          <w:tab w:val="left" w:pos="1080"/>
        </w:tabs>
        <w:jc w:val="both"/>
        <w:rPr>
          <w:rFonts w:ascii="Times New Roman" w:hAnsi="Times New Roman"/>
          <w:color w:val="000000" w:themeColor="text1"/>
          <w:sz w:val="26"/>
          <w:szCs w:val="26"/>
          <w:lang w:val="ro-RO"/>
        </w:rPr>
      </w:pPr>
    </w:p>
    <w:p w:rsidR="00CC43B0" w:rsidRPr="00653DB5" w:rsidRDefault="00CC43B0" w:rsidP="00CC43B0">
      <w:pPr>
        <w:pStyle w:val="Subtitle1"/>
        <w:tabs>
          <w:tab w:val="left" w:pos="1080"/>
        </w:tabs>
        <w:jc w:val="both"/>
        <w:rPr>
          <w:rFonts w:ascii="Times New Roman" w:hAnsi="Times New Roman"/>
          <w:color w:val="000000" w:themeColor="text1"/>
          <w:sz w:val="26"/>
          <w:szCs w:val="26"/>
          <w:lang w:val="ro-RO"/>
        </w:rPr>
      </w:pPr>
    </w:p>
    <w:p w:rsidR="00CC43B0" w:rsidRPr="00653DB5" w:rsidRDefault="00CC43B0" w:rsidP="00CC43B0">
      <w:pPr>
        <w:pStyle w:val="Subtitle1"/>
        <w:tabs>
          <w:tab w:val="left" w:pos="1080"/>
        </w:tabs>
        <w:jc w:val="both"/>
        <w:rPr>
          <w:rFonts w:ascii="Times New Roman" w:hAnsi="Times New Roman"/>
          <w:color w:val="000000" w:themeColor="text1"/>
          <w:sz w:val="26"/>
          <w:szCs w:val="26"/>
          <w:lang w:val="ro-RO"/>
        </w:rPr>
      </w:pPr>
    </w:p>
    <w:p w:rsidR="00CC43B0" w:rsidRPr="00653DB5" w:rsidRDefault="00CC43B0" w:rsidP="00CC43B0">
      <w:pPr>
        <w:pStyle w:val="Subtitle1"/>
        <w:tabs>
          <w:tab w:val="left" w:pos="1080"/>
        </w:tabs>
        <w:jc w:val="both"/>
        <w:rPr>
          <w:rFonts w:ascii="Times New Roman" w:hAnsi="Times New Roman"/>
          <w:color w:val="000000" w:themeColor="text1"/>
          <w:sz w:val="26"/>
          <w:szCs w:val="26"/>
          <w:lang w:val="ro-RO"/>
        </w:rPr>
      </w:pPr>
    </w:p>
    <w:p w:rsidR="00CC43B0" w:rsidRPr="00653DB5" w:rsidRDefault="00CC43B0" w:rsidP="00527E56">
      <w:pPr>
        <w:pStyle w:val="Subtitle1"/>
        <w:tabs>
          <w:tab w:val="left" w:pos="1080"/>
        </w:tabs>
        <w:spacing w:line="400" w:lineRule="exact"/>
        <w:jc w:val="center"/>
        <w:rPr>
          <w:rFonts w:ascii="Times New Roman" w:hAnsi="Times New Roman"/>
          <w:color w:val="000000" w:themeColor="text1"/>
          <w:sz w:val="26"/>
          <w:szCs w:val="26"/>
          <w:lang w:val="ro-RO"/>
        </w:rPr>
      </w:pPr>
      <w:r w:rsidRPr="00653DB5">
        <w:rPr>
          <w:rFonts w:ascii="Times New Roman" w:hAnsi="Times New Roman"/>
          <w:color w:val="000000" w:themeColor="text1"/>
          <w:sz w:val="26"/>
          <w:szCs w:val="26"/>
          <w:lang w:val="ro-RO"/>
        </w:rPr>
        <w:t>Analiza</w:t>
      </w:r>
    </w:p>
    <w:p w:rsidR="00CC43B0" w:rsidRPr="00653DB5" w:rsidRDefault="00CC43B0" w:rsidP="00527E56">
      <w:pPr>
        <w:pStyle w:val="Subtitle1"/>
        <w:tabs>
          <w:tab w:val="left" w:pos="1080"/>
        </w:tabs>
        <w:spacing w:line="400" w:lineRule="exact"/>
        <w:jc w:val="center"/>
        <w:rPr>
          <w:rFonts w:ascii="Times New Roman" w:hAnsi="Times New Roman"/>
          <w:color w:val="000000" w:themeColor="text1"/>
          <w:sz w:val="26"/>
          <w:szCs w:val="26"/>
          <w:lang w:val="ro-RO"/>
        </w:rPr>
      </w:pPr>
      <w:r w:rsidRPr="00653DB5">
        <w:rPr>
          <w:rFonts w:ascii="Times New Roman" w:hAnsi="Times New Roman"/>
          <w:color w:val="000000" w:themeColor="text1"/>
          <w:sz w:val="26"/>
          <w:szCs w:val="26"/>
          <w:lang w:val="ro-RO"/>
        </w:rPr>
        <w:t>pieţei de furniz</w:t>
      </w:r>
      <w:r w:rsidR="00214496" w:rsidRPr="00653DB5">
        <w:rPr>
          <w:rFonts w:ascii="Times New Roman" w:hAnsi="Times New Roman"/>
          <w:color w:val="000000" w:themeColor="text1"/>
          <w:sz w:val="26"/>
          <w:szCs w:val="26"/>
          <w:lang w:val="ro-RO"/>
        </w:rPr>
        <w:t>are cu ridicata a unor segmente-</w:t>
      </w:r>
      <w:r w:rsidRPr="00653DB5">
        <w:rPr>
          <w:rFonts w:ascii="Times New Roman" w:hAnsi="Times New Roman"/>
          <w:color w:val="000000" w:themeColor="text1"/>
          <w:sz w:val="26"/>
          <w:szCs w:val="26"/>
          <w:lang w:val="ro-RO"/>
        </w:rPr>
        <w:t>trunchi de linii închiriate, indiferent de tehnologia utilizată pentru punerea la dispoziţie de capacitate închiriată sau rezervată</w:t>
      </w:r>
    </w:p>
    <w:p w:rsidR="000C42D5" w:rsidRPr="00653DB5" w:rsidRDefault="000C42D5" w:rsidP="000C42D5">
      <w:pPr>
        <w:pStyle w:val="Subtitle1"/>
        <w:tabs>
          <w:tab w:val="left" w:pos="1080"/>
        </w:tabs>
        <w:jc w:val="center"/>
        <w:rPr>
          <w:rFonts w:ascii="Times New Roman" w:hAnsi="Times New Roman"/>
          <w:color w:val="000000" w:themeColor="text1"/>
          <w:sz w:val="26"/>
          <w:szCs w:val="26"/>
          <w:lang w:val="ro-RO"/>
        </w:rPr>
      </w:pPr>
      <w:r w:rsidRPr="00653DB5">
        <w:rPr>
          <w:rFonts w:ascii="Times New Roman" w:hAnsi="Times New Roman"/>
          <w:color w:val="000000" w:themeColor="text1"/>
          <w:sz w:val="26"/>
          <w:szCs w:val="26"/>
          <w:lang w:val="ro-RO"/>
        </w:rPr>
        <w:t>Itera</w:t>
      </w:r>
      <w:r w:rsidR="006F522B" w:rsidRPr="00653DB5">
        <w:rPr>
          <w:rFonts w:ascii="Times New Roman" w:hAnsi="Times New Roman"/>
          <w:color w:val="000000" w:themeColor="text1"/>
          <w:sz w:val="26"/>
          <w:szCs w:val="26"/>
          <w:lang w:val="ro-RO"/>
        </w:rPr>
        <w:t>ţia I</w:t>
      </w:r>
      <w:r w:rsidR="004326CB" w:rsidRPr="00653DB5">
        <w:rPr>
          <w:rFonts w:ascii="Times New Roman" w:hAnsi="Times New Roman"/>
          <w:color w:val="000000" w:themeColor="text1"/>
          <w:sz w:val="26"/>
          <w:szCs w:val="26"/>
          <w:lang w:val="ro-RO"/>
        </w:rPr>
        <w:t>V</w:t>
      </w:r>
      <w:r w:rsidR="00176286" w:rsidRPr="00653DB5">
        <w:rPr>
          <w:rFonts w:ascii="Times New Roman" w:hAnsi="Times New Roman"/>
          <w:color w:val="000000" w:themeColor="text1"/>
          <w:sz w:val="26"/>
          <w:szCs w:val="26"/>
          <w:lang w:val="ro-RO"/>
        </w:rPr>
        <w:t xml:space="preserve"> (2017)</w:t>
      </w:r>
    </w:p>
    <w:p w:rsidR="000C42D5" w:rsidRPr="00653DB5" w:rsidRDefault="000C42D5" w:rsidP="000C42D5">
      <w:pPr>
        <w:pStyle w:val="Subtitle1"/>
        <w:tabs>
          <w:tab w:val="left" w:pos="1080"/>
        </w:tabs>
        <w:jc w:val="center"/>
        <w:rPr>
          <w:rFonts w:ascii="Times New Roman" w:hAnsi="Times New Roman"/>
          <w:color w:val="000000" w:themeColor="text1"/>
          <w:sz w:val="26"/>
          <w:szCs w:val="26"/>
          <w:lang w:val="ro-RO"/>
        </w:rPr>
      </w:pPr>
      <w:r w:rsidRPr="00653DB5">
        <w:rPr>
          <w:rFonts w:ascii="Times New Roman" w:hAnsi="Times New Roman"/>
          <w:color w:val="000000" w:themeColor="text1"/>
          <w:sz w:val="26"/>
          <w:szCs w:val="26"/>
          <w:lang w:val="ro-RO"/>
        </w:rPr>
        <w:t xml:space="preserve"> </w:t>
      </w:r>
    </w:p>
    <w:p w:rsidR="00CC43B0" w:rsidRPr="00653DB5" w:rsidRDefault="00CC43B0" w:rsidP="000C42D5">
      <w:pPr>
        <w:pStyle w:val="Subtitle1"/>
        <w:tabs>
          <w:tab w:val="left" w:pos="1080"/>
        </w:tabs>
        <w:jc w:val="center"/>
        <w:rPr>
          <w:rFonts w:ascii="Times New Roman" w:hAnsi="Times New Roman"/>
          <w:color w:val="000000" w:themeColor="text1"/>
          <w:sz w:val="26"/>
          <w:szCs w:val="26"/>
          <w:lang w:val="ro-RO"/>
        </w:rPr>
      </w:pPr>
    </w:p>
    <w:p w:rsidR="00F82432" w:rsidRPr="00653DB5" w:rsidRDefault="00F82432" w:rsidP="00CC43B0">
      <w:pPr>
        <w:pStyle w:val="Subtitle1"/>
        <w:tabs>
          <w:tab w:val="left" w:pos="1080"/>
        </w:tabs>
        <w:jc w:val="both"/>
        <w:rPr>
          <w:rFonts w:ascii="Times New Roman" w:hAnsi="Times New Roman"/>
          <w:color w:val="000000" w:themeColor="text1"/>
          <w:sz w:val="26"/>
          <w:szCs w:val="26"/>
          <w:lang w:val="ro-RO"/>
        </w:rPr>
      </w:pPr>
    </w:p>
    <w:p w:rsidR="00F82432" w:rsidRPr="00653DB5" w:rsidRDefault="00F82432" w:rsidP="00CC43B0">
      <w:pPr>
        <w:pStyle w:val="Subtitle1"/>
        <w:tabs>
          <w:tab w:val="left" w:pos="1080"/>
        </w:tabs>
        <w:jc w:val="both"/>
        <w:rPr>
          <w:rFonts w:ascii="Times New Roman" w:hAnsi="Times New Roman"/>
          <w:color w:val="000000" w:themeColor="text1"/>
          <w:sz w:val="26"/>
          <w:szCs w:val="26"/>
          <w:lang w:val="ro-RO"/>
        </w:rPr>
      </w:pPr>
    </w:p>
    <w:p w:rsidR="00B77DC3" w:rsidRPr="00653DB5" w:rsidRDefault="00B77DC3" w:rsidP="00CC43B0">
      <w:pPr>
        <w:pStyle w:val="Subtitle1"/>
        <w:tabs>
          <w:tab w:val="left" w:pos="1080"/>
        </w:tabs>
        <w:jc w:val="both"/>
        <w:rPr>
          <w:rFonts w:ascii="Times New Roman" w:hAnsi="Times New Roman"/>
          <w:color w:val="000000" w:themeColor="text1"/>
          <w:sz w:val="26"/>
          <w:szCs w:val="26"/>
          <w:lang w:val="ro-RO"/>
        </w:rPr>
      </w:pPr>
    </w:p>
    <w:p w:rsidR="00527E56" w:rsidRPr="00653DB5" w:rsidRDefault="00527E56" w:rsidP="00CC43B0">
      <w:pPr>
        <w:pStyle w:val="Subtitle1"/>
        <w:tabs>
          <w:tab w:val="left" w:pos="1080"/>
        </w:tabs>
        <w:jc w:val="both"/>
        <w:rPr>
          <w:rFonts w:ascii="Times New Roman" w:hAnsi="Times New Roman"/>
          <w:color w:val="000000" w:themeColor="text1"/>
          <w:sz w:val="26"/>
          <w:szCs w:val="26"/>
          <w:lang w:val="ro-RO"/>
        </w:rPr>
      </w:pPr>
    </w:p>
    <w:p w:rsidR="00176286" w:rsidRPr="00653DB5" w:rsidRDefault="00176286" w:rsidP="00CC43B0">
      <w:pPr>
        <w:pStyle w:val="Subtitle1"/>
        <w:tabs>
          <w:tab w:val="left" w:pos="1080"/>
        </w:tabs>
        <w:jc w:val="both"/>
        <w:rPr>
          <w:rFonts w:ascii="Times New Roman" w:hAnsi="Times New Roman"/>
          <w:color w:val="000000" w:themeColor="text1"/>
          <w:sz w:val="26"/>
          <w:szCs w:val="26"/>
          <w:lang w:val="ro-RO"/>
        </w:rPr>
      </w:pPr>
    </w:p>
    <w:p w:rsidR="00527E56" w:rsidRPr="00653DB5" w:rsidRDefault="00527E56" w:rsidP="00CC43B0">
      <w:pPr>
        <w:pStyle w:val="Subtitle1"/>
        <w:tabs>
          <w:tab w:val="left" w:pos="1080"/>
        </w:tabs>
        <w:jc w:val="both"/>
        <w:rPr>
          <w:rFonts w:ascii="Times New Roman" w:hAnsi="Times New Roman"/>
          <w:color w:val="000000" w:themeColor="text1"/>
          <w:sz w:val="26"/>
          <w:szCs w:val="26"/>
          <w:lang w:val="ro-RO"/>
        </w:rPr>
      </w:pPr>
    </w:p>
    <w:p w:rsidR="00CC43B0" w:rsidRPr="00653DB5" w:rsidRDefault="00CC43B0" w:rsidP="00CC43B0">
      <w:pPr>
        <w:pStyle w:val="Subtitle1"/>
        <w:tabs>
          <w:tab w:val="left" w:pos="1080"/>
        </w:tabs>
        <w:jc w:val="both"/>
        <w:rPr>
          <w:rFonts w:ascii="Times New Roman" w:hAnsi="Times New Roman"/>
          <w:color w:val="000000" w:themeColor="text1"/>
          <w:sz w:val="26"/>
          <w:szCs w:val="26"/>
          <w:lang w:val="ro-RO"/>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85"/>
      </w:tblGrid>
      <w:tr w:rsidR="00B73B3C" w:rsidRPr="00653DB5" w:rsidTr="00213DF2">
        <w:trPr>
          <w:trHeight w:val="645"/>
          <w:jc w:val="center"/>
        </w:trPr>
        <w:tc>
          <w:tcPr>
            <w:tcW w:w="4644" w:type="dxa"/>
          </w:tcPr>
          <w:p w:rsidR="00CC43B0" w:rsidRPr="00653DB5" w:rsidRDefault="00CC43B0" w:rsidP="004C7ECF">
            <w:pPr>
              <w:pStyle w:val="Subtitle1"/>
              <w:tabs>
                <w:tab w:val="left" w:pos="1080"/>
              </w:tabs>
              <w:jc w:val="both"/>
              <w:rPr>
                <w:rFonts w:ascii="Times New Roman" w:hAnsi="Times New Roman"/>
                <w:color w:val="000000" w:themeColor="text1"/>
                <w:sz w:val="26"/>
                <w:szCs w:val="26"/>
                <w:lang w:val="ro-RO"/>
              </w:rPr>
            </w:pPr>
            <w:r w:rsidRPr="00653DB5">
              <w:rPr>
                <w:rFonts w:ascii="Times New Roman" w:hAnsi="Times New Roman"/>
                <w:color w:val="000000" w:themeColor="text1"/>
                <w:sz w:val="26"/>
                <w:szCs w:val="26"/>
                <w:lang w:val="ro-RO"/>
              </w:rPr>
              <w:t>Starea documentului:</w:t>
            </w:r>
          </w:p>
        </w:tc>
        <w:tc>
          <w:tcPr>
            <w:tcW w:w="4685" w:type="dxa"/>
          </w:tcPr>
          <w:p w:rsidR="00CC43B0" w:rsidRPr="00653DB5" w:rsidRDefault="00176286" w:rsidP="004C7ECF">
            <w:pPr>
              <w:pStyle w:val="Subtitle1"/>
              <w:tabs>
                <w:tab w:val="left" w:pos="1080"/>
              </w:tabs>
              <w:jc w:val="both"/>
              <w:rPr>
                <w:rFonts w:ascii="Times New Roman" w:hAnsi="Times New Roman"/>
                <w:color w:val="000000" w:themeColor="text1"/>
                <w:sz w:val="26"/>
                <w:szCs w:val="26"/>
                <w:lang w:val="ro-RO"/>
              </w:rPr>
            </w:pPr>
            <w:r w:rsidRPr="00653DB5">
              <w:rPr>
                <w:rFonts w:ascii="Times New Roman" w:hAnsi="Times New Roman"/>
                <w:color w:val="000000" w:themeColor="text1"/>
                <w:sz w:val="26"/>
                <w:szCs w:val="26"/>
                <w:lang w:val="ro-RO"/>
              </w:rPr>
              <w:t>Final</w:t>
            </w:r>
          </w:p>
        </w:tc>
      </w:tr>
      <w:tr w:rsidR="00B73B3C" w:rsidRPr="00653DB5" w:rsidTr="00213DF2">
        <w:trPr>
          <w:trHeight w:val="597"/>
          <w:jc w:val="center"/>
        </w:trPr>
        <w:tc>
          <w:tcPr>
            <w:tcW w:w="4644" w:type="dxa"/>
          </w:tcPr>
          <w:p w:rsidR="00CC43B0" w:rsidRPr="00653DB5" w:rsidRDefault="00176286" w:rsidP="00176286">
            <w:pPr>
              <w:pStyle w:val="Subtitle1"/>
              <w:tabs>
                <w:tab w:val="left" w:pos="1080"/>
              </w:tabs>
              <w:jc w:val="both"/>
              <w:rPr>
                <w:rFonts w:ascii="Times New Roman" w:hAnsi="Times New Roman"/>
                <w:color w:val="000000" w:themeColor="text1"/>
                <w:sz w:val="26"/>
                <w:szCs w:val="26"/>
                <w:lang w:val="ro-RO"/>
              </w:rPr>
            </w:pPr>
            <w:r w:rsidRPr="00653DB5">
              <w:rPr>
                <w:rFonts w:ascii="Times New Roman" w:hAnsi="Times New Roman"/>
                <w:color w:val="000000" w:themeColor="text1"/>
                <w:sz w:val="26"/>
                <w:szCs w:val="26"/>
                <w:lang w:val="ro-RO"/>
              </w:rPr>
              <w:t>Data publicării</w:t>
            </w:r>
            <w:r w:rsidR="00CC43B0" w:rsidRPr="00653DB5">
              <w:rPr>
                <w:rFonts w:ascii="Times New Roman" w:hAnsi="Times New Roman"/>
                <w:color w:val="000000" w:themeColor="text1"/>
                <w:sz w:val="26"/>
                <w:szCs w:val="26"/>
                <w:lang w:val="ro-RO"/>
              </w:rPr>
              <w:t>:</w:t>
            </w:r>
          </w:p>
        </w:tc>
        <w:tc>
          <w:tcPr>
            <w:tcW w:w="4685" w:type="dxa"/>
          </w:tcPr>
          <w:p w:rsidR="00CC43B0" w:rsidRPr="00653DB5" w:rsidRDefault="004026FA" w:rsidP="00F86170">
            <w:pPr>
              <w:pStyle w:val="Subtitle1"/>
              <w:tabs>
                <w:tab w:val="left" w:pos="1080"/>
              </w:tabs>
              <w:jc w:val="both"/>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21</w:t>
            </w:r>
            <w:r w:rsidR="00996D1F">
              <w:rPr>
                <w:rFonts w:ascii="Times New Roman" w:hAnsi="Times New Roman"/>
                <w:color w:val="000000" w:themeColor="text1"/>
                <w:sz w:val="26"/>
                <w:szCs w:val="26"/>
                <w:lang w:val="ro-RO"/>
              </w:rPr>
              <w:t>.</w:t>
            </w:r>
            <w:r w:rsidR="00F86170">
              <w:rPr>
                <w:rFonts w:ascii="Times New Roman" w:hAnsi="Times New Roman"/>
                <w:color w:val="000000" w:themeColor="text1"/>
                <w:sz w:val="26"/>
                <w:szCs w:val="26"/>
                <w:lang w:val="ro-RO"/>
              </w:rPr>
              <w:t>08</w:t>
            </w:r>
            <w:r w:rsidR="00996D1F">
              <w:rPr>
                <w:rFonts w:ascii="Times New Roman" w:hAnsi="Times New Roman"/>
                <w:color w:val="000000" w:themeColor="text1"/>
                <w:sz w:val="26"/>
                <w:szCs w:val="26"/>
                <w:lang w:val="ro-RO"/>
              </w:rPr>
              <w:t>.2017</w:t>
            </w:r>
          </w:p>
        </w:tc>
      </w:tr>
    </w:tbl>
    <w:p w:rsidR="000C42D5" w:rsidRPr="00653DB5" w:rsidRDefault="000C42D5" w:rsidP="000C42D5">
      <w:pPr>
        <w:rPr>
          <w:rFonts w:ascii="Times New Roman" w:hAnsi="Times New Roman" w:cs="Times New Roman"/>
          <w:color w:val="000000" w:themeColor="text1"/>
          <w:sz w:val="26"/>
          <w:szCs w:val="26"/>
        </w:rPr>
      </w:pPr>
      <w:bookmarkStart w:id="1" w:name="bookmark8"/>
      <w:bookmarkStart w:id="2" w:name="_Toc368666547"/>
    </w:p>
    <w:bookmarkStart w:id="3" w:name="_Toc422318604" w:displacedByCustomXml="next"/>
    <w:bookmarkStart w:id="4" w:name="_Toc422317008" w:displacedByCustomXml="next"/>
    <w:sdt>
      <w:sdtPr>
        <w:rPr>
          <w:rFonts w:ascii="Times New Roman" w:eastAsia="Courier New" w:hAnsi="Times New Roman" w:cs="Times New Roman"/>
          <w:b w:val="0"/>
          <w:bCs w:val="0"/>
          <w:color w:val="000000"/>
          <w:sz w:val="26"/>
          <w:szCs w:val="26"/>
          <w:lang w:val="ro-RO" w:eastAsia="en-US"/>
        </w:rPr>
        <w:id w:val="860855722"/>
        <w:docPartObj>
          <w:docPartGallery w:val="Table of Contents"/>
          <w:docPartUnique/>
        </w:docPartObj>
      </w:sdtPr>
      <w:sdtEndPr>
        <w:rPr>
          <w:rFonts w:eastAsia="Times New Roman"/>
          <w:b/>
          <w:bCs/>
          <w:sz w:val="27"/>
          <w:szCs w:val="27"/>
        </w:rPr>
      </w:sdtEndPr>
      <w:sdtContent>
        <w:p w:rsidR="00176286" w:rsidRPr="00653DB5" w:rsidRDefault="00176286" w:rsidP="00BD0B33">
          <w:pPr>
            <w:pStyle w:val="TOCHeading"/>
            <w:jc w:val="center"/>
            <w:rPr>
              <w:rFonts w:ascii="Times New Roman" w:eastAsia="Courier New" w:hAnsi="Times New Roman" w:cs="Times New Roman"/>
              <w:b w:val="0"/>
              <w:bCs w:val="0"/>
              <w:color w:val="000000"/>
              <w:sz w:val="26"/>
              <w:szCs w:val="26"/>
              <w:lang w:val="ro-RO" w:eastAsia="en-US"/>
            </w:rPr>
          </w:pPr>
        </w:p>
        <w:p w:rsidR="00BD0B33" w:rsidRPr="00653DB5" w:rsidRDefault="00BD0B33" w:rsidP="00BD0B33">
          <w:pPr>
            <w:pStyle w:val="TOCHeading"/>
            <w:jc w:val="center"/>
            <w:rPr>
              <w:rFonts w:ascii="Times New Roman" w:hAnsi="Times New Roman" w:cs="Times New Roman"/>
              <w:color w:val="000000" w:themeColor="text1"/>
              <w:sz w:val="26"/>
              <w:szCs w:val="26"/>
              <w:lang w:val="ro-RO"/>
            </w:rPr>
          </w:pPr>
          <w:r w:rsidRPr="00653DB5">
            <w:rPr>
              <w:rFonts w:ascii="Times New Roman" w:hAnsi="Times New Roman" w:cs="Times New Roman"/>
              <w:color w:val="000000" w:themeColor="text1"/>
              <w:sz w:val="26"/>
              <w:szCs w:val="26"/>
              <w:lang w:val="ro-RO"/>
            </w:rPr>
            <w:t>Cuprins</w:t>
          </w:r>
        </w:p>
        <w:p w:rsidR="005A122B" w:rsidRPr="00653DB5" w:rsidRDefault="00BD0B33" w:rsidP="00047108">
          <w:pPr>
            <w:pStyle w:val="TOC2"/>
            <w:rPr>
              <w:rStyle w:val="Hyperlink"/>
              <w:rFonts w:eastAsia="Tahoma"/>
              <w:noProof/>
            </w:rPr>
          </w:pPr>
          <w:r w:rsidRPr="00653DB5">
            <w:rPr>
              <w:rStyle w:val="Hyperlink"/>
              <w:rFonts w:eastAsia="Tahoma"/>
              <w:noProof/>
            </w:rPr>
            <w:fldChar w:fldCharType="begin"/>
          </w:r>
          <w:r w:rsidRPr="00653DB5">
            <w:rPr>
              <w:rStyle w:val="Hyperlink"/>
              <w:rFonts w:eastAsia="Tahoma"/>
              <w:noProof/>
            </w:rPr>
            <w:instrText xml:space="preserve"> TOC \o "1-3" \h \z \u </w:instrText>
          </w:r>
          <w:r w:rsidRPr="00653DB5">
            <w:rPr>
              <w:rStyle w:val="Hyperlink"/>
              <w:rFonts w:eastAsia="Tahoma"/>
              <w:noProof/>
            </w:rPr>
            <w:fldChar w:fldCharType="separate"/>
          </w:r>
          <w:hyperlink w:anchor="_Toc485634390" w:history="1">
            <w:r w:rsidR="005A122B" w:rsidRPr="00653DB5">
              <w:rPr>
                <w:rStyle w:val="Hyperlink"/>
                <w:rFonts w:eastAsia="Tahoma"/>
                <w:noProof/>
              </w:rPr>
              <w:t>1.</w:t>
            </w:r>
            <w:r w:rsidR="005A122B" w:rsidRPr="00653DB5">
              <w:rPr>
                <w:rStyle w:val="Hyperlink"/>
                <w:rFonts w:eastAsia="Tahoma"/>
                <w:noProof/>
              </w:rPr>
              <w:tab/>
              <w:t>Introducere</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_Toc485634390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3</w:t>
            </w:r>
            <w:r w:rsidR="005A122B" w:rsidRPr="00653DB5">
              <w:rPr>
                <w:rStyle w:val="Hyperlink"/>
                <w:rFonts w:eastAsia="Tahoma"/>
                <w:noProof/>
                <w:webHidden/>
              </w:rPr>
              <w:fldChar w:fldCharType="end"/>
            </w:r>
          </w:hyperlink>
        </w:p>
        <w:p w:rsidR="005A122B" w:rsidRPr="00653DB5" w:rsidRDefault="0081121F" w:rsidP="00047108">
          <w:pPr>
            <w:pStyle w:val="TOC2"/>
            <w:rPr>
              <w:rStyle w:val="Hyperlink"/>
              <w:rFonts w:eastAsia="Tahoma"/>
              <w:noProof/>
            </w:rPr>
          </w:pPr>
          <w:hyperlink w:anchor="_Toc485634391" w:history="1">
            <w:r w:rsidR="005A122B" w:rsidRPr="00653DB5">
              <w:rPr>
                <w:rStyle w:val="Hyperlink"/>
                <w:rFonts w:eastAsia="Tahoma"/>
                <w:noProof/>
              </w:rPr>
              <w:t>2.</w:t>
            </w:r>
            <w:r w:rsidR="005A122B" w:rsidRPr="00653DB5">
              <w:rPr>
                <w:rStyle w:val="Hyperlink"/>
                <w:rFonts w:eastAsia="Tahoma"/>
                <w:noProof/>
              </w:rPr>
              <w:tab/>
              <w:t>Identificarea pieţei de furnizare cu ridicata a unor segmente-trunchi de linii închiriate, indiferent de tehnologia utilizată pentru punerea la dispoziţie de capacitate închiriată sau rezervată</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_Toc485634391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6</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709"/>
            </w:tabs>
            <w:ind w:firstLine="284"/>
            <w:rPr>
              <w:rStyle w:val="Hyperlink"/>
              <w:rFonts w:eastAsia="Tahoma"/>
              <w:noProof/>
            </w:rPr>
          </w:pPr>
          <w:hyperlink w:anchor="_Toc485634392" w:history="1">
            <w:r w:rsidR="005A122B" w:rsidRPr="00653DB5">
              <w:rPr>
                <w:rStyle w:val="Hyperlink"/>
                <w:rFonts w:eastAsia="Tahoma"/>
                <w:noProof/>
              </w:rPr>
              <w:t>2.1.</w:t>
            </w:r>
            <w:r w:rsidR="005A122B" w:rsidRPr="00653DB5">
              <w:rPr>
                <w:rStyle w:val="Hyperlink"/>
                <w:rFonts w:eastAsia="Tahoma"/>
                <w:noProof/>
              </w:rPr>
              <w:tab/>
              <w:t>Testul Monopolistului Ipotetic (TMI)</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_Toc485634392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6</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709"/>
            </w:tabs>
            <w:ind w:firstLine="284"/>
            <w:rPr>
              <w:rStyle w:val="Hyperlink"/>
              <w:rFonts w:eastAsia="Tahoma"/>
              <w:noProof/>
            </w:rPr>
          </w:pPr>
          <w:hyperlink w:anchor="_Toc485634393" w:history="1">
            <w:r w:rsidR="005A122B" w:rsidRPr="00653DB5">
              <w:rPr>
                <w:rStyle w:val="Hyperlink"/>
                <w:rFonts w:eastAsia="Tahoma"/>
                <w:noProof/>
              </w:rPr>
              <w:t>2.2.</w:t>
            </w:r>
            <w:r w:rsidR="005A122B" w:rsidRPr="00653DB5">
              <w:rPr>
                <w:rStyle w:val="Hyperlink"/>
                <w:rFonts w:eastAsia="Tahoma"/>
                <w:noProof/>
              </w:rPr>
              <w:tab/>
              <w:t>Testul celor trei criterii</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_Toc485634393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6</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709"/>
            </w:tabs>
            <w:ind w:firstLine="284"/>
            <w:rPr>
              <w:rStyle w:val="Hyperlink"/>
              <w:rFonts w:eastAsia="Tahoma"/>
              <w:noProof/>
            </w:rPr>
          </w:pPr>
          <w:hyperlink w:anchor="_Toc485634394" w:history="1">
            <w:r w:rsidR="005A122B" w:rsidRPr="00653DB5">
              <w:rPr>
                <w:rStyle w:val="Hyperlink"/>
                <w:rFonts w:eastAsia="Tahoma"/>
                <w:noProof/>
              </w:rPr>
              <w:t>2.3.</w:t>
            </w:r>
            <w:r w:rsidR="005A122B" w:rsidRPr="00653DB5">
              <w:rPr>
                <w:rStyle w:val="Hyperlink"/>
                <w:rFonts w:eastAsia="Tahoma"/>
                <w:noProof/>
              </w:rPr>
              <w:tab/>
              <w:t>Definirea pieţei produsului</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_Toc485634394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7</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709"/>
            </w:tabs>
            <w:ind w:firstLine="284"/>
            <w:rPr>
              <w:rStyle w:val="Hyperlink"/>
              <w:rFonts w:eastAsia="Tahoma"/>
              <w:noProof/>
            </w:rPr>
          </w:pPr>
          <w:hyperlink w:anchor="_Toc485634395" w:history="1">
            <w:r w:rsidR="005A122B" w:rsidRPr="00653DB5">
              <w:rPr>
                <w:rStyle w:val="Hyperlink"/>
                <w:rFonts w:eastAsia="Tahoma"/>
                <w:noProof/>
              </w:rPr>
              <w:t>2.4.</w:t>
            </w:r>
            <w:r w:rsidR="005A122B" w:rsidRPr="00653DB5">
              <w:rPr>
                <w:rStyle w:val="Hyperlink"/>
                <w:rFonts w:eastAsia="Tahoma"/>
                <w:noProof/>
              </w:rPr>
              <w:tab/>
              <w:t>Piaţa relevantă a produsului</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_Toc485634395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9</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1418"/>
            </w:tabs>
            <w:ind w:left="709"/>
            <w:rPr>
              <w:rStyle w:val="Hyperlink"/>
              <w:rFonts w:eastAsia="Tahoma"/>
              <w:noProof/>
            </w:rPr>
          </w:pPr>
          <w:hyperlink w:anchor="_Toc485634396" w:history="1">
            <w:r w:rsidR="005A122B" w:rsidRPr="00653DB5">
              <w:rPr>
                <w:rStyle w:val="Hyperlink"/>
                <w:rFonts w:eastAsia="Tahoma"/>
                <w:noProof/>
              </w:rPr>
              <w:t>2.4.1</w:t>
            </w:r>
            <w:r w:rsidR="005A122B" w:rsidRPr="00653DB5">
              <w:rPr>
                <w:rStyle w:val="Hyperlink"/>
                <w:rFonts w:eastAsia="Tahoma"/>
                <w:noProof/>
              </w:rPr>
              <w:tab/>
              <w:t>Produsul focal</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_Toc485634396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9</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1418"/>
            </w:tabs>
            <w:ind w:left="709"/>
            <w:rPr>
              <w:rStyle w:val="Hyperlink"/>
              <w:rFonts w:eastAsia="Tahoma"/>
              <w:noProof/>
            </w:rPr>
          </w:pPr>
          <w:hyperlink w:anchor="_Toc485634397" w:history="1">
            <w:r w:rsidR="005A122B" w:rsidRPr="00653DB5">
              <w:rPr>
                <w:rStyle w:val="Hyperlink"/>
                <w:rFonts w:eastAsia="Tahoma"/>
                <w:noProof/>
              </w:rPr>
              <w:t>2.4.2</w:t>
            </w:r>
            <w:r w:rsidR="005A122B" w:rsidRPr="00653DB5">
              <w:rPr>
                <w:rStyle w:val="Hyperlink"/>
                <w:rFonts w:eastAsia="Tahoma"/>
                <w:noProof/>
              </w:rPr>
              <w:tab/>
              <w:t>Lista substituenţilor produsului focal</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_Toc485634397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9</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1418"/>
            </w:tabs>
            <w:ind w:left="709"/>
            <w:rPr>
              <w:rStyle w:val="Hyperlink"/>
              <w:rFonts w:eastAsia="Tahoma"/>
              <w:noProof/>
            </w:rPr>
          </w:pPr>
          <w:hyperlink w:anchor="_Toc485634398" w:history="1">
            <w:r w:rsidR="005A122B" w:rsidRPr="00653DB5">
              <w:rPr>
                <w:rStyle w:val="Hyperlink"/>
                <w:rFonts w:eastAsia="Tahoma"/>
                <w:noProof/>
              </w:rPr>
              <w:t>2.4.2.1 Substituibilitatea ofertei cu ridicata</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_Toc485634398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10</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1418"/>
            </w:tabs>
            <w:ind w:left="709"/>
            <w:rPr>
              <w:rStyle w:val="Hyperlink"/>
              <w:rFonts w:eastAsia="Tahoma"/>
              <w:noProof/>
            </w:rPr>
          </w:pPr>
          <w:hyperlink w:anchor="_Toc485634399" w:history="1">
            <w:r w:rsidR="005A122B" w:rsidRPr="00653DB5">
              <w:rPr>
                <w:rStyle w:val="Hyperlink"/>
                <w:rFonts w:eastAsia="Tahoma"/>
                <w:noProof/>
              </w:rPr>
              <w:t>2.4.2.2 Substituibilitatea cererii cu ridicata</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_Toc485634399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12</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1418"/>
            </w:tabs>
            <w:ind w:left="709"/>
            <w:rPr>
              <w:rStyle w:val="Hyperlink"/>
              <w:rFonts w:eastAsia="Tahoma"/>
              <w:noProof/>
            </w:rPr>
          </w:pPr>
          <w:hyperlink w:anchor="_Toc485634400" w:history="1">
            <w:r w:rsidR="005A122B" w:rsidRPr="00653DB5">
              <w:rPr>
                <w:rStyle w:val="Hyperlink"/>
                <w:rFonts w:eastAsia="Tahoma"/>
                <w:noProof/>
              </w:rPr>
              <w:t>2.4.3</w:t>
            </w:r>
            <w:r w:rsidR="005A122B" w:rsidRPr="00653DB5">
              <w:rPr>
                <w:rStyle w:val="Hyperlink"/>
                <w:rFonts w:eastAsia="Tahoma"/>
                <w:noProof/>
              </w:rPr>
              <w:tab/>
              <w:t>Sumarul analizei pieţei produsului</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_Toc485634400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14</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709"/>
            </w:tabs>
            <w:ind w:firstLine="284"/>
            <w:rPr>
              <w:rStyle w:val="Hyperlink"/>
              <w:rFonts w:eastAsia="Tahoma"/>
              <w:noProof/>
            </w:rPr>
          </w:pPr>
          <w:hyperlink w:anchor="_Toc485634402" w:history="1">
            <w:r w:rsidR="005A122B" w:rsidRPr="00653DB5">
              <w:rPr>
                <w:rStyle w:val="Hyperlink"/>
                <w:rFonts w:eastAsia="Tahoma"/>
                <w:noProof/>
              </w:rPr>
              <w:t>2.5</w:t>
            </w:r>
            <w:r w:rsidR="005A122B" w:rsidRPr="00653DB5">
              <w:rPr>
                <w:rStyle w:val="Hyperlink"/>
                <w:rFonts w:eastAsia="Tahoma"/>
                <w:noProof/>
              </w:rPr>
              <w:tab/>
              <w:t>Piaţa geografică</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_Toc485634402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14</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709"/>
            </w:tabs>
            <w:ind w:firstLine="284"/>
            <w:rPr>
              <w:rStyle w:val="Hyperlink"/>
              <w:rFonts w:eastAsia="Tahoma"/>
              <w:noProof/>
            </w:rPr>
          </w:pPr>
          <w:hyperlink w:anchor="_Toc485634403" w:history="1">
            <w:r w:rsidR="005A122B" w:rsidRPr="00653DB5">
              <w:rPr>
                <w:rStyle w:val="Hyperlink"/>
                <w:rFonts w:eastAsia="Tahoma"/>
                <w:noProof/>
              </w:rPr>
              <w:t>2.6</w:t>
            </w:r>
            <w:r w:rsidR="005A122B" w:rsidRPr="00653DB5">
              <w:rPr>
                <w:rStyle w:val="Hyperlink"/>
                <w:rFonts w:eastAsia="Tahoma"/>
                <w:noProof/>
              </w:rPr>
              <w:tab/>
              <w:t>Aplicarea testului celor trei criterii</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_Toc485634403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15</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1418"/>
            </w:tabs>
            <w:ind w:left="709"/>
            <w:rPr>
              <w:rStyle w:val="Hyperlink"/>
              <w:rFonts w:eastAsia="Tahoma"/>
              <w:noProof/>
            </w:rPr>
          </w:pPr>
          <w:hyperlink w:anchor="_Toc485634404" w:history="1">
            <w:r w:rsidR="005A122B" w:rsidRPr="00653DB5">
              <w:rPr>
                <w:rStyle w:val="Hyperlink"/>
                <w:rFonts w:eastAsia="Tahoma"/>
                <w:noProof/>
              </w:rPr>
              <w:t>2.6.1</w:t>
            </w:r>
            <w:r w:rsidR="005A122B" w:rsidRPr="00653DB5">
              <w:rPr>
                <w:rStyle w:val="Hyperlink"/>
                <w:rFonts w:eastAsia="Tahoma"/>
                <w:noProof/>
              </w:rPr>
              <w:tab/>
              <w:t>Barierele de intrare şi ieşire</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_Toc485634404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15</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1418"/>
            </w:tabs>
            <w:ind w:left="709"/>
            <w:rPr>
              <w:rStyle w:val="Hyperlink"/>
              <w:rFonts w:eastAsia="Tahoma"/>
              <w:noProof/>
            </w:rPr>
          </w:pPr>
          <w:hyperlink w:anchor="_Toc485634405" w:history="1">
            <w:r w:rsidR="005A122B" w:rsidRPr="00653DB5">
              <w:rPr>
                <w:rStyle w:val="Hyperlink"/>
                <w:rFonts w:eastAsia="Tahoma"/>
                <w:noProof/>
              </w:rPr>
              <w:t>2.6.2</w:t>
            </w:r>
            <w:r w:rsidR="005A122B" w:rsidRPr="00653DB5">
              <w:rPr>
                <w:rStyle w:val="Hyperlink"/>
                <w:rFonts w:eastAsia="Tahoma"/>
                <w:noProof/>
              </w:rPr>
              <w:tab/>
              <w:t>Tendinţe spre o concurenţă efectivă</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_Toc485634405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18</w:t>
            </w:r>
            <w:r w:rsidR="005A122B" w:rsidRPr="00653DB5">
              <w:rPr>
                <w:rStyle w:val="Hyperlink"/>
                <w:rFonts w:eastAsia="Tahoma"/>
                <w:noProof/>
                <w:webHidden/>
              </w:rPr>
              <w:fldChar w:fldCharType="end"/>
            </w:r>
          </w:hyperlink>
        </w:p>
        <w:p w:rsidR="005A122B" w:rsidRPr="00653DB5" w:rsidRDefault="0081121F" w:rsidP="00047108">
          <w:pPr>
            <w:pStyle w:val="TOC2"/>
            <w:tabs>
              <w:tab w:val="clear" w:pos="426"/>
              <w:tab w:val="left" w:pos="709"/>
            </w:tabs>
            <w:ind w:firstLine="284"/>
            <w:rPr>
              <w:rStyle w:val="Hyperlink"/>
              <w:rFonts w:eastAsia="Tahoma"/>
              <w:noProof/>
            </w:rPr>
          </w:pPr>
          <w:hyperlink w:anchor="_Toc485634406" w:history="1">
            <w:r w:rsidR="005A122B" w:rsidRPr="00653DB5">
              <w:rPr>
                <w:rStyle w:val="Hyperlink"/>
                <w:rFonts w:eastAsia="Tahoma"/>
                <w:noProof/>
              </w:rPr>
              <w:t>2.7</w:t>
            </w:r>
            <w:r w:rsidR="005A122B" w:rsidRPr="00653DB5">
              <w:rPr>
                <w:rStyle w:val="Hyperlink"/>
                <w:rFonts w:eastAsia="Tahoma"/>
                <w:noProof/>
              </w:rPr>
              <w:tab/>
              <w:t>Concluzii privind identificarea pieței relevante</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_Toc485634406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21</w:t>
            </w:r>
            <w:r w:rsidR="005A122B" w:rsidRPr="00653DB5">
              <w:rPr>
                <w:rStyle w:val="Hyperlink"/>
                <w:rFonts w:eastAsia="Tahoma"/>
                <w:noProof/>
                <w:webHidden/>
              </w:rPr>
              <w:fldChar w:fldCharType="end"/>
            </w:r>
          </w:hyperlink>
        </w:p>
        <w:p w:rsidR="005A122B" w:rsidRPr="00653DB5" w:rsidRDefault="0081121F" w:rsidP="00047108">
          <w:pPr>
            <w:pStyle w:val="TOC2"/>
            <w:rPr>
              <w:rStyle w:val="Hyperlink"/>
              <w:rFonts w:eastAsia="Tahoma"/>
              <w:noProof/>
            </w:rPr>
          </w:pPr>
          <w:hyperlink w:anchor="_Toc485634408" w:history="1">
            <w:r w:rsidR="005A122B" w:rsidRPr="00653DB5">
              <w:rPr>
                <w:rStyle w:val="Hyperlink"/>
                <w:rFonts w:eastAsia="Tahoma"/>
                <w:noProof/>
              </w:rPr>
              <w:t>3.</w:t>
            </w:r>
            <w:r w:rsidR="005A122B" w:rsidRPr="00653DB5">
              <w:rPr>
                <w:rStyle w:val="Hyperlink"/>
                <w:rFonts w:eastAsia="Tahoma"/>
                <w:noProof/>
              </w:rPr>
              <w:tab/>
              <w:t>Recomandări relevante ale Comisiei Europene</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_Toc485634408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23</w:t>
            </w:r>
            <w:r w:rsidR="005A122B" w:rsidRPr="00653DB5">
              <w:rPr>
                <w:rStyle w:val="Hyperlink"/>
                <w:rFonts w:eastAsia="Tahoma"/>
                <w:noProof/>
                <w:webHidden/>
              </w:rPr>
              <w:fldChar w:fldCharType="end"/>
            </w:r>
          </w:hyperlink>
        </w:p>
        <w:p w:rsidR="005A122B" w:rsidRPr="00653DB5" w:rsidRDefault="0081121F" w:rsidP="00047108">
          <w:pPr>
            <w:pStyle w:val="TOC2"/>
            <w:rPr>
              <w:rStyle w:val="Hyperlink"/>
              <w:rFonts w:eastAsia="Tahoma"/>
              <w:noProof/>
            </w:rPr>
          </w:pPr>
          <w:hyperlink w:anchor="_Toc485634409" w:history="1">
            <w:r w:rsidR="005A122B" w:rsidRPr="00653DB5">
              <w:rPr>
                <w:rStyle w:val="Hyperlink"/>
                <w:rFonts w:eastAsia="Tahoma"/>
                <w:noProof/>
              </w:rPr>
              <w:t>4.</w:t>
            </w:r>
            <w:r w:rsidR="005A122B" w:rsidRPr="00653DB5">
              <w:rPr>
                <w:rStyle w:val="Hyperlink"/>
                <w:rFonts w:eastAsia="Tahoma"/>
                <w:noProof/>
              </w:rPr>
              <w:tab/>
              <w:t>Concluzii generale</w:t>
            </w:r>
            <w:r w:rsidR="005A122B" w:rsidRPr="00653DB5">
              <w:rPr>
                <w:rStyle w:val="Hyperlink"/>
                <w:rFonts w:eastAsia="Tahoma"/>
                <w:noProof/>
                <w:webHidden/>
              </w:rPr>
              <w:tab/>
            </w:r>
            <w:r w:rsidR="005A122B" w:rsidRPr="00653DB5">
              <w:rPr>
                <w:rStyle w:val="Hyperlink"/>
                <w:rFonts w:eastAsia="Tahoma"/>
                <w:noProof/>
                <w:webHidden/>
              </w:rPr>
              <w:fldChar w:fldCharType="begin"/>
            </w:r>
            <w:r w:rsidR="005A122B" w:rsidRPr="00653DB5">
              <w:rPr>
                <w:rStyle w:val="Hyperlink"/>
                <w:rFonts w:eastAsia="Tahoma"/>
                <w:noProof/>
                <w:webHidden/>
              </w:rPr>
              <w:instrText xml:space="preserve"> PAGEREF _Toc485634409 \h </w:instrText>
            </w:r>
            <w:r w:rsidR="005A122B" w:rsidRPr="00653DB5">
              <w:rPr>
                <w:rStyle w:val="Hyperlink"/>
                <w:rFonts w:eastAsia="Tahoma"/>
                <w:noProof/>
                <w:webHidden/>
              </w:rPr>
            </w:r>
            <w:r w:rsidR="005A122B" w:rsidRPr="00653DB5">
              <w:rPr>
                <w:rStyle w:val="Hyperlink"/>
                <w:rFonts w:eastAsia="Tahoma"/>
                <w:noProof/>
                <w:webHidden/>
              </w:rPr>
              <w:fldChar w:fldCharType="separate"/>
            </w:r>
            <w:r w:rsidR="00485285">
              <w:rPr>
                <w:rStyle w:val="Hyperlink"/>
                <w:rFonts w:eastAsia="Tahoma"/>
                <w:noProof/>
                <w:webHidden/>
              </w:rPr>
              <w:t>23</w:t>
            </w:r>
            <w:r w:rsidR="005A122B" w:rsidRPr="00653DB5">
              <w:rPr>
                <w:rStyle w:val="Hyperlink"/>
                <w:rFonts w:eastAsia="Tahoma"/>
                <w:noProof/>
                <w:webHidden/>
              </w:rPr>
              <w:fldChar w:fldCharType="end"/>
            </w:r>
          </w:hyperlink>
        </w:p>
        <w:p w:rsidR="00900A95" w:rsidRPr="00653DB5" w:rsidRDefault="00BD0B33" w:rsidP="00047108">
          <w:pPr>
            <w:pStyle w:val="TOC2"/>
            <w:rPr>
              <w:color w:val="000000" w:themeColor="text1"/>
              <w:sz w:val="26"/>
              <w:szCs w:val="26"/>
            </w:rPr>
          </w:pPr>
          <w:r w:rsidRPr="00653DB5">
            <w:rPr>
              <w:rStyle w:val="Hyperlink"/>
              <w:rFonts w:eastAsia="Tahoma"/>
              <w:noProof/>
            </w:rPr>
            <w:fldChar w:fldCharType="end"/>
          </w: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900A95" w:rsidRPr="00653DB5" w:rsidRDefault="00900A95" w:rsidP="00047108">
          <w:pPr>
            <w:pStyle w:val="TOC2"/>
          </w:pPr>
        </w:p>
        <w:p w:rsidR="00BD0B33" w:rsidRPr="00653DB5" w:rsidRDefault="0081121F" w:rsidP="00047108">
          <w:pPr>
            <w:pStyle w:val="TOC2"/>
          </w:pPr>
        </w:p>
      </w:sdtContent>
    </w:sdt>
    <w:p w:rsidR="00790A2F" w:rsidRPr="00653DB5" w:rsidRDefault="00F3749E" w:rsidP="00B73B3C">
      <w:pPr>
        <w:pStyle w:val="Heading1"/>
        <w:numPr>
          <w:ilvl w:val="0"/>
          <w:numId w:val="78"/>
        </w:numPr>
        <w:rPr>
          <w:rFonts w:ascii="Times New Roman" w:eastAsia="Times New Roman" w:hAnsi="Times New Roman" w:cs="Times New Roman"/>
          <w:bCs w:val="0"/>
          <w:color w:val="000000" w:themeColor="text1"/>
          <w:kern w:val="32"/>
          <w:sz w:val="26"/>
          <w:szCs w:val="26"/>
          <w:lang w:eastAsia="en-GB"/>
        </w:rPr>
      </w:pPr>
      <w:bookmarkStart w:id="5" w:name="_Toc485634390"/>
      <w:r w:rsidRPr="00653DB5">
        <w:rPr>
          <w:rFonts w:ascii="Times New Roman" w:eastAsia="Times New Roman" w:hAnsi="Times New Roman" w:cs="Times New Roman"/>
          <w:bCs w:val="0"/>
          <w:color w:val="000000" w:themeColor="text1"/>
          <w:kern w:val="32"/>
          <w:sz w:val="26"/>
          <w:szCs w:val="26"/>
          <w:lang w:eastAsia="en-GB"/>
        </w:rPr>
        <w:t>Introducere</w:t>
      </w:r>
      <w:bookmarkEnd w:id="1"/>
      <w:bookmarkEnd w:id="2"/>
      <w:bookmarkEnd w:id="4"/>
      <w:bookmarkEnd w:id="3"/>
      <w:bookmarkEnd w:id="5"/>
    </w:p>
    <w:p w:rsidR="009F337F" w:rsidRPr="00653DB5" w:rsidRDefault="009F337F" w:rsidP="00CB3E70">
      <w:pPr>
        <w:pStyle w:val="Bodytext100"/>
        <w:widowControl/>
        <w:shd w:val="clear" w:color="auto" w:fill="auto"/>
        <w:spacing w:before="0" w:after="0" w:line="240" w:lineRule="auto"/>
        <w:ind w:firstLine="567"/>
        <w:rPr>
          <w:color w:val="000000" w:themeColor="text1"/>
          <w:sz w:val="26"/>
          <w:szCs w:val="26"/>
        </w:rPr>
      </w:pPr>
    </w:p>
    <w:p w:rsidR="00790A2F" w:rsidRPr="00653DB5" w:rsidRDefault="00F3749E" w:rsidP="00CB3E70">
      <w:pPr>
        <w:pStyle w:val="Bodytext100"/>
        <w:widowControl/>
        <w:shd w:val="clear" w:color="auto" w:fill="auto"/>
        <w:spacing w:before="0" w:after="0" w:line="240" w:lineRule="auto"/>
        <w:ind w:firstLine="567"/>
        <w:rPr>
          <w:color w:val="000000" w:themeColor="text1"/>
          <w:sz w:val="26"/>
          <w:szCs w:val="26"/>
        </w:rPr>
      </w:pPr>
      <w:r w:rsidRPr="00653DB5">
        <w:rPr>
          <w:color w:val="000000" w:themeColor="text1"/>
          <w:sz w:val="26"/>
          <w:szCs w:val="26"/>
        </w:rPr>
        <w:t>În conformitate cu articolul 51 din Legea comunicaţiilor electronice nr.241-XVI din 15.11.2007,</w:t>
      </w:r>
      <w:r w:rsidR="00CB3E70" w:rsidRPr="00653DB5">
        <w:rPr>
          <w:sz w:val="26"/>
          <w:szCs w:val="26"/>
        </w:rPr>
        <w:t xml:space="preserve"> (</w:t>
      </w:r>
      <w:r w:rsidR="00CB3E70" w:rsidRPr="00653DB5">
        <w:rPr>
          <w:i/>
          <w:sz w:val="26"/>
          <w:szCs w:val="26"/>
        </w:rPr>
        <w:t>Monitorul Oficial al Republicii Moldova, 2008, nr. 51-54, art.155</w:t>
      </w:r>
      <w:r w:rsidR="00CB3E70" w:rsidRPr="00653DB5">
        <w:rPr>
          <w:sz w:val="26"/>
          <w:szCs w:val="26"/>
        </w:rPr>
        <w:t>), cu modificările și completările ulterioare,</w:t>
      </w:r>
      <w:r w:rsidR="00FB1894">
        <w:rPr>
          <w:sz w:val="26"/>
          <w:szCs w:val="26"/>
        </w:rPr>
        <w:t xml:space="preserve"> </w:t>
      </w:r>
      <w:r w:rsidR="00F82432" w:rsidRPr="00653DB5">
        <w:rPr>
          <w:color w:val="000000" w:themeColor="text1"/>
          <w:sz w:val="26"/>
          <w:szCs w:val="26"/>
        </w:rPr>
        <w:t xml:space="preserve">în continuare denumită Legea nr. 241/2007, </w:t>
      </w:r>
      <w:r w:rsidRPr="00653DB5">
        <w:rPr>
          <w:color w:val="000000" w:themeColor="text1"/>
          <w:sz w:val="26"/>
          <w:szCs w:val="26"/>
        </w:rPr>
        <w:t>Agenţia Naţională pentru Reglementare în Comunicaţii Electronice şi Tehnologia Informaţiei</w:t>
      </w:r>
      <w:r w:rsidR="00F82432" w:rsidRPr="00653DB5">
        <w:rPr>
          <w:color w:val="000000" w:themeColor="text1"/>
          <w:sz w:val="26"/>
          <w:szCs w:val="26"/>
        </w:rPr>
        <w:t>, în continuare denumită</w:t>
      </w:r>
      <w:r w:rsidRPr="00653DB5">
        <w:rPr>
          <w:color w:val="000000" w:themeColor="text1"/>
          <w:sz w:val="26"/>
          <w:szCs w:val="26"/>
        </w:rPr>
        <w:t xml:space="preserve"> </w:t>
      </w:r>
      <w:r w:rsidR="00F82432" w:rsidRPr="00653DB5">
        <w:rPr>
          <w:color w:val="000000" w:themeColor="text1"/>
          <w:sz w:val="26"/>
          <w:szCs w:val="26"/>
        </w:rPr>
        <w:t>ANRCETI</w:t>
      </w:r>
      <w:r w:rsidRPr="00653DB5">
        <w:rPr>
          <w:color w:val="000000" w:themeColor="text1"/>
          <w:sz w:val="26"/>
          <w:szCs w:val="26"/>
        </w:rPr>
        <w:t>, identifică pieţele relevante şi efectuează analize de piaţă pe aceste pieţe în scopul determinării faptului dacă piaţa relevantă este suficient de competitivă şi al impunerii, menţinerii, modificării ori retragerii obligaţiilor speciale preventive. ANRCETI defineşte metodologia şi criteriile de identificare a pieţelor relevante şi identifică aceste pieţe, luând în considerare condiţiile naţionale specifice. De asemenea, ANRCETI publică lista pieţelor relevante.</w:t>
      </w:r>
    </w:p>
    <w:p w:rsidR="004C7ECF" w:rsidRPr="00653DB5" w:rsidRDefault="00F3749E" w:rsidP="00CB3E70">
      <w:pPr>
        <w:pStyle w:val="Bodytext100"/>
        <w:widowControl/>
        <w:shd w:val="clear" w:color="auto" w:fill="auto"/>
        <w:spacing w:before="0" w:after="0" w:line="240" w:lineRule="auto"/>
        <w:ind w:firstLine="567"/>
        <w:rPr>
          <w:color w:val="000000" w:themeColor="text1"/>
          <w:sz w:val="26"/>
          <w:szCs w:val="26"/>
        </w:rPr>
      </w:pPr>
      <w:r w:rsidRPr="00653DB5">
        <w:rPr>
          <w:color w:val="000000" w:themeColor="text1"/>
          <w:sz w:val="26"/>
          <w:szCs w:val="26"/>
        </w:rPr>
        <w:t>Procesul de identificare şi analiză a pieţelor relevante a fost stabilit în Regulamentul privind identificarea şi analiza pieţelor relevante din domeniul comunicaţiilor electronice şi desemnarea furnizorilor de reţele şi/sau servicii de comunicaţii electronice cu putere semnificativă pe aceste pieţe, aprobat prin Hotărârea Consiliului de Administraţie al ANRCETI nr. 55 din 29 decembrie 2008</w:t>
      </w:r>
      <w:r w:rsidR="00025509" w:rsidRPr="00653DB5">
        <w:rPr>
          <w:color w:val="000000" w:themeColor="text1"/>
          <w:sz w:val="26"/>
          <w:szCs w:val="26"/>
        </w:rPr>
        <w:t>, (</w:t>
      </w:r>
      <w:r w:rsidR="00025509" w:rsidRPr="00653DB5">
        <w:rPr>
          <w:i/>
          <w:iCs/>
          <w:color w:val="000000" w:themeColor="text1"/>
          <w:sz w:val="26"/>
          <w:szCs w:val="26"/>
        </w:rPr>
        <w:t>Monitorul Oficial al Republicii Moldova, 2009, nr.34-36 art. 117),</w:t>
      </w:r>
      <w:r w:rsidRPr="00653DB5">
        <w:rPr>
          <w:color w:val="000000" w:themeColor="text1"/>
          <w:sz w:val="26"/>
          <w:szCs w:val="26"/>
        </w:rPr>
        <w:t xml:space="preserve"> </w:t>
      </w:r>
      <w:r w:rsidR="004C7ECF" w:rsidRPr="00653DB5">
        <w:rPr>
          <w:color w:val="000000" w:themeColor="text1"/>
          <w:sz w:val="26"/>
          <w:szCs w:val="26"/>
        </w:rPr>
        <w:t>în continuare</w:t>
      </w:r>
      <w:r w:rsidR="00F82432" w:rsidRPr="00653DB5">
        <w:rPr>
          <w:color w:val="000000" w:themeColor="text1"/>
          <w:sz w:val="26"/>
          <w:szCs w:val="26"/>
        </w:rPr>
        <w:t xml:space="preserve"> denumit</w:t>
      </w:r>
      <w:r w:rsidR="004C7ECF" w:rsidRPr="00653DB5">
        <w:rPr>
          <w:color w:val="000000" w:themeColor="text1"/>
          <w:sz w:val="26"/>
          <w:szCs w:val="26"/>
        </w:rPr>
        <w:t xml:space="preserve"> Regulament</w:t>
      </w:r>
      <w:r w:rsidR="00F82432" w:rsidRPr="00653DB5">
        <w:rPr>
          <w:color w:val="000000" w:themeColor="text1"/>
          <w:sz w:val="26"/>
          <w:szCs w:val="26"/>
        </w:rPr>
        <w:t>ul nr. 55/2008</w:t>
      </w:r>
      <w:r w:rsidRPr="00653DB5">
        <w:rPr>
          <w:color w:val="000000" w:themeColor="text1"/>
          <w:sz w:val="26"/>
          <w:szCs w:val="26"/>
        </w:rPr>
        <w:t>.</w:t>
      </w:r>
      <w:r w:rsidR="00CD71E4" w:rsidRPr="00653DB5">
        <w:rPr>
          <w:color w:val="000000" w:themeColor="text1"/>
          <w:sz w:val="26"/>
          <w:szCs w:val="26"/>
        </w:rPr>
        <w:t xml:space="preserve"> </w:t>
      </w:r>
    </w:p>
    <w:p w:rsidR="007F5752" w:rsidRPr="00653DB5" w:rsidRDefault="007F5752" w:rsidP="00CB3E70">
      <w:pPr>
        <w:pStyle w:val="Bodytext100"/>
        <w:widowControl/>
        <w:shd w:val="clear" w:color="auto" w:fill="auto"/>
        <w:spacing w:before="0" w:after="0" w:line="240" w:lineRule="auto"/>
        <w:ind w:firstLine="567"/>
        <w:rPr>
          <w:rStyle w:val="longtext"/>
          <w:color w:val="000000" w:themeColor="text1"/>
          <w:sz w:val="26"/>
          <w:szCs w:val="26"/>
        </w:rPr>
      </w:pPr>
      <w:r w:rsidRPr="00653DB5">
        <w:rPr>
          <w:rStyle w:val="longtext"/>
          <w:color w:val="000000" w:themeColor="text1"/>
          <w:sz w:val="26"/>
          <w:szCs w:val="26"/>
        </w:rPr>
        <w:t>După identificarea pieţelor relevante, ANRCETI efectuează analiza în detaliu a acestor pieţe, astfel încât să ia decizii cu privire la desemnarea furnizorilor cu putere semnificativă pe pieţele relevante (conform articolului 52 din Lege</w:t>
      </w:r>
      <w:r w:rsidR="00F82432" w:rsidRPr="00653DB5">
        <w:rPr>
          <w:rStyle w:val="longtext"/>
          <w:color w:val="000000" w:themeColor="text1"/>
          <w:sz w:val="26"/>
          <w:szCs w:val="26"/>
        </w:rPr>
        <w:t>a nr. 241/2007</w:t>
      </w:r>
      <w:r w:rsidRPr="00653DB5">
        <w:rPr>
          <w:rStyle w:val="longtext"/>
          <w:color w:val="000000" w:themeColor="text1"/>
          <w:sz w:val="26"/>
          <w:szCs w:val="26"/>
        </w:rPr>
        <w:t>) şi are dreptul să impună</w:t>
      </w:r>
      <w:r w:rsidRPr="00653DB5">
        <w:rPr>
          <w:color w:val="000000" w:themeColor="text1"/>
          <w:sz w:val="26"/>
          <w:szCs w:val="26"/>
        </w:rPr>
        <w:t>, să menţină, să modifice sau să revoce obligaţiile faţă de furnizorii de reţele şi/sau servicii de comunicaţii electronice.</w:t>
      </w:r>
    </w:p>
    <w:p w:rsidR="00BF779B" w:rsidRPr="00653DB5" w:rsidRDefault="00F4598F" w:rsidP="00CB3E70">
      <w:pPr>
        <w:pStyle w:val="Bodytext100"/>
        <w:widowControl/>
        <w:shd w:val="clear" w:color="auto" w:fill="auto"/>
        <w:spacing w:before="0" w:after="0" w:line="240" w:lineRule="auto"/>
        <w:ind w:firstLine="567"/>
        <w:rPr>
          <w:rStyle w:val="longtext"/>
          <w:color w:val="000000" w:themeColor="text1"/>
          <w:sz w:val="26"/>
          <w:szCs w:val="26"/>
        </w:rPr>
      </w:pPr>
      <w:r w:rsidRPr="00653DB5">
        <w:rPr>
          <w:rStyle w:val="longtext"/>
          <w:color w:val="000000" w:themeColor="text1"/>
          <w:sz w:val="26"/>
          <w:szCs w:val="26"/>
        </w:rPr>
        <w:t xml:space="preserve">Totodată, în conformitate cu articolul 53 din Legea nr.241/2007, ANRCETI efectuează analiza pieţelor relevante cel puţin o dată la 2 ani, în scopul constatării existenţei concurenţei efective pe aceste pieţe. ANRCETI a efectuat Analiza pieţei de </w:t>
      </w:r>
      <w:r w:rsidRPr="00653DB5">
        <w:rPr>
          <w:rStyle w:val="longtext1"/>
          <w:color w:val="000000" w:themeColor="text1"/>
          <w:sz w:val="26"/>
          <w:szCs w:val="26"/>
          <w:shd w:val="clear" w:color="auto" w:fill="FFFFFF"/>
        </w:rPr>
        <w:t>furnizare cu ridicata a unor segmente-trunchi de linii închiriate, indiferent de tehnologia utilizată pentru punerea la dispoziţie de capacitate închiriată sau rezervată</w:t>
      </w:r>
      <w:r w:rsidRPr="00653DB5">
        <w:rPr>
          <w:rStyle w:val="longtext"/>
          <w:color w:val="000000" w:themeColor="text1"/>
          <w:sz w:val="26"/>
          <w:szCs w:val="26"/>
        </w:rPr>
        <w:t xml:space="preserve"> în anul 2011 (prima iterație), în anul 2013 (a doua iterație) și în anul 2015 (a treia iterație).</w:t>
      </w:r>
    </w:p>
    <w:p w:rsidR="004C7ECF" w:rsidRPr="00653DB5" w:rsidRDefault="00F4598F" w:rsidP="00CB3E70">
      <w:pPr>
        <w:pStyle w:val="Bodytext100"/>
        <w:widowControl/>
        <w:shd w:val="clear" w:color="auto" w:fill="auto"/>
        <w:spacing w:before="0" w:after="0" w:line="240" w:lineRule="auto"/>
        <w:ind w:firstLine="567"/>
        <w:rPr>
          <w:color w:val="000000" w:themeColor="text1"/>
          <w:sz w:val="26"/>
          <w:szCs w:val="26"/>
        </w:rPr>
      </w:pPr>
      <w:r w:rsidRPr="00653DB5">
        <w:rPr>
          <w:rStyle w:val="longtext"/>
          <w:color w:val="000000" w:themeColor="text1"/>
          <w:sz w:val="26"/>
          <w:szCs w:val="26"/>
        </w:rPr>
        <w:t>Iterația I - î</w:t>
      </w:r>
      <w:r w:rsidR="004C7ECF" w:rsidRPr="00653DB5">
        <w:rPr>
          <w:rStyle w:val="longtext"/>
          <w:color w:val="000000" w:themeColor="text1"/>
          <w:sz w:val="26"/>
          <w:szCs w:val="26"/>
        </w:rPr>
        <w:t xml:space="preserve">n anul 2011 ANRCETI a efectuat prima iteraţie de </w:t>
      </w:r>
      <w:r w:rsidR="00082CEC" w:rsidRPr="00653DB5">
        <w:rPr>
          <w:rStyle w:val="longtext"/>
          <w:color w:val="000000" w:themeColor="text1"/>
          <w:sz w:val="26"/>
          <w:szCs w:val="26"/>
        </w:rPr>
        <w:t>a</w:t>
      </w:r>
      <w:r w:rsidR="004C7ECF" w:rsidRPr="00653DB5">
        <w:rPr>
          <w:rStyle w:val="longtext"/>
          <w:color w:val="000000" w:themeColor="text1"/>
          <w:sz w:val="26"/>
          <w:szCs w:val="26"/>
        </w:rPr>
        <w:t xml:space="preserve">naliză a pieţei de </w:t>
      </w:r>
      <w:r w:rsidR="004C7ECF" w:rsidRPr="00653DB5">
        <w:rPr>
          <w:rStyle w:val="longtext1"/>
          <w:color w:val="000000" w:themeColor="text1"/>
          <w:sz w:val="26"/>
          <w:szCs w:val="26"/>
          <w:shd w:val="clear" w:color="auto" w:fill="FFFFFF"/>
        </w:rPr>
        <w:t xml:space="preserve">furnizare cu </w:t>
      </w:r>
      <w:r w:rsidR="007D3930" w:rsidRPr="00653DB5">
        <w:rPr>
          <w:rStyle w:val="longtext1"/>
          <w:color w:val="000000" w:themeColor="text1"/>
          <w:sz w:val="26"/>
          <w:szCs w:val="26"/>
          <w:shd w:val="clear" w:color="auto" w:fill="FFFFFF"/>
        </w:rPr>
        <w:t>ridicata a unor segmente-</w:t>
      </w:r>
      <w:r w:rsidR="004C7ECF" w:rsidRPr="00653DB5">
        <w:rPr>
          <w:rStyle w:val="longtext1"/>
          <w:color w:val="000000" w:themeColor="text1"/>
          <w:sz w:val="26"/>
          <w:szCs w:val="26"/>
          <w:shd w:val="clear" w:color="auto" w:fill="FFFFFF"/>
        </w:rPr>
        <w:t>trunchi de linii închiriate, indiferent de tehnologia utilizată pentru punerea la dispoziţie de capacitate închiriată sau rezervată</w:t>
      </w:r>
      <w:r w:rsidR="004C7ECF" w:rsidRPr="00653DB5">
        <w:rPr>
          <w:rStyle w:val="longtext"/>
          <w:color w:val="000000" w:themeColor="text1"/>
          <w:sz w:val="26"/>
          <w:szCs w:val="26"/>
        </w:rPr>
        <w:t>. Astfel, în urma analizei efectuate a fost identificată piaţa de</w:t>
      </w:r>
      <w:r w:rsidR="004C7ECF" w:rsidRPr="00653DB5">
        <w:rPr>
          <w:rStyle w:val="longtext1"/>
          <w:color w:val="000000" w:themeColor="text1"/>
          <w:sz w:val="26"/>
          <w:szCs w:val="26"/>
          <w:shd w:val="clear" w:color="auto" w:fill="FFFFFF"/>
        </w:rPr>
        <w:t xml:space="preserve"> furnizare cu ridicata a unor segmente trunchi de linii închiriate, indiferent de tehnologia utilizată pentru punerea la dispoziţie de capacitate închiriată sau rezervată</w:t>
      </w:r>
      <w:r w:rsidR="004C7ECF" w:rsidRPr="00653DB5">
        <w:rPr>
          <w:rStyle w:val="longtext"/>
          <w:color w:val="000000" w:themeColor="text1"/>
          <w:sz w:val="26"/>
          <w:szCs w:val="26"/>
        </w:rPr>
        <w:t xml:space="preserve"> drept susceptibilă reglementării preventive iar în baza rezultatelor analizei în detaliu a pieţei date, care a arătat existenţa puterii semnificative a S.A.”Moldtelecom”, problemele concurenţiale şi obligaţiile necesare a fi impuse pentru remedierea eşecului concurenţei, ANRCETI a desemnat S.A.”Moldtelecom” drept furnizor cu putere semnificativă pe piaţa </w:t>
      </w:r>
      <w:r w:rsidR="00C56619" w:rsidRPr="00653DB5">
        <w:rPr>
          <w:rStyle w:val="longtext"/>
          <w:color w:val="000000" w:themeColor="text1"/>
          <w:sz w:val="26"/>
          <w:szCs w:val="26"/>
        </w:rPr>
        <w:t>dată</w:t>
      </w:r>
      <w:r w:rsidR="004C7ECF" w:rsidRPr="00653DB5">
        <w:rPr>
          <w:rStyle w:val="longtext"/>
          <w:color w:val="000000" w:themeColor="text1"/>
          <w:sz w:val="26"/>
          <w:szCs w:val="26"/>
        </w:rPr>
        <w:t xml:space="preserve"> </w:t>
      </w:r>
      <w:r w:rsidR="004C7ECF" w:rsidRPr="00653DB5">
        <w:rPr>
          <w:color w:val="000000" w:themeColor="text1"/>
          <w:sz w:val="26"/>
          <w:szCs w:val="26"/>
        </w:rPr>
        <w:t>(Hotărârea Consiliului de Administraţie al ANRCETI nr.23 din 15.09.2011)</w:t>
      </w:r>
      <w:r w:rsidR="00C56619" w:rsidRPr="00653DB5">
        <w:rPr>
          <w:color w:val="000000" w:themeColor="text1"/>
          <w:sz w:val="26"/>
          <w:szCs w:val="26"/>
        </w:rPr>
        <w:t>.</w:t>
      </w:r>
    </w:p>
    <w:p w:rsidR="00BF779B" w:rsidRPr="00653DB5" w:rsidRDefault="00BF779B" w:rsidP="00CB3E70">
      <w:pPr>
        <w:ind w:firstLine="567"/>
        <w:jc w:val="both"/>
        <w:rPr>
          <w:rFonts w:ascii="Times New Roman" w:eastAsia="Times New Roman" w:hAnsi="Times New Roman" w:cs="Times New Roman"/>
          <w:color w:val="000000" w:themeColor="text1"/>
          <w:sz w:val="26"/>
          <w:szCs w:val="26"/>
        </w:rPr>
      </w:pPr>
      <w:r w:rsidRPr="00653DB5">
        <w:rPr>
          <w:rFonts w:ascii="Times New Roman" w:eastAsia="Times New Roman" w:hAnsi="Times New Roman" w:cs="Times New Roman"/>
          <w:color w:val="000000" w:themeColor="text1"/>
          <w:sz w:val="26"/>
          <w:szCs w:val="26"/>
        </w:rPr>
        <w:lastRenderedPageBreak/>
        <w:t>De asemenea, prin Hotărârea Consiliului de Administraţie al ANRCETI nr.36 din 20.12.2011, ANRCETI a impus în sarcina S.A.”Moldtelecom” obligaţii speciale preventive, necesare pentru remedierea eşecului concurenţei.</w:t>
      </w:r>
    </w:p>
    <w:p w:rsidR="00BF779B" w:rsidRPr="00653DB5" w:rsidRDefault="00F4598F" w:rsidP="00CB3E70">
      <w:pPr>
        <w:ind w:firstLine="567"/>
        <w:jc w:val="both"/>
        <w:rPr>
          <w:rFonts w:ascii="Times New Roman" w:eastAsia="Times New Roman" w:hAnsi="Times New Roman" w:cs="Times New Roman"/>
          <w:color w:val="000000" w:themeColor="text1"/>
          <w:sz w:val="26"/>
          <w:szCs w:val="26"/>
        </w:rPr>
      </w:pPr>
      <w:r w:rsidRPr="00653DB5">
        <w:rPr>
          <w:rFonts w:ascii="Times New Roman" w:eastAsia="Times New Roman" w:hAnsi="Times New Roman" w:cs="Times New Roman"/>
          <w:color w:val="000000" w:themeColor="text1"/>
          <w:sz w:val="26"/>
          <w:szCs w:val="26"/>
        </w:rPr>
        <w:t>Iterație II - î</w:t>
      </w:r>
      <w:r w:rsidR="00BF779B" w:rsidRPr="00653DB5">
        <w:rPr>
          <w:rFonts w:ascii="Times New Roman" w:eastAsia="Times New Roman" w:hAnsi="Times New Roman" w:cs="Times New Roman"/>
          <w:color w:val="000000" w:themeColor="text1"/>
          <w:sz w:val="26"/>
          <w:szCs w:val="26"/>
        </w:rPr>
        <w:t xml:space="preserve">n anul 2013, </w:t>
      </w:r>
      <w:r w:rsidR="00CF2C73" w:rsidRPr="00653DB5">
        <w:rPr>
          <w:rFonts w:ascii="Times New Roman" w:eastAsia="Times New Roman" w:hAnsi="Times New Roman" w:cs="Times New Roman"/>
          <w:color w:val="000000" w:themeColor="text1"/>
          <w:sz w:val="26"/>
          <w:szCs w:val="26"/>
        </w:rPr>
        <w:t>ținând</w:t>
      </w:r>
      <w:r w:rsidR="00BF779B" w:rsidRPr="00653DB5">
        <w:rPr>
          <w:rFonts w:ascii="Times New Roman" w:eastAsia="Times New Roman" w:hAnsi="Times New Roman" w:cs="Times New Roman"/>
          <w:color w:val="000000" w:themeColor="text1"/>
          <w:sz w:val="26"/>
          <w:szCs w:val="26"/>
        </w:rPr>
        <w:t xml:space="preserve"> cont de prevederile articolului 53 din Legea nr.241/2007, ANRCETI a analizat piaţa de furnizare cu ridicata a unor </w:t>
      </w:r>
      <w:r w:rsidR="00082CEC" w:rsidRPr="00653DB5">
        <w:rPr>
          <w:rStyle w:val="longtext1"/>
          <w:rFonts w:ascii="Times New Roman" w:hAnsi="Times New Roman" w:cs="Times New Roman"/>
          <w:color w:val="000000" w:themeColor="text1"/>
          <w:sz w:val="26"/>
          <w:szCs w:val="26"/>
          <w:shd w:val="clear" w:color="auto" w:fill="FFFFFF"/>
        </w:rPr>
        <w:t>segmente-trunchi</w:t>
      </w:r>
      <w:r w:rsidR="00BF779B" w:rsidRPr="00653DB5">
        <w:rPr>
          <w:rFonts w:ascii="Times New Roman" w:eastAsia="Times New Roman" w:hAnsi="Times New Roman" w:cs="Times New Roman"/>
          <w:color w:val="000000" w:themeColor="text1"/>
          <w:sz w:val="26"/>
          <w:szCs w:val="26"/>
        </w:rPr>
        <w:t xml:space="preserve"> de linii închiriate, indiferent de tehnologia utilizată pentru punerea la dispoziţie de capacitate închiriată sau rezervată, în cadrul iteraţiei II. În rezultatul analizei efectuate în cadrul iteraţiei II, ANRCETI a constatat că piaţa de furnizare cu ridicata a unor segmente</w:t>
      </w:r>
      <w:r w:rsidR="00C56619" w:rsidRPr="00653DB5">
        <w:rPr>
          <w:rFonts w:ascii="Times New Roman" w:eastAsia="Times New Roman" w:hAnsi="Times New Roman" w:cs="Times New Roman"/>
          <w:color w:val="000000" w:themeColor="text1"/>
          <w:sz w:val="26"/>
          <w:szCs w:val="26"/>
        </w:rPr>
        <w:t>-trunchi</w:t>
      </w:r>
      <w:r w:rsidR="00BF779B" w:rsidRPr="00653DB5">
        <w:rPr>
          <w:rFonts w:ascii="Times New Roman" w:eastAsia="Times New Roman" w:hAnsi="Times New Roman" w:cs="Times New Roman"/>
          <w:color w:val="000000" w:themeColor="text1"/>
          <w:sz w:val="26"/>
          <w:szCs w:val="26"/>
        </w:rPr>
        <w:t xml:space="preserve"> de linii închiriate, indiferent de tehnologia utilizată pentru punerea la dispoziţie de capacitate închiriată sau rezervată continuă să fie susceptibilă reglementării preventive iar S.A.„Moldtelecom” deţine în continuare puterea semnificativă pe piața dată (Hotărârea Consiliului de Administraţie al ANRCETI </w:t>
      </w:r>
      <w:r w:rsidR="00C56619" w:rsidRPr="00653DB5">
        <w:rPr>
          <w:rFonts w:ascii="Times New Roman" w:eastAsia="Times New Roman" w:hAnsi="Times New Roman" w:cs="Times New Roman"/>
          <w:color w:val="000000" w:themeColor="text1"/>
          <w:sz w:val="26"/>
          <w:szCs w:val="26"/>
        </w:rPr>
        <w:t>nr.62</w:t>
      </w:r>
      <w:r w:rsidR="00BF779B" w:rsidRPr="00653DB5">
        <w:rPr>
          <w:rFonts w:ascii="Times New Roman" w:eastAsia="Times New Roman" w:hAnsi="Times New Roman" w:cs="Times New Roman"/>
          <w:color w:val="000000" w:themeColor="text1"/>
          <w:sz w:val="26"/>
          <w:szCs w:val="26"/>
        </w:rPr>
        <w:t xml:space="preserve"> din 28.11.2013).</w:t>
      </w:r>
    </w:p>
    <w:p w:rsidR="00BF779B" w:rsidRPr="00653DB5" w:rsidRDefault="00BF779B" w:rsidP="00CB3E70">
      <w:pPr>
        <w:ind w:firstLine="567"/>
        <w:jc w:val="both"/>
        <w:rPr>
          <w:rFonts w:ascii="Times New Roman" w:eastAsia="Times New Roman" w:hAnsi="Times New Roman" w:cs="Times New Roman"/>
          <w:color w:val="000000" w:themeColor="text1"/>
          <w:sz w:val="26"/>
          <w:szCs w:val="26"/>
        </w:rPr>
      </w:pPr>
      <w:r w:rsidRPr="00653DB5">
        <w:rPr>
          <w:rFonts w:ascii="Times New Roman" w:eastAsia="Times New Roman" w:hAnsi="Times New Roman" w:cs="Times New Roman"/>
          <w:color w:val="000000" w:themeColor="text1"/>
          <w:sz w:val="26"/>
          <w:szCs w:val="26"/>
        </w:rPr>
        <w:t>Totodată, având în vedere că condițiile concurențiale pe această piață nu au evoluat semnificativ timp de doi ani, ANRCETI a considerat necesară menţinerea în sarcina S.A.„Moldtelecom” a obligaţiilor impuse anterior prin Hotărârea Consiliului de Administraţie al ANRCETI nr</w:t>
      </w:r>
      <w:r w:rsidR="00C56619" w:rsidRPr="00653DB5">
        <w:rPr>
          <w:rFonts w:ascii="Times New Roman" w:eastAsia="Times New Roman" w:hAnsi="Times New Roman" w:cs="Times New Roman"/>
          <w:color w:val="000000" w:themeColor="text1"/>
          <w:sz w:val="26"/>
          <w:szCs w:val="26"/>
        </w:rPr>
        <w:t>.36</w:t>
      </w:r>
      <w:r w:rsidRPr="00653DB5">
        <w:rPr>
          <w:rFonts w:ascii="Times New Roman" w:eastAsia="Times New Roman" w:hAnsi="Times New Roman" w:cs="Times New Roman"/>
          <w:color w:val="000000" w:themeColor="text1"/>
          <w:sz w:val="26"/>
          <w:szCs w:val="26"/>
        </w:rPr>
        <w:t xml:space="preserve"> din 20.12.2011.</w:t>
      </w:r>
    </w:p>
    <w:p w:rsidR="00ED0926" w:rsidRPr="00653DB5" w:rsidRDefault="00F4598F" w:rsidP="00CB3E70">
      <w:pPr>
        <w:ind w:firstLine="567"/>
        <w:jc w:val="both"/>
        <w:rPr>
          <w:rFonts w:ascii="Times New Roman" w:eastAsia="Times New Roman" w:hAnsi="Times New Roman" w:cs="Times New Roman"/>
          <w:color w:val="000000" w:themeColor="text1"/>
          <w:sz w:val="26"/>
          <w:szCs w:val="26"/>
        </w:rPr>
      </w:pPr>
      <w:r w:rsidRPr="00653DB5">
        <w:rPr>
          <w:rFonts w:ascii="Times New Roman" w:eastAsia="Times New Roman" w:hAnsi="Times New Roman" w:cs="Times New Roman"/>
          <w:color w:val="000000" w:themeColor="text1"/>
          <w:sz w:val="26"/>
          <w:szCs w:val="26"/>
        </w:rPr>
        <w:t>Iterație III - î</w:t>
      </w:r>
      <w:r w:rsidR="00ED0926" w:rsidRPr="00653DB5">
        <w:rPr>
          <w:rFonts w:ascii="Times New Roman" w:eastAsia="Times New Roman" w:hAnsi="Times New Roman" w:cs="Times New Roman"/>
          <w:color w:val="000000" w:themeColor="text1"/>
          <w:sz w:val="26"/>
          <w:szCs w:val="26"/>
        </w:rPr>
        <w:t xml:space="preserve">n anul 2015, în urma celei de-a treia iterații a analizei efectuate, prin Hotărârea Consiliului de Administraţie al ANRCETI </w:t>
      </w:r>
      <w:hyperlink r:id="rId10" w:history="1">
        <w:r w:rsidR="00ED0926" w:rsidRPr="00653DB5">
          <w:rPr>
            <w:rFonts w:ascii="Times New Roman" w:eastAsia="Times New Roman" w:hAnsi="Times New Roman" w:cs="Times New Roman"/>
            <w:color w:val="000000" w:themeColor="text1"/>
            <w:sz w:val="26"/>
            <w:szCs w:val="26"/>
          </w:rPr>
          <w:t>nr. 48 din 15.09.201</w:t>
        </w:r>
      </w:hyperlink>
      <w:r w:rsidR="00ED0926" w:rsidRPr="00653DB5">
        <w:rPr>
          <w:rFonts w:ascii="Times New Roman" w:eastAsia="Times New Roman" w:hAnsi="Times New Roman" w:cs="Times New Roman"/>
          <w:color w:val="000000" w:themeColor="text1"/>
          <w:sz w:val="26"/>
          <w:szCs w:val="26"/>
        </w:rPr>
        <w:t xml:space="preserve">5, a fost identificată piața de furnizare cu ridicata a unor </w:t>
      </w:r>
      <w:r w:rsidR="00ED0926" w:rsidRPr="00653DB5">
        <w:rPr>
          <w:rFonts w:eastAsia="Times New Roman"/>
        </w:rPr>
        <w:t>segmente-trunchi</w:t>
      </w:r>
      <w:r w:rsidR="00ED0926" w:rsidRPr="00653DB5">
        <w:rPr>
          <w:rFonts w:ascii="Times New Roman" w:eastAsia="Times New Roman" w:hAnsi="Times New Roman" w:cs="Times New Roman"/>
          <w:color w:val="000000" w:themeColor="text1"/>
          <w:sz w:val="26"/>
          <w:szCs w:val="26"/>
        </w:rPr>
        <w:t xml:space="preserve"> de linii închiriate, indiferent de tehnologia utilizată pentru punerea la dispoziţie de capacitate închiriată sau rezervată drept susceptibilă reglementării preventive, a fost desemnat repetat S.A.„Moldtelecom” drept furnizor cu putere semnificativă pe această piață și au fost menținute obligațiile speciale preventive impuse furnizorului prin Hotărârea Consiliului de Administraţie al ANRCETI nr. 36 din 30.12.2011.</w:t>
      </w:r>
    </w:p>
    <w:p w:rsidR="00BF779B" w:rsidRPr="00653DB5" w:rsidRDefault="006F522B" w:rsidP="00CB3E70">
      <w:pPr>
        <w:ind w:firstLine="567"/>
        <w:jc w:val="both"/>
        <w:rPr>
          <w:rFonts w:ascii="Times New Roman" w:eastAsia="Times New Roman" w:hAnsi="Times New Roman" w:cs="Times New Roman"/>
          <w:color w:val="000000" w:themeColor="text1"/>
          <w:sz w:val="26"/>
          <w:szCs w:val="26"/>
        </w:rPr>
      </w:pPr>
      <w:r w:rsidRPr="00653DB5">
        <w:rPr>
          <w:rFonts w:ascii="Times New Roman" w:eastAsia="Times New Roman" w:hAnsi="Times New Roman" w:cs="Times New Roman"/>
          <w:color w:val="000000" w:themeColor="text1"/>
          <w:sz w:val="26"/>
          <w:szCs w:val="26"/>
        </w:rPr>
        <w:t>După</w:t>
      </w:r>
      <w:r w:rsidR="00BF779B" w:rsidRPr="00653DB5">
        <w:rPr>
          <w:rFonts w:ascii="Times New Roman" w:eastAsia="Times New Roman" w:hAnsi="Times New Roman" w:cs="Times New Roman"/>
          <w:color w:val="000000" w:themeColor="text1"/>
          <w:sz w:val="26"/>
          <w:szCs w:val="26"/>
        </w:rPr>
        <w:t xml:space="preserve"> doi ani de la ultima iteraţie a pieţei date, </w:t>
      </w:r>
      <w:r w:rsidR="005A122B" w:rsidRPr="00653DB5">
        <w:rPr>
          <w:rFonts w:ascii="Times New Roman" w:eastAsia="Times New Roman" w:hAnsi="Times New Roman" w:cs="Times New Roman"/>
          <w:color w:val="000000" w:themeColor="text1"/>
          <w:sz w:val="26"/>
          <w:szCs w:val="26"/>
        </w:rPr>
        <w:t>ținând</w:t>
      </w:r>
      <w:r w:rsidR="00BF779B" w:rsidRPr="00653DB5">
        <w:rPr>
          <w:rFonts w:ascii="Times New Roman" w:eastAsia="Times New Roman" w:hAnsi="Times New Roman" w:cs="Times New Roman"/>
          <w:color w:val="000000" w:themeColor="text1"/>
          <w:sz w:val="26"/>
          <w:szCs w:val="26"/>
        </w:rPr>
        <w:t xml:space="preserve"> cont de prevederile articolului 53 din Legea nr.241/2007, </w:t>
      </w:r>
      <w:r w:rsidRPr="00653DB5">
        <w:rPr>
          <w:rFonts w:ascii="Times New Roman" w:eastAsia="Times New Roman" w:hAnsi="Times New Roman" w:cs="Times New Roman"/>
          <w:color w:val="000000" w:themeColor="text1"/>
          <w:sz w:val="26"/>
          <w:szCs w:val="26"/>
        </w:rPr>
        <w:t>este necesară revizuirea</w:t>
      </w:r>
      <w:r w:rsidR="00BF779B" w:rsidRPr="00653DB5">
        <w:rPr>
          <w:rFonts w:ascii="Times New Roman" w:eastAsia="Times New Roman" w:hAnsi="Times New Roman" w:cs="Times New Roman"/>
          <w:color w:val="000000" w:themeColor="text1"/>
          <w:sz w:val="26"/>
          <w:szCs w:val="26"/>
        </w:rPr>
        <w:t xml:space="preserve"> definiţiei pieţei de furnizare cu ridicata a unor segmente</w:t>
      </w:r>
      <w:r w:rsidR="00C56619" w:rsidRPr="00653DB5">
        <w:rPr>
          <w:rFonts w:ascii="Times New Roman" w:eastAsia="Times New Roman" w:hAnsi="Times New Roman" w:cs="Times New Roman"/>
          <w:color w:val="000000" w:themeColor="text1"/>
          <w:sz w:val="26"/>
          <w:szCs w:val="26"/>
        </w:rPr>
        <w:t>-trunchi</w:t>
      </w:r>
      <w:r w:rsidR="00BF779B" w:rsidRPr="00653DB5">
        <w:rPr>
          <w:rFonts w:ascii="Times New Roman" w:eastAsia="Times New Roman" w:hAnsi="Times New Roman" w:cs="Times New Roman"/>
          <w:color w:val="000000" w:themeColor="text1"/>
          <w:sz w:val="26"/>
          <w:szCs w:val="26"/>
        </w:rPr>
        <w:t xml:space="preserve"> de linii închiriate, indiferent de tehnologia utilizată pentru punerea la dispoziţie de capacitate închiriată sau rezervată, a situaţiei concurenţiale şi a obligaţiilor specifice impuse furnizorului cu putere semnificativă pe această piaţă.</w:t>
      </w:r>
    </w:p>
    <w:p w:rsidR="00BF779B" w:rsidRPr="00653DB5" w:rsidRDefault="00BF779B" w:rsidP="00CB3E70">
      <w:pPr>
        <w:ind w:firstLine="567"/>
        <w:jc w:val="both"/>
        <w:rPr>
          <w:rFonts w:ascii="Times New Roman" w:eastAsia="Times New Roman" w:hAnsi="Times New Roman" w:cs="Times New Roman"/>
          <w:color w:val="000000" w:themeColor="text1"/>
          <w:sz w:val="26"/>
          <w:szCs w:val="26"/>
        </w:rPr>
      </w:pPr>
      <w:r w:rsidRPr="00653DB5">
        <w:rPr>
          <w:rFonts w:ascii="Times New Roman" w:eastAsia="Times New Roman" w:hAnsi="Times New Roman" w:cs="Times New Roman"/>
          <w:color w:val="000000" w:themeColor="text1"/>
          <w:sz w:val="26"/>
          <w:szCs w:val="26"/>
        </w:rPr>
        <w:t xml:space="preserve">Prezenta analiză de piaţă face parte din cadrul iteraţiei </w:t>
      </w:r>
      <w:r w:rsidR="006965B5" w:rsidRPr="00653DB5">
        <w:rPr>
          <w:rFonts w:ascii="Times New Roman" w:eastAsia="Times New Roman" w:hAnsi="Times New Roman" w:cs="Times New Roman"/>
          <w:color w:val="000000" w:themeColor="text1"/>
          <w:sz w:val="26"/>
          <w:szCs w:val="26"/>
        </w:rPr>
        <w:t>IV</w:t>
      </w:r>
      <w:r w:rsidRPr="00653DB5">
        <w:rPr>
          <w:rFonts w:ascii="Times New Roman" w:eastAsia="Times New Roman" w:hAnsi="Times New Roman" w:cs="Times New Roman"/>
          <w:color w:val="000000" w:themeColor="text1"/>
          <w:sz w:val="26"/>
          <w:szCs w:val="26"/>
        </w:rPr>
        <w:t xml:space="preserve"> de analiză a pieţelor de comunicaţii electronice din Republica Moldova.</w:t>
      </w:r>
    </w:p>
    <w:p w:rsidR="00BF779B" w:rsidRPr="00653DB5" w:rsidRDefault="00BF779B" w:rsidP="00CB3E70">
      <w:pPr>
        <w:pStyle w:val="Bodytext100"/>
        <w:widowControl/>
        <w:shd w:val="clear" w:color="auto" w:fill="auto"/>
        <w:spacing w:before="0" w:after="0" w:line="240" w:lineRule="auto"/>
        <w:ind w:firstLine="567"/>
        <w:rPr>
          <w:color w:val="000000" w:themeColor="text1"/>
          <w:sz w:val="26"/>
          <w:szCs w:val="26"/>
        </w:rPr>
      </w:pPr>
      <w:r w:rsidRPr="00653DB5">
        <w:rPr>
          <w:color w:val="000000" w:themeColor="text1"/>
          <w:sz w:val="26"/>
          <w:szCs w:val="26"/>
        </w:rPr>
        <w:t>În urma analizei, în conformitate cu articolul 53 din Legea nr.241/2007, ANRCETI are dreptul să impună, să menţină, să modifice sau să revoce obligaţiile faţă de furnizorii de reţele şi/sau servicii de comunicaţii electronice.</w:t>
      </w:r>
    </w:p>
    <w:p w:rsidR="00E624FF" w:rsidRPr="00653DB5" w:rsidRDefault="00E624FF" w:rsidP="00CB3E70">
      <w:pPr>
        <w:pStyle w:val="Bodytext100"/>
        <w:widowControl/>
        <w:shd w:val="clear" w:color="auto" w:fill="auto"/>
        <w:spacing w:before="0" w:after="0" w:line="240" w:lineRule="auto"/>
        <w:ind w:firstLine="567"/>
        <w:rPr>
          <w:rFonts w:eastAsia="Verdana"/>
          <w:color w:val="000000" w:themeColor="text1"/>
          <w:sz w:val="26"/>
          <w:szCs w:val="26"/>
          <w:u w:val="single"/>
        </w:rPr>
      </w:pPr>
      <w:r w:rsidRPr="00653DB5">
        <w:rPr>
          <w:color w:val="000000" w:themeColor="text1"/>
          <w:sz w:val="26"/>
          <w:szCs w:val="26"/>
        </w:rPr>
        <w:t xml:space="preserve">Pentru </w:t>
      </w:r>
      <w:r w:rsidR="006F522B" w:rsidRPr="00653DB5">
        <w:rPr>
          <w:color w:val="000000" w:themeColor="text1"/>
          <w:sz w:val="26"/>
          <w:szCs w:val="26"/>
        </w:rPr>
        <w:t xml:space="preserve">efectuarea </w:t>
      </w:r>
      <w:r w:rsidRPr="00653DB5">
        <w:rPr>
          <w:color w:val="000000" w:themeColor="text1"/>
          <w:sz w:val="26"/>
          <w:szCs w:val="26"/>
        </w:rPr>
        <w:t xml:space="preserve">prezentei analize de piaţă, ANRCETI a </w:t>
      </w:r>
      <w:r w:rsidR="007D3930" w:rsidRPr="00653DB5">
        <w:rPr>
          <w:color w:val="000000" w:themeColor="text1"/>
          <w:sz w:val="26"/>
          <w:szCs w:val="26"/>
        </w:rPr>
        <w:t>expediat spre completare</w:t>
      </w:r>
      <w:r w:rsidRPr="00653DB5">
        <w:rPr>
          <w:color w:val="000000" w:themeColor="text1"/>
          <w:sz w:val="26"/>
          <w:szCs w:val="26"/>
        </w:rPr>
        <w:t xml:space="preserve"> </w:t>
      </w:r>
      <w:r w:rsidR="007D3930" w:rsidRPr="00653DB5">
        <w:rPr>
          <w:color w:val="000000" w:themeColor="text1"/>
          <w:sz w:val="26"/>
          <w:szCs w:val="26"/>
        </w:rPr>
        <w:t xml:space="preserve">furnizorilor de reţele şi/sau servicii de comunicaţii electronice </w:t>
      </w:r>
      <w:r w:rsidR="00C56619" w:rsidRPr="00653DB5">
        <w:rPr>
          <w:color w:val="000000" w:themeColor="text1"/>
          <w:sz w:val="26"/>
          <w:szCs w:val="26"/>
        </w:rPr>
        <w:t>un Chestionar de date statistice privind</w:t>
      </w:r>
      <w:r w:rsidR="006965B5" w:rsidRPr="00653DB5">
        <w:rPr>
          <w:color w:val="000000" w:themeColor="text1"/>
          <w:sz w:val="26"/>
          <w:szCs w:val="26"/>
        </w:rPr>
        <w:t xml:space="preserve"> segmentele trunchi de</w:t>
      </w:r>
      <w:r w:rsidR="00C56619" w:rsidRPr="00653DB5">
        <w:rPr>
          <w:color w:val="000000" w:themeColor="text1"/>
          <w:sz w:val="26"/>
          <w:szCs w:val="26"/>
        </w:rPr>
        <w:t xml:space="preserve"> liniile închiriate. Chestionarul dat precum şi Instrucţiunea privind completarea acestuia puteau fi accesate de pe pagina de Internet a ANRCETI, compartimentul „</w:t>
      </w:r>
      <w:r w:rsidR="006965B5" w:rsidRPr="00653DB5">
        <w:rPr>
          <w:color w:val="000000" w:themeColor="text1"/>
          <w:sz w:val="26"/>
          <w:szCs w:val="26"/>
        </w:rPr>
        <w:t>Pagina furnizorului</w:t>
      </w:r>
      <w:r w:rsidR="00C56619" w:rsidRPr="00653DB5">
        <w:rPr>
          <w:color w:val="000000" w:themeColor="text1"/>
          <w:sz w:val="26"/>
          <w:szCs w:val="26"/>
        </w:rPr>
        <w:t xml:space="preserve">”, </w:t>
      </w:r>
      <w:r w:rsidR="006965B5" w:rsidRPr="00653DB5">
        <w:rPr>
          <w:color w:val="000000" w:themeColor="text1"/>
          <w:sz w:val="26"/>
          <w:szCs w:val="26"/>
        </w:rPr>
        <w:t>rubrica</w:t>
      </w:r>
      <w:r w:rsidR="00C56619" w:rsidRPr="00653DB5">
        <w:rPr>
          <w:color w:val="000000" w:themeColor="text1"/>
          <w:sz w:val="26"/>
          <w:szCs w:val="26"/>
        </w:rPr>
        <w:t xml:space="preserve"> „Chestionare”. Procesul de colectare a datelor s-a desfăşurat în perioada </w:t>
      </w:r>
      <w:r w:rsidR="006965B5" w:rsidRPr="00653DB5">
        <w:rPr>
          <w:color w:val="000000" w:themeColor="text1"/>
          <w:sz w:val="26"/>
          <w:szCs w:val="26"/>
        </w:rPr>
        <w:t>03</w:t>
      </w:r>
      <w:r w:rsidR="00C56619" w:rsidRPr="00653DB5">
        <w:rPr>
          <w:color w:val="000000" w:themeColor="text1"/>
          <w:sz w:val="26"/>
          <w:szCs w:val="26"/>
        </w:rPr>
        <w:t>.0</w:t>
      </w:r>
      <w:r w:rsidR="006965B5" w:rsidRPr="00653DB5">
        <w:rPr>
          <w:color w:val="000000" w:themeColor="text1"/>
          <w:sz w:val="26"/>
          <w:szCs w:val="26"/>
        </w:rPr>
        <w:t>3</w:t>
      </w:r>
      <w:r w:rsidR="00C56619" w:rsidRPr="00653DB5">
        <w:rPr>
          <w:color w:val="000000" w:themeColor="text1"/>
          <w:sz w:val="26"/>
          <w:szCs w:val="26"/>
        </w:rPr>
        <w:t>.201</w:t>
      </w:r>
      <w:r w:rsidR="006965B5" w:rsidRPr="00653DB5">
        <w:rPr>
          <w:color w:val="000000" w:themeColor="text1"/>
          <w:sz w:val="26"/>
          <w:szCs w:val="26"/>
        </w:rPr>
        <w:t>7</w:t>
      </w:r>
      <w:r w:rsidR="00C56619" w:rsidRPr="00653DB5">
        <w:rPr>
          <w:color w:val="000000" w:themeColor="text1"/>
          <w:sz w:val="26"/>
          <w:szCs w:val="26"/>
        </w:rPr>
        <w:t xml:space="preserve"> – 2</w:t>
      </w:r>
      <w:r w:rsidR="006965B5" w:rsidRPr="00653DB5">
        <w:rPr>
          <w:color w:val="000000" w:themeColor="text1"/>
          <w:sz w:val="26"/>
          <w:szCs w:val="26"/>
        </w:rPr>
        <w:t>8</w:t>
      </w:r>
      <w:r w:rsidR="00C56619" w:rsidRPr="00653DB5">
        <w:rPr>
          <w:color w:val="000000" w:themeColor="text1"/>
          <w:sz w:val="26"/>
          <w:szCs w:val="26"/>
        </w:rPr>
        <w:t>.0</w:t>
      </w:r>
      <w:r w:rsidR="00CC414F" w:rsidRPr="00653DB5">
        <w:rPr>
          <w:color w:val="000000" w:themeColor="text1"/>
          <w:sz w:val="26"/>
          <w:szCs w:val="26"/>
        </w:rPr>
        <w:t>4</w:t>
      </w:r>
      <w:r w:rsidR="00C56619" w:rsidRPr="00653DB5">
        <w:rPr>
          <w:color w:val="000000" w:themeColor="text1"/>
          <w:sz w:val="26"/>
          <w:szCs w:val="26"/>
        </w:rPr>
        <w:t>.201</w:t>
      </w:r>
      <w:r w:rsidR="006965B5" w:rsidRPr="00653DB5">
        <w:rPr>
          <w:color w:val="000000" w:themeColor="text1"/>
          <w:sz w:val="26"/>
          <w:szCs w:val="26"/>
        </w:rPr>
        <w:t>7</w:t>
      </w:r>
      <w:r w:rsidR="00C56619" w:rsidRPr="00653DB5">
        <w:rPr>
          <w:color w:val="000000" w:themeColor="text1"/>
          <w:sz w:val="26"/>
          <w:szCs w:val="26"/>
        </w:rPr>
        <w:t>.</w:t>
      </w:r>
    </w:p>
    <w:p w:rsidR="004C7ECF" w:rsidRPr="00653DB5" w:rsidRDefault="007D3930" w:rsidP="00CB3E70">
      <w:pPr>
        <w:ind w:firstLine="567"/>
        <w:jc w:val="both"/>
        <w:rPr>
          <w:rFonts w:ascii="Times New Roman" w:hAnsi="Times New Roman" w:cs="Times New Roman"/>
          <w:color w:val="000000" w:themeColor="text1"/>
          <w:sz w:val="26"/>
          <w:szCs w:val="26"/>
          <w:lang w:eastAsia="en-GB"/>
        </w:rPr>
      </w:pPr>
      <w:r w:rsidRPr="00653DB5">
        <w:rPr>
          <w:rFonts w:ascii="Times New Roman" w:hAnsi="Times New Roman" w:cs="Times New Roman"/>
          <w:color w:val="000000" w:themeColor="text1"/>
          <w:sz w:val="26"/>
          <w:szCs w:val="26"/>
        </w:rPr>
        <w:t>Informaţiile</w:t>
      </w:r>
      <w:r w:rsidR="00FB1894">
        <w:rPr>
          <w:rFonts w:ascii="Times New Roman" w:hAnsi="Times New Roman" w:cs="Times New Roman"/>
          <w:color w:val="000000" w:themeColor="text1"/>
          <w:sz w:val="26"/>
          <w:szCs w:val="26"/>
        </w:rPr>
        <w:t xml:space="preserve"> </w:t>
      </w:r>
      <w:r w:rsidRPr="00653DB5">
        <w:rPr>
          <w:rFonts w:ascii="Times New Roman" w:hAnsi="Times New Roman" w:cs="Times New Roman"/>
          <w:color w:val="000000" w:themeColor="text1"/>
          <w:sz w:val="26"/>
          <w:szCs w:val="26"/>
        </w:rPr>
        <w:t>şi datele obţinute în baza chestionarelor</w:t>
      </w:r>
      <w:r w:rsidR="00E624FF" w:rsidRPr="00653DB5">
        <w:rPr>
          <w:rFonts w:ascii="Times New Roman" w:hAnsi="Times New Roman" w:cs="Times New Roman"/>
          <w:color w:val="000000" w:themeColor="text1"/>
          <w:sz w:val="26"/>
          <w:szCs w:val="26"/>
        </w:rPr>
        <w:t xml:space="preserve"> au stat la baza fundamentării deciziilor de reglementare ale ANRCETI în ceea ce priveşte analiza pieţei de furniz</w:t>
      </w:r>
      <w:r w:rsidR="00CE661B" w:rsidRPr="00653DB5">
        <w:rPr>
          <w:rFonts w:ascii="Times New Roman" w:hAnsi="Times New Roman" w:cs="Times New Roman"/>
          <w:color w:val="000000" w:themeColor="text1"/>
          <w:sz w:val="26"/>
          <w:szCs w:val="26"/>
        </w:rPr>
        <w:t>are cu ridicata a unor segmente-</w:t>
      </w:r>
      <w:r w:rsidR="00E624FF" w:rsidRPr="00653DB5">
        <w:rPr>
          <w:rFonts w:ascii="Times New Roman" w:hAnsi="Times New Roman" w:cs="Times New Roman"/>
          <w:color w:val="000000" w:themeColor="text1"/>
          <w:sz w:val="26"/>
          <w:szCs w:val="26"/>
        </w:rPr>
        <w:t xml:space="preserve">trunchi de linii închiriate, indiferent de tehnologia utilizată pentru </w:t>
      </w:r>
      <w:r w:rsidR="00E624FF" w:rsidRPr="00653DB5">
        <w:rPr>
          <w:rFonts w:ascii="Times New Roman" w:hAnsi="Times New Roman" w:cs="Times New Roman"/>
          <w:color w:val="000000" w:themeColor="text1"/>
          <w:sz w:val="26"/>
          <w:szCs w:val="26"/>
        </w:rPr>
        <w:lastRenderedPageBreak/>
        <w:t>punerea la dispoziţie de capacitate închiriată sau rezervată.</w:t>
      </w:r>
      <w:r w:rsidR="00A267F8" w:rsidRPr="00653DB5">
        <w:rPr>
          <w:rFonts w:ascii="Times New Roman" w:hAnsi="Times New Roman" w:cs="Times New Roman"/>
          <w:color w:val="000000" w:themeColor="text1"/>
          <w:sz w:val="26"/>
          <w:szCs w:val="26"/>
        </w:rPr>
        <w:t xml:space="preserve"> </w:t>
      </w:r>
    </w:p>
    <w:p w:rsidR="004C7ECF" w:rsidRPr="00653DB5" w:rsidRDefault="004C7ECF" w:rsidP="00CB3E70">
      <w:pPr>
        <w:ind w:firstLine="567"/>
        <w:jc w:val="both"/>
        <w:rPr>
          <w:rFonts w:ascii="Times New Roman" w:hAnsi="Times New Roman" w:cs="Times New Roman"/>
          <w:color w:val="000000" w:themeColor="text1"/>
          <w:sz w:val="26"/>
          <w:szCs w:val="26"/>
          <w:lang w:eastAsia="en-GB"/>
        </w:rPr>
      </w:pPr>
      <w:r w:rsidRPr="00653DB5">
        <w:rPr>
          <w:rFonts w:ascii="Times New Roman" w:hAnsi="Times New Roman" w:cs="Times New Roman"/>
          <w:color w:val="000000" w:themeColor="text1"/>
          <w:sz w:val="26"/>
          <w:szCs w:val="26"/>
          <w:lang w:eastAsia="en-GB"/>
        </w:rPr>
        <w:t>În compartimentele ce urmează, ANRCETI desfășoară o analiză care stabilește:</w:t>
      </w:r>
    </w:p>
    <w:p w:rsidR="004C7ECF" w:rsidRPr="00653DB5" w:rsidRDefault="004C7ECF" w:rsidP="00CB3E70">
      <w:pPr>
        <w:pStyle w:val="ListParagraph"/>
        <w:widowControl/>
        <w:numPr>
          <w:ilvl w:val="0"/>
          <w:numId w:val="64"/>
        </w:numPr>
        <w:ind w:left="0" w:firstLine="567"/>
        <w:jc w:val="both"/>
        <w:rPr>
          <w:rFonts w:ascii="Times New Roman" w:hAnsi="Times New Roman" w:cs="Times New Roman"/>
          <w:color w:val="000000" w:themeColor="text1"/>
          <w:sz w:val="26"/>
          <w:szCs w:val="26"/>
          <w:lang w:eastAsia="en-GB"/>
        </w:rPr>
      </w:pPr>
      <w:r w:rsidRPr="00653DB5">
        <w:rPr>
          <w:rFonts w:ascii="Times New Roman" w:hAnsi="Times New Roman" w:cs="Times New Roman"/>
          <w:color w:val="000000" w:themeColor="text1"/>
          <w:sz w:val="26"/>
          <w:szCs w:val="26"/>
          <w:lang w:eastAsia="en-GB"/>
        </w:rPr>
        <w:t xml:space="preserve">limitele pieței produsului și pieţei geografice ale pieței </w:t>
      </w:r>
      <w:r w:rsidRPr="00653DB5">
        <w:rPr>
          <w:rStyle w:val="longtext"/>
          <w:rFonts w:ascii="Times New Roman" w:hAnsi="Times New Roman" w:cs="Times New Roman"/>
          <w:color w:val="000000" w:themeColor="text1"/>
          <w:sz w:val="26"/>
          <w:szCs w:val="26"/>
        </w:rPr>
        <w:t xml:space="preserve">de </w:t>
      </w:r>
      <w:r w:rsidRPr="00653DB5">
        <w:rPr>
          <w:rStyle w:val="longtext1"/>
          <w:rFonts w:ascii="Times New Roman" w:hAnsi="Times New Roman" w:cs="Times New Roman"/>
          <w:color w:val="000000" w:themeColor="text1"/>
          <w:sz w:val="26"/>
          <w:szCs w:val="26"/>
          <w:shd w:val="clear" w:color="auto" w:fill="FFFFFF"/>
        </w:rPr>
        <w:t>furnizare cu ridicata a unor segmente</w:t>
      </w:r>
      <w:r w:rsidR="00D4669C" w:rsidRPr="00653DB5">
        <w:rPr>
          <w:rStyle w:val="longtext1"/>
          <w:rFonts w:ascii="Times New Roman" w:hAnsi="Times New Roman" w:cs="Times New Roman"/>
          <w:color w:val="000000" w:themeColor="text1"/>
          <w:sz w:val="26"/>
          <w:szCs w:val="26"/>
          <w:shd w:val="clear" w:color="auto" w:fill="FFFFFF"/>
        </w:rPr>
        <w:t xml:space="preserve">-trunchi </w:t>
      </w:r>
      <w:r w:rsidRPr="00653DB5">
        <w:rPr>
          <w:rStyle w:val="longtext1"/>
          <w:rFonts w:ascii="Times New Roman" w:hAnsi="Times New Roman" w:cs="Times New Roman"/>
          <w:color w:val="000000" w:themeColor="text1"/>
          <w:sz w:val="26"/>
          <w:szCs w:val="26"/>
          <w:shd w:val="clear" w:color="auto" w:fill="FFFFFF"/>
        </w:rPr>
        <w:t>de linii închiriate, indiferent de tehnologia utilizată pentru punerea la dispoziţie de capacitate închiriată sau rezervată</w:t>
      </w:r>
      <w:r w:rsidRPr="00653DB5">
        <w:rPr>
          <w:rFonts w:ascii="Times New Roman" w:hAnsi="Times New Roman" w:cs="Times New Roman"/>
          <w:color w:val="000000" w:themeColor="text1"/>
          <w:sz w:val="26"/>
          <w:szCs w:val="26"/>
          <w:lang w:eastAsia="en-GB"/>
        </w:rPr>
        <w:t>, utilizând raționamentele Testului Monopolistului Ipotetic (TMI);</w:t>
      </w:r>
    </w:p>
    <w:p w:rsidR="007F5752" w:rsidRPr="00653DB5" w:rsidRDefault="004C7ECF" w:rsidP="00CB3E70">
      <w:pPr>
        <w:pStyle w:val="ListParagraph"/>
        <w:widowControl/>
        <w:numPr>
          <w:ilvl w:val="0"/>
          <w:numId w:val="64"/>
        </w:numPr>
        <w:ind w:left="0" w:firstLine="567"/>
        <w:jc w:val="both"/>
        <w:rPr>
          <w:rFonts w:ascii="Times New Roman" w:hAnsi="Times New Roman" w:cs="Times New Roman"/>
          <w:color w:val="000000" w:themeColor="text1"/>
          <w:sz w:val="26"/>
          <w:szCs w:val="26"/>
          <w:lang w:eastAsia="en-GB"/>
        </w:rPr>
      </w:pPr>
      <w:r w:rsidRPr="00653DB5">
        <w:rPr>
          <w:rFonts w:ascii="Times New Roman" w:hAnsi="Times New Roman" w:cs="Times New Roman"/>
          <w:color w:val="000000" w:themeColor="text1"/>
          <w:sz w:val="26"/>
          <w:szCs w:val="26"/>
          <w:lang w:eastAsia="en-GB"/>
        </w:rPr>
        <w:t>situaţia concurenţială şi evoluţia viitoare a acestei pieţe în scopul de a desemna, după caz, furnizorul sau furnizorii cu putere semnificativă;</w:t>
      </w:r>
    </w:p>
    <w:p w:rsidR="004C7ECF" w:rsidRPr="00653DB5" w:rsidRDefault="004C7ECF" w:rsidP="00CB3E70">
      <w:pPr>
        <w:pStyle w:val="ListParagraph"/>
        <w:widowControl/>
        <w:numPr>
          <w:ilvl w:val="0"/>
          <w:numId w:val="64"/>
        </w:numPr>
        <w:ind w:left="0" w:firstLine="567"/>
        <w:jc w:val="both"/>
        <w:rPr>
          <w:rFonts w:ascii="Times New Roman" w:hAnsi="Times New Roman" w:cs="Times New Roman"/>
          <w:color w:val="000000" w:themeColor="text1"/>
          <w:sz w:val="26"/>
          <w:szCs w:val="26"/>
          <w:lang w:eastAsia="en-GB"/>
        </w:rPr>
      </w:pPr>
      <w:r w:rsidRPr="00653DB5">
        <w:rPr>
          <w:rFonts w:ascii="Times New Roman" w:hAnsi="Times New Roman" w:cs="Times New Roman"/>
          <w:color w:val="000000" w:themeColor="text1"/>
          <w:sz w:val="26"/>
          <w:szCs w:val="26"/>
          <w:lang w:eastAsia="en-GB"/>
        </w:rPr>
        <w:t xml:space="preserve">identificarea obligaţiilor ce urmează a fi impuse furnizorului/furnizorilor determinaţi cu putere semnificativă pe piaţa </w:t>
      </w:r>
      <w:r w:rsidRPr="00653DB5">
        <w:rPr>
          <w:rStyle w:val="longtext"/>
          <w:rFonts w:ascii="Times New Roman" w:hAnsi="Times New Roman" w:cs="Times New Roman"/>
          <w:color w:val="000000" w:themeColor="text1"/>
          <w:sz w:val="26"/>
          <w:szCs w:val="26"/>
        </w:rPr>
        <w:t xml:space="preserve">de </w:t>
      </w:r>
      <w:r w:rsidRPr="00653DB5">
        <w:rPr>
          <w:rStyle w:val="longtext1"/>
          <w:rFonts w:ascii="Times New Roman" w:hAnsi="Times New Roman" w:cs="Times New Roman"/>
          <w:color w:val="000000" w:themeColor="text1"/>
          <w:sz w:val="26"/>
          <w:szCs w:val="26"/>
          <w:shd w:val="clear" w:color="auto" w:fill="FFFFFF"/>
        </w:rPr>
        <w:t>furnizare cu ridicata a unor segmente</w:t>
      </w:r>
      <w:r w:rsidR="00D4669C" w:rsidRPr="00653DB5">
        <w:rPr>
          <w:rStyle w:val="longtext1"/>
          <w:rFonts w:ascii="Times New Roman" w:hAnsi="Times New Roman" w:cs="Times New Roman"/>
          <w:color w:val="000000" w:themeColor="text1"/>
          <w:sz w:val="26"/>
          <w:szCs w:val="26"/>
          <w:shd w:val="clear" w:color="auto" w:fill="FFFFFF"/>
        </w:rPr>
        <w:t xml:space="preserve">-trunchi </w:t>
      </w:r>
      <w:r w:rsidRPr="00653DB5">
        <w:rPr>
          <w:rStyle w:val="longtext1"/>
          <w:rFonts w:ascii="Times New Roman" w:hAnsi="Times New Roman" w:cs="Times New Roman"/>
          <w:color w:val="000000" w:themeColor="text1"/>
          <w:sz w:val="26"/>
          <w:szCs w:val="26"/>
          <w:shd w:val="clear" w:color="auto" w:fill="FFFFFF"/>
        </w:rPr>
        <w:t>de linii închiriate, indiferent de tehnologia utilizată pentru punerea la dispoziţie de capacitate închiriată sau rezervată</w:t>
      </w:r>
      <w:r w:rsidRPr="00653DB5">
        <w:rPr>
          <w:rFonts w:ascii="Times New Roman" w:hAnsi="Times New Roman" w:cs="Times New Roman"/>
          <w:color w:val="000000" w:themeColor="text1"/>
          <w:sz w:val="26"/>
          <w:szCs w:val="26"/>
          <w:lang w:eastAsia="en-GB"/>
        </w:rPr>
        <w:t>.</w:t>
      </w:r>
    </w:p>
    <w:p w:rsidR="006965B5" w:rsidRPr="00653DB5" w:rsidRDefault="006965B5" w:rsidP="00A267F8">
      <w:pPr>
        <w:pStyle w:val="ListParagraph"/>
        <w:widowControl/>
        <w:jc w:val="both"/>
        <w:rPr>
          <w:rFonts w:ascii="Times New Roman" w:hAnsi="Times New Roman" w:cs="Times New Roman"/>
          <w:color w:val="000000" w:themeColor="text1"/>
          <w:sz w:val="26"/>
          <w:szCs w:val="26"/>
          <w:lang w:eastAsia="en-GB"/>
        </w:rPr>
      </w:pPr>
    </w:p>
    <w:p w:rsidR="00E624FF" w:rsidRPr="00653DB5" w:rsidRDefault="00E624FF" w:rsidP="00E624FF">
      <w:pPr>
        <w:jc w:val="both"/>
        <w:rPr>
          <w:rFonts w:ascii="Times New Roman" w:hAnsi="Times New Roman" w:cs="Times New Roman"/>
          <w:b/>
          <w:color w:val="000000" w:themeColor="text1"/>
          <w:sz w:val="26"/>
          <w:szCs w:val="26"/>
        </w:rPr>
      </w:pPr>
      <w:r w:rsidRPr="00653DB5">
        <w:rPr>
          <w:rFonts w:ascii="Times New Roman" w:hAnsi="Times New Roman" w:cs="Times New Roman"/>
          <w:b/>
          <w:color w:val="000000" w:themeColor="text1"/>
          <w:sz w:val="26"/>
          <w:szCs w:val="26"/>
        </w:rPr>
        <w:t xml:space="preserve">Procesul de consultare </w:t>
      </w:r>
    </w:p>
    <w:p w:rsidR="006965B5" w:rsidRPr="00653DB5" w:rsidRDefault="006965B5" w:rsidP="00E624FF">
      <w:pPr>
        <w:jc w:val="both"/>
        <w:rPr>
          <w:rFonts w:ascii="Times New Roman" w:hAnsi="Times New Roman" w:cs="Times New Roman"/>
          <w:color w:val="000000" w:themeColor="text1"/>
          <w:sz w:val="26"/>
          <w:szCs w:val="26"/>
        </w:rPr>
      </w:pPr>
    </w:p>
    <w:p w:rsidR="00C56619" w:rsidRPr="00653DB5" w:rsidRDefault="00176286" w:rsidP="00653DB5">
      <w:pPr>
        <w:pStyle w:val="BodyText0"/>
        <w:ind w:firstLine="562"/>
        <w:jc w:val="both"/>
        <w:rPr>
          <w:rStyle w:val="longtext"/>
          <w:color w:val="000000" w:themeColor="text1"/>
          <w:sz w:val="26"/>
          <w:szCs w:val="26"/>
          <w:lang w:val="ro-RO"/>
        </w:rPr>
      </w:pPr>
      <w:r w:rsidRPr="00653DB5">
        <w:rPr>
          <w:rStyle w:val="longtext"/>
          <w:color w:val="000000" w:themeColor="text1"/>
          <w:sz w:val="26"/>
          <w:szCs w:val="26"/>
          <w:lang w:val="ro-RO"/>
        </w:rPr>
        <w:t xml:space="preserve">Proiectul analizei pieței de </w:t>
      </w:r>
      <w:r w:rsidRPr="00653DB5">
        <w:rPr>
          <w:rStyle w:val="longtext1"/>
          <w:color w:val="000000" w:themeColor="text1"/>
          <w:sz w:val="26"/>
          <w:szCs w:val="26"/>
          <w:shd w:val="clear" w:color="auto" w:fill="FFFFFF"/>
          <w:lang w:val="ro-RO"/>
        </w:rPr>
        <w:t>furnizare cu ridicata a unor segmente-trunchi de linii închiriate, indiferent de tehnologia utilizată pentru punerea la dispoziţie de capacitate închiriată sau rezervată</w:t>
      </w:r>
      <w:r w:rsidRPr="00653DB5">
        <w:rPr>
          <w:rStyle w:val="longtext"/>
          <w:color w:val="000000" w:themeColor="text1"/>
          <w:sz w:val="26"/>
          <w:szCs w:val="26"/>
          <w:lang w:val="ro-RO"/>
        </w:rPr>
        <w:t xml:space="preserve"> a fost supus consultării publice în perioada 27.06.2017 - 27.07.2017. Propunerile și comentariile au putut fi adresate în formă scrisă la adresa de contact a ANRCETI:</w:t>
      </w:r>
    </w:p>
    <w:p w:rsidR="00C56619" w:rsidRPr="00653DB5" w:rsidRDefault="00C56619" w:rsidP="00653DB5">
      <w:pPr>
        <w:pStyle w:val="BodyText0"/>
        <w:ind w:firstLine="562"/>
        <w:jc w:val="both"/>
        <w:rPr>
          <w:rStyle w:val="longtext"/>
          <w:color w:val="000000" w:themeColor="text1"/>
          <w:sz w:val="26"/>
          <w:szCs w:val="26"/>
          <w:lang w:val="ro-RO"/>
        </w:rPr>
      </w:pPr>
      <w:r w:rsidRPr="00653DB5">
        <w:rPr>
          <w:rStyle w:val="longtext"/>
          <w:color w:val="000000" w:themeColor="text1"/>
          <w:sz w:val="26"/>
          <w:szCs w:val="26"/>
          <w:lang w:val="ro-RO"/>
        </w:rPr>
        <w:t xml:space="preserve">Bd. Ştefan cel Mare, 134, MD-2012, </w:t>
      </w:r>
    </w:p>
    <w:p w:rsidR="00C56619" w:rsidRPr="00653DB5" w:rsidRDefault="00653DB5" w:rsidP="00653DB5">
      <w:pPr>
        <w:pStyle w:val="BodyText0"/>
        <w:ind w:firstLine="562"/>
        <w:jc w:val="both"/>
        <w:rPr>
          <w:rStyle w:val="longtext"/>
          <w:color w:val="000000" w:themeColor="text1"/>
          <w:sz w:val="26"/>
          <w:szCs w:val="26"/>
          <w:lang w:val="ro-RO"/>
        </w:rPr>
      </w:pPr>
      <w:r w:rsidRPr="00653DB5">
        <w:rPr>
          <w:rStyle w:val="longtext"/>
          <w:color w:val="000000" w:themeColor="text1"/>
          <w:sz w:val="26"/>
          <w:szCs w:val="26"/>
          <w:lang w:val="ro-RO"/>
        </w:rPr>
        <w:t xml:space="preserve">Chişinău, Republica Moldova </w:t>
      </w:r>
    </w:p>
    <w:p w:rsidR="00C56619" w:rsidRPr="00653DB5" w:rsidRDefault="00C56619" w:rsidP="00653DB5">
      <w:pPr>
        <w:pStyle w:val="BodyText0"/>
        <w:ind w:firstLine="562"/>
        <w:jc w:val="both"/>
        <w:rPr>
          <w:rStyle w:val="longtext"/>
          <w:color w:val="000000" w:themeColor="text1"/>
          <w:sz w:val="26"/>
          <w:szCs w:val="26"/>
          <w:lang w:val="ro-RO"/>
        </w:rPr>
      </w:pPr>
      <w:r w:rsidRPr="00653DB5">
        <w:rPr>
          <w:rStyle w:val="longtext"/>
          <w:color w:val="000000" w:themeColor="text1"/>
          <w:sz w:val="26"/>
          <w:szCs w:val="26"/>
          <w:lang w:val="ro-RO"/>
        </w:rPr>
        <w:t xml:space="preserve">Fax: (0 22) 222 885 </w:t>
      </w:r>
    </w:p>
    <w:p w:rsidR="00C56619" w:rsidRPr="00653DB5" w:rsidRDefault="00C56619" w:rsidP="00653DB5">
      <w:pPr>
        <w:pStyle w:val="BodyText0"/>
        <w:ind w:firstLine="562"/>
        <w:jc w:val="both"/>
        <w:rPr>
          <w:rStyle w:val="longtext"/>
          <w:color w:val="000000" w:themeColor="text1"/>
          <w:sz w:val="26"/>
          <w:szCs w:val="26"/>
          <w:lang w:val="ro-RO"/>
        </w:rPr>
      </w:pPr>
      <w:r w:rsidRPr="00653DB5">
        <w:rPr>
          <w:rStyle w:val="longtext"/>
          <w:color w:val="000000" w:themeColor="text1"/>
          <w:sz w:val="26"/>
          <w:szCs w:val="26"/>
          <w:lang w:val="ro-RO"/>
        </w:rPr>
        <w:t xml:space="preserve">şi/sau la: </w:t>
      </w:r>
    </w:p>
    <w:p w:rsidR="00C56619" w:rsidRPr="00653DB5" w:rsidRDefault="00C56619" w:rsidP="00653DB5">
      <w:pPr>
        <w:pStyle w:val="BodyText0"/>
        <w:ind w:firstLine="562"/>
        <w:jc w:val="both"/>
        <w:rPr>
          <w:rStyle w:val="longtext"/>
          <w:color w:val="000000" w:themeColor="text1"/>
          <w:sz w:val="26"/>
          <w:szCs w:val="26"/>
          <w:lang w:val="ro-RO"/>
        </w:rPr>
      </w:pPr>
      <w:r w:rsidRPr="00653DB5">
        <w:rPr>
          <w:rStyle w:val="longtext"/>
          <w:color w:val="000000" w:themeColor="text1"/>
          <w:sz w:val="26"/>
          <w:szCs w:val="26"/>
          <w:lang w:val="ro-RO"/>
        </w:rPr>
        <w:t xml:space="preserve">e-mail: </w:t>
      </w:r>
      <w:hyperlink r:id="rId11" w:history="1">
        <w:r w:rsidRPr="00653DB5">
          <w:rPr>
            <w:rStyle w:val="longtext"/>
            <w:color w:val="000000" w:themeColor="text1"/>
            <w:sz w:val="26"/>
            <w:szCs w:val="26"/>
            <w:lang w:val="ro-RO"/>
          </w:rPr>
          <w:t>office@anrceti.md</w:t>
        </w:r>
      </w:hyperlink>
    </w:p>
    <w:p w:rsidR="007D3930" w:rsidRPr="00653DB5" w:rsidRDefault="00653DB5" w:rsidP="00653DB5">
      <w:pPr>
        <w:pStyle w:val="Default"/>
        <w:ind w:firstLine="540"/>
        <w:jc w:val="both"/>
        <w:rPr>
          <w:rStyle w:val="longtext"/>
          <w:color w:val="000000" w:themeColor="text1"/>
          <w:sz w:val="26"/>
          <w:szCs w:val="26"/>
          <w:lang w:val="ro-RO"/>
        </w:rPr>
      </w:pPr>
      <w:r w:rsidRPr="00653DB5">
        <w:rPr>
          <w:rStyle w:val="longtext"/>
          <w:color w:val="000000" w:themeColor="text1"/>
          <w:sz w:val="26"/>
          <w:szCs w:val="26"/>
          <w:lang w:val="ro-RO"/>
        </w:rPr>
        <w:t xml:space="preserve">În cadrul termenului stabilit de consultare publică nu au parvenit propuneri şi recomandări la proiectul analizei pieței de </w:t>
      </w:r>
      <w:r w:rsidRPr="00653DB5">
        <w:rPr>
          <w:rStyle w:val="longtext1"/>
          <w:color w:val="000000" w:themeColor="text1"/>
          <w:sz w:val="26"/>
          <w:szCs w:val="26"/>
          <w:shd w:val="clear" w:color="auto" w:fill="FFFFFF"/>
          <w:lang w:val="ro-RO"/>
        </w:rPr>
        <w:t>furnizare cu ridicata a unor segmente-trunchi de linii închiriate, indiferent de tehnologia utilizată pentru punerea la dispoziţie de capacitate închiriată sau rezervată.</w:t>
      </w:r>
    </w:p>
    <w:p w:rsidR="00A267F8" w:rsidRPr="00653DB5" w:rsidRDefault="00A267F8" w:rsidP="00FE0234">
      <w:pPr>
        <w:pStyle w:val="Heading21"/>
        <w:keepNext/>
        <w:keepLines/>
        <w:shd w:val="clear" w:color="auto" w:fill="auto"/>
        <w:tabs>
          <w:tab w:val="left" w:pos="567"/>
        </w:tabs>
        <w:spacing w:before="0" w:after="0" w:line="240" w:lineRule="auto"/>
        <w:ind w:left="20" w:firstLine="0"/>
        <w:outlineLvl w:val="0"/>
        <w:rPr>
          <w:color w:val="000000" w:themeColor="text1"/>
          <w:sz w:val="26"/>
          <w:szCs w:val="26"/>
        </w:rPr>
        <w:sectPr w:rsidR="00A267F8" w:rsidRPr="00653DB5" w:rsidSect="005C504D">
          <w:headerReference w:type="default" r:id="rId12"/>
          <w:footerReference w:type="default" r:id="rId13"/>
          <w:type w:val="nextColumn"/>
          <w:pgSz w:w="12242" w:h="15842" w:code="1"/>
          <w:pgMar w:top="1259" w:right="1077" w:bottom="1440" w:left="1440" w:header="720" w:footer="720" w:gutter="0"/>
          <w:cols w:space="720"/>
          <w:noEndnote/>
          <w:titlePg/>
          <w:docGrid w:linePitch="360"/>
        </w:sectPr>
      </w:pPr>
      <w:bookmarkStart w:id="6" w:name="_Toc368664473"/>
      <w:bookmarkStart w:id="7" w:name="_Toc368664659"/>
      <w:bookmarkStart w:id="8" w:name="_Toc368664911"/>
      <w:bookmarkStart w:id="9" w:name="_Toc368665664"/>
      <w:bookmarkStart w:id="10" w:name="_Toc368665794"/>
      <w:bookmarkStart w:id="11" w:name="_Toc368665870"/>
      <w:bookmarkStart w:id="12" w:name="_Toc368665938"/>
      <w:bookmarkStart w:id="13" w:name="_Toc368666020"/>
      <w:bookmarkStart w:id="14" w:name="_Toc368666163"/>
      <w:bookmarkStart w:id="15" w:name="_Toc368666217"/>
      <w:bookmarkStart w:id="16" w:name="_Toc368666272"/>
      <w:bookmarkStart w:id="17" w:name="_Toc368666377"/>
      <w:bookmarkStart w:id="18" w:name="_Toc368666548"/>
      <w:bookmarkStart w:id="19" w:name="_Toc368664474"/>
      <w:bookmarkStart w:id="20" w:name="_Toc368664660"/>
      <w:bookmarkStart w:id="21" w:name="_Toc368664912"/>
      <w:bookmarkStart w:id="22" w:name="_Toc368665665"/>
      <w:bookmarkStart w:id="23" w:name="_Toc368665795"/>
      <w:bookmarkStart w:id="24" w:name="_Toc368665871"/>
      <w:bookmarkStart w:id="25" w:name="_Toc368665939"/>
      <w:bookmarkStart w:id="26" w:name="_Toc368666021"/>
      <w:bookmarkStart w:id="27" w:name="_Toc368666164"/>
      <w:bookmarkStart w:id="28" w:name="_Toc368666218"/>
      <w:bookmarkStart w:id="29" w:name="_Toc368666273"/>
      <w:bookmarkStart w:id="30" w:name="_Toc368666378"/>
      <w:bookmarkStart w:id="31" w:name="_Toc368666549"/>
      <w:bookmarkStart w:id="32" w:name="_Toc368664475"/>
      <w:bookmarkStart w:id="33" w:name="_Toc368664661"/>
      <w:bookmarkStart w:id="34" w:name="_Toc368664913"/>
      <w:bookmarkStart w:id="35" w:name="_Toc368665666"/>
      <w:bookmarkStart w:id="36" w:name="_Toc368665796"/>
      <w:bookmarkStart w:id="37" w:name="_Toc368665872"/>
      <w:bookmarkStart w:id="38" w:name="_Toc368665940"/>
      <w:bookmarkStart w:id="39" w:name="_Toc368666022"/>
      <w:bookmarkStart w:id="40" w:name="_Toc368666165"/>
      <w:bookmarkStart w:id="41" w:name="_Toc368666219"/>
      <w:bookmarkStart w:id="42" w:name="_Toc368666274"/>
      <w:bookmarkStart w:id="43" w:name="_Toc368666379"/>
      <w:bookmarkStart w:id="44" w:name="_Toc368666550"/>
      <w:bookmarkStart w:id="45" w:name="_Toc368664476"/>
      <w:bookmarkStart w:id="46" w:name="_Toc368664662"/>
      <w:bookmarkStart w:id="47" w:name="_Toc368664914"/>
      <w:bookmarkStart w:id="48" w:name="_Toc368665667"/>
      <w:bookmarkStart w:id="49" w:name="_Toc368665797"/>
      <w:bookmarkStart w:id="50" w:name="_Toc368665873"/>
      <w:bookmarkStart w:id="51" w:name="_Toc368665941"/>
      <w:bookmarkStart w:id="52" w:name="_Toc368666023"/>
      <w:bookmarkStart w:id="53" w:name="_Toc368666166"/>
      <w:bookmarkStart w:id="54" w:name="_Toc368666220"/>
      <w:bookmarkStart w:id="55" w:name="_Toc368666275"/>
      <w:bookmarkStart w:id="56" w:name="_Toc368666380"/>
      <w:bookmarkStart w:id="57" w:name="_Toc368666551"/>
      <w:bookmarkStart w:id="58" w:name="_Toc368664477"/>
      <w:bookmarkStart w:id="59" w:name="_Toc368664663"/>
      <w:bookmarkStart w:id="60" w:name="_Toc368664915"/>
      <w:bookmarkStart w:id="61" w:name="_Toc368665668"/>
      <w:bookmarkStart w:id="62" w:name="_Toc368665798"/>
      <w:bookmarkStart w:id="63" w:name="_Toc368665874"/>
      <w:bookmarkStart w:id="64" w:name="_Toc368665942"/>
      <w:bookmarkStart w:id="65" w:name="_Toc368666024"/>
      <w:bookmarkStart w:id="66" w:name="_Toc368666167"/>
      <w:bookmarkStart w:id="67" w:name="_Toc368666221"/>
      <w:bookmarkStart w:id="68" w:name="_Toc368666276"/>
      <w:bookmarkStart w:id="69" w:name="_Toc368666381"/>
      <w:bookmarkStart w:id="70" w:name="_Toc368666552"/>
      <w:bookmarkStart w:id="71" w:name="_Toc368664478"/>
      <w:bookmarkStart w:id="72" w:name="_Toc368664664"/>
      <w:bookmarkStart w:id="73" w:name="_Toc368664916"/>
      <w:bookmarkStart w:id="74" w:name="_Toc368665669"/>
      <w:bookmarkStart w:id="75" w:name="_Toc368665799"/>
      <w:bookmarkStart w:id="76" w:name="_Toc368665875"/>
      <w:bookmarkStart w:id="77" w:name="_Toc368665943"/>
      <w:bookmarkStart w:id="78" w:name="_Toc368666025"/>
      <w:bookmarkStart w:id="79" w:name="_Toc368666168"/>
      <w:bookmarkStart w:id="80" w:name="_Toc368666222"/>
      <w:bookmarkStart w:id="81" w:name="_Toc368666277"/>
      <w:bookmarkStart w:id="82" w:name="_Toc368666382"/>
      <w:bookmarkStart w:id="83" w:name="_Toc368666553"/>
      <w:bookmarkStart w:id="84" w:name="bookmark10"/>
      <w:bookmarkStart w:id="85" w:name="_Toc368664479"/>
      <w:bookmarkStart w:id="86" w:name="_Toc36866655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C56619" w:rsidRPr="00653DB5" w:rsidRDefault="00C56619" w:rsidP="00047108">
      <w:pPr>
        <w:pStyle w:val="Heading1"/>
        <w:numPr>
          <w:ilvl w:val="0"/>
          <w:numId w:val="78"/>
        </w:numPr>
        <w:rPr>
          <w:rFonts w:ascii="Times New Roman" w:eastAsia="Times New Roman" w:hAnsi="Times New Roman" w:cs="Times New Roman"/>
          <w:bCs w:val="0"/>
          <w:color w:val="000000" w:themeColor="text1"/>
          <w:kern w:val="32"/>
          <w:sz w:val="26"/>
          <w:szCs w:val="26"/>
          <w:lang w:eastAsia="en-GB"/>
        </w:rPr>
      </w:pPr>
      <w:bookmarkStart w:id="87" w:name="_Toc370392536"/>
      <w:bookmarkStart w:id="88" w:name="_Toc422318605"/>
      <w:bookmarkEnd w:id="84"/>
      <w:bookmarkEnd w:id="85"/>
      <w:bookmarkEnd w:id="86"/>
      <w:r w:rsidRPr="00653DB5">
        <w:rPr>
          <w:rFonts w:ascii="Times New Roman" w:eastAsia="Times New Roman" w:hAnsi="Times New Roman" w:cs="Times New Roman"/>
          <w:bCs w:val="0"/>
          <w:color w:val="000000" w:themeColor="text1"/>
          <w:kern w:val="32"/>
          <w:sz w:val="26"/>
          <w:szCs w:val="26"/>
          <w:lang w:eastAsia="en-GB"/>
        </w:rPr>
        <w:lastRenderedPageBreak/>
        <w:t xml:space="preserve"> </w:t>
      </w:r>
      <w:bookmarkStart w:id="89" w:name="_Toc485634391"/>
      <w:r w:rsidRPr="00653DB5">
        <w:rPr>
          <w:rFonts w:ascii="Times New Roman" w:eastAsia="Times New Roman" w:hAnsi="Times New Roman" w:cs="Times New Roman"/>
          <w:bCs w:val="0"/>
          <w:color w:val="000000" w:themeColor="text1"/>
          <w:kern w:val="32"/>
          <w:sz w:val="26"/>
          <w:szCs w:val="26"/>
          <w:lang w:eastAsia="en-GB"/>
        </w:rPr>
        <w:t>Identificarea pieţei de furniz</w:t>
      </w:r>
      <w:r w:rsidR="00BA3BE4" w:rsidRPr="00653DB5">
        <w:rPr>
          <w:rFonts w:ascii="Times New Roman" w:eastAsia="Times New Roman" w:hAnsi="Times New Roman" w:cs="Times New Roman"/>
          <w:bCs w:val="0"/>
          <w:color w:val="000000" w:themeColor="text1"/>
          <w:kern w:val="32"/>
          <w:sz w:val="26"/>
          <w:szCs w:val="26"/>
          <w:lang w:eastAsia="en-GB"/>
        </w:rPr>
        <w:t xml:space="preserve">are cu ridicata a unor segmente-trunchi </w:t>
      </w:r>
      <w:r w:rsidRPr="00653DB5">
        <w:rPr>
          <w:rFonts w:ascii="Times New Roman" w:eastAsia="Times New Roman" w:hAnsi="Times New Roman" w:cs="Times New Roman"/>
          <w:bCs w:val="0"/>
          <w:color w:val="000000" w:themeColor="text1"/>
          <w:kern w:val="32"/>
          <w:sz w:val="26"/>
          <w:szCs w:val="26"/>
          <w:lang w:eastAsia="en-GB"/>
        </w:rPr>
        <w:t>de linii închiriate, indiferent de tehnologia utilizată pentru punerea la dispoziţie de capacitate închiriată sau rezervată</w:t>
      </w:r>
      <w:bookmarkEnd w:id="87"/>
      <w:bookmarkEnd w:id="88"/>
      <w:bookmarkEnd w:id="89"/>
    </w:p>
    <w:p w:rsidR="00986771" w:rsidRPr="00653DB5" w:rsidRDefault="00986771" w:rsidP="00025509">
      <w:pPr>
        <w:pStyle w:val="Bodytext100"/>
        <w:shd w:val="clear" w:color="auto" w:fill="auto"/>
        <w:spacing w:before="0" w:after="0" w:line="240" w:lineRule="auto"/>
        <w:ind w:left="20" w:firstLine="567"/>
        <w:rPr>
          <w:color w:val="000000" w:themeColor="text1"/>
          <w:sz w:val="26"/>
          <w:szCs w:val="26"/>
        </w:rPr>
      </w:pPr>
    </w:p>
    <w:p w:rsidR="005F2BCA" w:rsidRPr="00653DB5" w:rsidRDefault="005F2BCA" w:rsidP="00025509">
      <w:pPr>
        <w:pStyle w:val="BodyText0"/>
        <w:ind w:firstLine="567"/>
        <w:jc w:val="both"/>
        <w:rPr>
          <w:rStyle w:val="longtext"/>
          <w:color w:val="000000" w:themeColor="text1"/>
          <w:sz w:val="26"/>
          <w:szCs w:val="26"/>
          <w:shd w:val="clear" w:color="auto" w:fill="FFFFFF"/>
          <w:lang w:val="ro-RO"/>
        </w:rPr>
      </w:pPr>
      <w:r w:rsidRPr="00653DB5">
        <w:rPr>
          <w:rStyle w:val="longtext"/>
          <w:color w:val="000000" w:themeColor="text1"/>
          <w:sz w:val="26"/>
          <w:szCs w:val="26"/>
          <w:shd w:val="clear" w:color="auto" w:fill="FFFFFF"/>
          <w:lang w:val="ro-RO"/>
        </w:rPr>
        <w:t>Conform p.5 al Regulamentului</w:t>
      </w:r>
      <w:r w:rsidR="00E00ED5" w:rsidRPr="00653DB5">
        <w:rPr>
          <w:rStyle w:val="longtext"/>
          <w:color w:val="000000" w:themeColor="text1"/>
          <w:sz w:val="26"/>
          <w:szCs w:val="26"/>
          <w:shd w:val="clear" w:color="auto" w:fill="FFFFFF"/>
          <w:lang w:val="ro-RO"/>
        </w:rPr>
        <w:t xml:space="preserve"> nr. 55/2008</w:t>
      </w:r>
      <w:r w:rsidRPr="00653DB5">
        <w:rPr>
          <w:rStyle w:val="longtext"/>
          <w:color w:val="000000" w:themeColor="text1"/>
          <w:sz w:val="26"/>
          <w:szCs w:val="26"/>
          <w:shd w:val="clear" w:color="auto" w:fill="FFFFFF"/>
          <w:lang w:val="ro-RO"/>
        </w:rPr>
        <w:t>, pentru a desfăşura procesul de identificare a pieţelor, ANRCETI va ţine cont de cele mai bune practici europene.</w:t>
      </w:r>
    </w:p>
    <w:p w:rsidR="005F2BCA" w:rsidRPr="00653DB5" w:rsidRDefault="005F2BCA" w:rsidP="00025509">
      <w:pPr>
        <w:ind w:firstLine="567"/>
        <w:jc w:val="both"/>
        <w:rPr>
          <w:rStyle w:val="longtext"/>
          <w:rFonts w:ascii="Times New Roman" w:hAnsi="Times New Roman" w:cs="Times New Roman"/>
          <w:color w:val="000000" w:themeColor="text1"/>
          <w:sz w:val="26"/>
          <w:szCs w:val="26"/>
          <w:shd w:val="clear" w:color="auto" w:fill="FFFFFF"/>
        </w:rPr>
      </w:pPr>
      <w:r w:rsidRPr="00653DB5">
        <w:rPr>
          <w:rStyle w:val="longtext"/>
          <w:rFonts w:ascii="Times New Roman" w:hAnsi="Times New Roman" w:cs="Times New Roman"/>
          <w:color w:val="000000" w:themeColor="text1"/>
          <w:sz w:val="26"/>
          <w:szCs w:val="26"/>
          <w:shd w:val="clear" w:color="auto" w:fill="FFFFFF"/>
        </w:rPr>
        <w:t>Regulamentul</w:t>
      </w:r>
      <w:r w:rsidR="00E00ED5" w:rsidRPr="00653DB5">
        <w:rPr>
          <w:rStyle w:val="longtext"/>
          <w:rFonts w:ascii="Times New Roman" w:hAnsi="Times New Roman" w:cs="Times New Roman"/>
          <w:color w:val="000000" w:themeColor="text1"/>
          <w:sz w:val="26"/>
          <w:szCs w:val="26"/>
          <w:shd w:val="clear" w:color="auto" w:fill="FFFFFF"/>
        </w:rPr>
        <w:t xml:space="preserve"> nr. 55/2008</w:t>
      </w:r>
      <w:r w:rsidRPr="00653DB5">
        <w:rPr>
          <w:rStyle w:val="longtext"/>
          <w:rFonts w:ascii="Times New Roman" w:hAnsi="Times New Roman" w:cs="Times New Roman"/>
          <w:color w:val="000000" w:themeColor="text1"/>
          <w:sz w:val="26"/>
          <w:szCs w:val="26"/>
          <w:shd w:val="clear" w:color="auto" w:fill="FFFFFF"/>
        </w:rPr>
        <w:t xml:space="preserve"> descrie un proces din două etape:</w:t>
      </w:r>
    </w:p>
    <w:p w:rsidR="005F2BCA" w:rsidRPr="00653DB5" w:rsidRDefault="005F2BCA" w:rsidP="00025509">
      <w:pPr>
        <w:ind w:firstLine="567"/>
        <w:jc w:val="both"/>
        <w:rPr>
          <w:rStyle w:val="longtext"/>
          <w:rFonts w:ascii="Times New Roman" w:hAnsi="Times New Roman" w:cs="Times New Roman"/>
          <w:color w:val="000000" w:themeColor="text1"/>
          <w:sz w:val="26"/>
          <w:szCs w:val="26"/>
          <w:shd w:val="clear" w:color="auto" w:fill="FFFFFF"/>
        </w:rPr>
      </w:pPr>
    </w:p>
    <w:p w:rsidR="005F2BCA" w:rsidRPr="00653DB5" w:rsidRDefault="00025509" w:rsidP="00025509">
      <w:pPr>
        <w:pStyle w:val="BodyText0"/>
        <w:numPr>
          <w:ilvl w:val="0"/>
          <w:numId w:val="65"/>
        </w:numPr>
        <w:tabs>
          <w:tab w:val="clear" w:pos="1695"/>
          <w:tab w:val="left" w:pos="851"/>
        </w:tabs>
        <w:autoSpaceDE/>
        <w:autoSpaceDN/>
        <w:adjustRightInd/>
        <w:ind w:left="0" w:firstLine="567"/>
        <w:jc w:val="both"/>
        <w:rPr>
          <w:rStyle w:val="longtext"/>
          <w:color w:val="000000" w:themeColor="text1"/>
          <w:sz w:val="26"/>
          <w:szCs w:val="26"/>
          <w:lang w:val="ro-RO" w:eastAsia="en-GB"/>
        </w:rPr>
      </w:pPr>
      <w:r w:rsidRPr="00653DB5">
        <w:rPr>
          <w:rStyle w:val="longtext"/>
          <w:color w:val="000000" w:themeColor="text1"/>
          <w:sz w:val="26"/>
          <w:szCs w:val="26"/>
          <w:shd w:val="clear" w:color="auto" w:fill="FFFFFF"/>
          <w:lang w:val="ro-RO"/>
        </w:rPr>
        <w:t>La prima etapă</w:t>
      </w:r>
      <w:r w:rsidR="005F2BCA" w:rsidRPr="00653DB5">
        <w:rPr>
          <w:rStyle w:val="longtext"/>
          <w:color w:val="000000" w:themeColor="text1"/>
          <w:sz w:val="26"/>
          <w:szCs w:val="26"/>
          <w:shd w:val="clear" w:color="auto" w:fill="FFFFFF"/>
          <w:lang w:val="ro-RO"/>
        </w:rPr>
        <w:t>, trebuie să fie stabilite limitele pieţei, din punct de vedere a produsului şi din punct de vedere geografic, utilizând Test</w:t>
      </w:r>
      <w:r w:rsidRPr="00653DB5">
        <w:rPr>
          <w:rStyle w:val="longtext"/>
          <w:color w:val="000000" w:themeColor="text1"/>
          <w:sz w:val="26"/>
          <w:szCs w:val="26"/>
          <w:shd w:val="clear" w:color="auto" w:fill="FFFFFF"/>
          <w:lang w:val="ro-RO"/>
        </w:rPr>
        <w:t>ul Monopolistului Ipotetic</w:t>
      </w:r>
      <w:r w:rsidR="005F2BCA" w:rsidRPr="00653DB5">
        <w:rPr>
          <w:rStyle w:val="longtext"/>
          <w:color w:val="000000" w:themeColor="text1"/>
          <w:sz w:val="26"/>
          <w:szCs w:val="26"/>
          <w:shd w:val="clear" w:color="auto" w:fill="FFFFFF"/>
          <w:lang w:val="ro-RO"/>
        </w:rPr>
        <w:t>.</w:t>
      </w:r>
    </w:p>
    <w:p w:rsidR="005F2BCA" w:rsidRPr="00653DB5" w:rsidRDefault="005F2BCA" w:rsidP="00025509">
      <w:pPr>
        <w:pStyle w:val="BodyText0"/>
        <w:tabs>
          <w:tab w:val="num" w:pos="0"/>
        </w:tabs>
        <w:ind w:firstLine="567"/>
        <w:jc w:val="both"/>
        <w:rPr>
          <w:rStyle w:val="longtext"/>
          <w:color w:val="000000" w:themeColor="text1"/>
          <w:sz w:val="26"/>
          <w:szCs w:val="26"/>
          <w:lang w:val="ro-RO" w:eastAsia="en-GB"/>
        </w:rPr>
      </w:pPr>
    </w:p>
    <w:p w:rsidR="005F2BCA" w:rsidRPr="00653DB5" w:rsidRDefault="00025509" w:rsidP="00025509">
      <w:pPr>
        <w:pStyle w:val="BodyText0"/>
        <w:numPr>
          <w:ilvl w:val="0"/>
          <w:numId w:val="65"/>
        </w:numPr>
        <w:tabs>
          <w:tab w:val="clear" w:pos="1695"/>
          <w:tab w:val="num" w:pos="0"/>
          <w:tab w:val="left" w:pos="851"/>
        </w:tabs>
        <w:autoSpaceDE/>
        <w:autoSpaceDN/>
        <w:adjustRightInd/>
        <w:ind w:left="0" w:firstLine="567"/>
        <w:jc w:val="both"/>
        <w:rPr>
          <w:color w:val="000000" w:themeColor="text1"/>
          <w:sz w:val="26"/>
          <w:szCs w:val="26"/>
          <w:lang w:val="ro-RO" w:eastAsia="en-GB"/>
        </w:rPr>
      </w:pPr>
      <w:r w:rsidRPr="00653DB5">
        <w:rPr>
          <w:rStyle w:val="longtext"/>
          <w:color w:val="000000" w:themeColor="text1"/>
          <w:sz w:val="26"/>
          <w:szCs w:val="26"/>
          <w:lang w:val="ro-RO"/>
        </w:rPr>
        <w:t>La a doua etapă</w:t>
      </w:r>
      <w:r w:rsidR="005F2BCA" w:rsidRPr="00653DB5">
        <w:rPr>
          <w:rStyle w:val="longtext"/>
          <w:color w:val="000000" w:themeColor="text1"/>
          <w:sz w:val="26"/>
          <w:szCs w:val="26"/>
          <w:lang w:val="ro-RO"/>
        </w:rPr>
        <w:t>, trebuie să fie confirmată susceptibilitatea pieţei la</w:t>
      </w:r>
      <w:r w:rsidR="00FB1894">
        <w:rPr>
          <w:rStyle w:val="longtext"/>
          <w:color w:val="000000" w:themeColor="text1"/>
          <w:sz w:val="26"/>
          <w:szCs w:val="26"/>
          <w:lang w:val="ro-RO"/>
        </w:rPr>
        <w:t xml:space="preserve"> </w:t>
      </w:r>
      <w:r w:rsidR="005F2BCA" w:rsidRPr="00653DB5">
        <w:rPr>
          <w:rStyle w:val="longtext"/>
          <w:color w:val="000000" w:themeColor="text1"/>
          <w:sz w:val="26"/>
          <w:szCs w:val="26"/>
          <w:lang w:val="ro-RO"/>
        </w:rPr>
        <w:t>reglementarea preventivă prin aplicarea testului celor trei criterii (p.20 şi p.44 ale Regulamentului</w:t>
      </w:r>
      <w:r w:rsidR="00E00ED5" w:rsidRPr="00653DB5">
        <w:rPr>
          <w:rStyle w:val="longtext"/>
          <w:color w:val="000000" w:themeColor="text1"/>
          <w:sz w:val="26"/>
          <w:szCs w:val="26"/>
          <w:lang w:val="ro-RO"/>
        </w:rPr>
        <w:t xml:space="preserve"> nr.55/2008</w:t>
      </w:r>
      <w:r w:rsidR="005F2BCA" w:rsidRPr="00653DB5">
        <w:rPr>
          <w:rStyle w:val="longtext"/>
          <w:color w:val="000000" w:themeColor="text1"/>
          <w:sz w:val="26"/>
          <w:szCs w:val="26"/>
          <w:lang w:val="ro-RO"/>
        </w:rPr>
        <w:t>)</w:t>
      </w:r>
      <w:r w:rsidR="005F2BCA" w:rsidRPr="00653DB5">
        <w:rPr>
          <w:color w:val="000000" w:themeColor="text1"/>
          <w:sz w:val="26"/>
          <w:szCs w:val="26"/>
          <w:lang w:val="ro-RO"/>
        </w:rPr>
        <w:t>.</w:t>
      </w:r>
    </w:p>
    <w:p w:rsidR="00986771" w:rsidRPr="00653DB5" w:rsidRDefault="00986771" w:rsidP="00025509">
      <w:pPr>
        <w:pStyle w:val="Bodytext100"/>
        <w:shd w:val="clear" w:color="auto" w:fill="auto"/>
        <w:tabs>
          <w:tab w:val="left" w:pos="774"/>
        </w:tabs>
        <w:spacing w:before="0" w:after="0" w:line="240" w:lineRule="auto"/>
        <w:ind w:left="1100" w:firstLine="567"/>
        <w:rPr>
          <w:color w:val="000000" w:themeColor="text1"/>
          <w:sz w:val="26"/>
          <w:szCs w:val="26"/>
        </w:rPr>
      </w:pPr>
    </w:p>
    <w:p w:rsidR="00790A2F" w:rsidRPr="00653DB5" w:rsidRDefault="00F3749E" w:rsidP="00025509">
      <w:pPr>
        <w:pStyle w:val="Heading21"/>
        <w:keepNext/>
        <w:keepLines/>
        <w:numPr>
          <w:ilvl w:val="0"/>
          <w:numId w:val="23"/>
        </w:numPr>
        <w:shd w:val="clear" w:color="auto" w:fill="auto"/>
        <w:tabs>
          <w:tab w:val="left" w:pos="993"/>
        </w:tabs>
        <w:spacing w:before="0" w:after="0" w:line="240" w:lineRule="auto"/>
        <w:ind w:left="0" w:firstLine="567"/>
        <w:jc w:val="left"/>
        <w:rPr>
          <w:color w:val="000000" w:themeColor="text1"/>
          <w:sz w:val="26"/>
          <w:szCs w:val="26"/>
        </w:rPr>
      </w:pPr>
      <w:bookmarkStart w:id="90" w:name="bookmark11"/>
      <w:bookmarkStart w:id="91" w:name="_Toc368666555"/>
      <w:bookmarkStart w:id="92" w:name="_Toc422317009"/>
      <w:bookmarkStart w:id="93" w:name="_Toc422318606"/>
      <w:bookmarkStart w:id="94" w:name="_Toc485634392"/>
      <w:r w:rsidRPr="00653DB5">
        <w:rPr>
          <w:color w:val="000000" w:themeColor="text1"/>
          <w:sz w:val="26"/>
          <w:szCs w:val="26"/>
        </w:rPr>
        <w:t>Testul Monopolistului Ipotetic</w:t>
      </w:r>
      <w:bookmarkEnd w:id="90"/>
      <w:bookmarkEnd w:id="91"/>
      <w:bookmarkEnd w:id="92"/>
      <w:bookmarkEnd w:id="93"/>
      <w:r w:rsidR="00025509" w:rsidRPr="00653DB5">
        <w:rPr>
          <w:color w:val="000000" w:themeColor="text1"/>
          <w:sz w:val="26"/>
          <w:szCs w:val="26"/>
        </w:rPr>
        <w:t xml:space="preserve"> (TMI)</w:t>
      </w:r>
      <w:bookmarkEnd w:id="94"/>
    </w:p>
    <w:p w:rsidR="009F337F" w:rsidRPr="00653DB5" w:rsidRDefault="009F337F" w:rsidP="00025509">
      <w:pPr>
        <w:pStyle w:val="Bodytext100"/>
        <w:shd w:val="clear" w:color="auto" w:fill="auto"/>
        <w:spacing w:before="0" w:after="0" w:line="240" w:lineRule="auto"/>
        <w:ind w:left="20" w:firstLine="567"/>
        <w:rPr>
          <w:color w:val="000000" w:themeColor="text1"/>
          <w:sz w:val="26"/>
          <w:szCs w:val="26"/>
        </w:rPr>
      </w:pPr>
    </w:p>
    <w:p w:rsidR="00790A2F" w:rsidRPr="00653DB5" w:rsidRDefault="00F3749E" w:rsidP="00025509">
      <w:pPr>
        <w:pStyle w:val="Bodytext100"/>
        <w:shd w:val="clear" w:color="auto" w:fill="auto"/>
        <w:spacing w:before="0" w:after="0" w:line="240" w:lineRule="auto"/>
        <w:ind w:left="20" w:firstLine="567"/>
        <w:rPr>
          <w:color w:val="000000" w:themeColor="text1"/>
          <w:sz w:val="26"/>
          <w:szCs w:val="26"/>
        </w:rPr>
      </w:pPr>
      <w:r w:rsidRPr="00653DB5">
        <w:rPr>
          <w:color w:val="000000" w:themeColor="text1"/>
          <w:sz w:val="26"/>
          <w:szCs w:val="26"/>
        </w:rPr>
        <w:t>Testul Monopolistului Ipotetic începe prin identificarea unui produs focal, adică produsul cel mai îngust definit care în mod evident se află pe piaţa analizată. Această piaţă poate include şi alte produse candidat în dependenţă de substituibilitatea dintre produsul candidat şi produsul focal. Sunt analizate 3 forme ale substituibilităţii produselor:</w:t>
      </w:r>
    </w:p>
    <w:p w:rsidR="00790A2F" w:rsidRPr="00653DB5" w:rsidRDefault="00F3749E" w:rsidP="00025509">
      <w:pPr>
        <w:pStyle w:val="Bodytext100"/>
        <w:numPr>
          <w:ilvl w:val="0"/>
          <w:numId w:val="4"/>
        </w:numPr>
        <w:shd w:val="clear" w:color="auto" w:fill="auto"/>
        <w:tabs>
          <w:tab w:val="left" w:pos="1062"/>
        </w:tabs>
        <w:spacing w:before="0" w:after="0" w:line="240" w:lineRule="auto"/>
        <w:ind w:firstLine="567"/>
        <w:jc w:val="left"/>
        <w:rPr>
          <w:color w:val="000000" w:themeColor="text1"/>
          <w:sz w:val="26"/>
          <w:szCs w:val="26"/>
        </w:rPr>
      </w:pPr>
      <w:r w:rsidRPr="00653DB5">
        <w:rPr>
          <w:color w:val="000000" w:themeColor="text1"/>
          <w:sz w:val="26"/>
          <w:szCs w:val="26"/>
        </w:rPr>
        <w:t>Substituibilitatea ofertei;</w:t>
      </w:r>
    </w:p>
    <w:p w:rsidR="00790A2F" w:rsidRPr="00653DB5" w:rsidRDefault="00F3749E" w:rsidP="00025509">
      <w:pPr>
        <w:pStyle w:val="Bodytext100"/>
        <w:numPr>
          <w:ilvl w:val="0"/>
          <w:numId w:val="4"/>
        </w:numPr>
        <w:shd w:val="clear" w:color="auto" w:fill="auto"/>
        <w:tabs>
          <w:tab w:val="left" w:pos="1066"/>
        </w:tabs>
        <w:spacing w:before="0" w:after="0" w:line="240" w:lineRule="auto"/>
        <w:ind w:firstLine="567"/>
        <w:jc w:val="left"/>
        <w:rPr>
          <w:color w:val="000000" w:themeColor="text1"/>
          <w:sz w:val="26"/>
          <w:szCs w:val="26"/>
        </w:rPr>
      </w:pPr>
      <w:r w:rsidRPr="00653DB5">
        <w:rPr>
          <w:color w:val="000000" w:themeColor="text1"/>
          <w:sz w:val="26"/>
          <w:szCs w:val="26"/>
        </w:rPr>
        <w:t>Substituibilitatea cererii cu ridicata;</w:t>
      </w:r>
    </w:p>
    <w:p w:rsidR="00790A2F" w:rsidRPr="00653DB5" w:rsidRDefault="00F3749E" w:rsidP="00025509">
      <w:pPr>
        <w:pStyle w:val="Bodytext100"/>
        <w:numPr>
          <w:ilvl w:val="0"/>
          <w:numId w:val="4"/>
        </w:numPr>
        <w:shd w:val="clear" w:color="auto" w:fill="auto"/>
        <w:tabs>
          <w:tab w:val="left" w:pos="1076"/>
        </w:tabs>
        <w:spacing w:before="0" w:after="0" w:line="240" w:lineRule="auto"/>
        <w:ind w:firstLine="567"/>
        <w:jc w:val="left"/>
        <w:rPr>
          <w:color w:val="000000" w:themeColor="text1"/>
          <w:sz w:val="26"/>
          <w:szCs w:val="26"/>
        </w:rPr>
      </w:pPr>
      <w:r w:rsidRPr="00653DB5">
        <w:rPr>
          <w:color w:val="000000" w:themeColor="text1"/>
          <w:sz w:val="26"/>
          <w:szCs w:val="26"/>
        </w:rPr>
        <w:t>Substituibilitatea cererii cu amănuntul.</w:t>
      </w:r>
    </w:p>
    <w:p w:rsidR="00790A2F" w:rsidRPr="00653DB5" w:rsidRDefault="00F3749E" w:rsidP="00025509">
      <w:pPr>
        <w:pStyle w:val="Bodytext100"/>
        <w:shd w:val="clear" w:color="auto" w:fill="auto"/>
        <w:spacing w:before="0" w:after="0" w:line="240" w:lineRule="auto"/>
        <w:ind w:firstLine="567"/>
        <w:rPr>
          <w:color w:val="000000" w:themeColor="text1"/>
          <w:sz w:val="26"/>
          <w:szCs w:val="26"/>
        </w:rPr>
      </w:pPr>
      <w:r w:rsidRPr="00653DB5">
        <w:rPr>
          <w:color w:val="000000" w:themeColor="text1"/>
          <w:sz w:val="26"/>
          <w:szCs w:val="26"/>
        </w:rPr>
        <w:t>La efectuarea TMI este analizat un monopolist ipotetic şi se verifică dacă o majorare mică dar semnificativă (creştere de 5-10%), non-tranzitorie (cel puţin cu durata de 1 an) a preţului produsului focal ("SSNIP") ar putea fi profitabilă.</w:t>
      </w:r>
    </w:p>
    <w:p w:rsidR="005F2BCA" w:rsidRPr="00653DB5" w:rsidRDefault="00F3749E" w:rsidP="00025509">
      <w:pPr>
        <w:pStyle w:val="Bodytext100"/>
        <w:shd w:val="clear" w:color="auto" w:fill="auto"/>
        <w:spacing w:before="0" w:after="0" w:line="240" w:lineRule="auto"/>
        <w:ind w:firstLine="567"/>
        <w:rPr>
          <w:color w:val="000000" w:themeColor="text1"/>
          <w:sz w:val="26"/>
          <w:szCs w:val="26"/>
        </w:rPr>
      </w:pPr>
      <w:r w:rsidRPr="00653DB5">
        <w:rPr>
          <w:color w:val="000000" w:themeColor="text1"/>
          <w:sz w:val="26"/>
          <w:szCs w:val="26"/>
        </w:rPr>
        <w:t>Aceasta presupune că fiecare substituent candidat este testat prin TMI dacă produce suficientă presiune competitivă asupra produsului focal. În cazul când SSNIP este profitabil, aceasta va fi o dovadă că produsul candidat nu este capabil să substituie produsul focal şi nu poate fi inclus în limitele pieţei produsului.</w:t>
      </w:r>
    </w:p>
    <w:p w:rsidR="00790A2F" w:rsidRPr="00653DB5" w:rsidRDefault="00F3749E" w:rsidP="00025509">
      <w:pPr>
        <w:pStyle w:val="Bodytext100"/>
        <w:shd w:val="clear" w:color="auto" w:fill="auto"/>
        <w:spacing w:before="0" w:after="0" w:line="240" w:lineRule="auto"/>
        <w:ind w:firstLine="567"/>
        <w:rPr>
          <w:color w:val="000000" w:themeColor="text1"/>
          <w:sz w:val="26"/>
          <w:szCs w:val="26"/>
        </w:rPr>
      </w:pPr>
      <w:r w:rsidRPr="00653DB5">
        <w:rPr>
          <w:color w:val="000000" w:themeColor="text1"/>
          <w:sz w:val="26"/>
          <w:szCs w:val="26"/>
        </w:rPr>
        <w:t>Dacă creşterea preţului produsului focal nu este profitabilă, definiţia serviciului trebuie extinsă pentru a include serviciile care pot substitui produsul focal.</w:t>
      </w:r>
    </w:p>
    <w:p w:rsidR="005F2BCA" w:rsidRPr="00653DB5" w:rsidRDefault="005F2BCA" w:rsidP="00025509">
      <w:pPr>
        <w:pStyle w:val="Bodytext100"/>
        <w:shd w:val="clear" w:color="auto" w:fill="auto"/>
        <w:spacing w:before="0" w:after="0" w:line="240" w:lineRule="auto"/>
        <w:ind w:firstLine="567"/>
        <w:rPr>
          <w:color w:val="000000" w:themeColor="text1"/>
          <w:sz w:val="26"/>
          <w:szCs w:val="26"/>
        </w:rPr>
      </w:pPr>
    </w:p>
    <w:p w:rsidR="00790A2F" w:rsidRPr="00653DB5" w:rsidRDefault="00F3749E" w:rsidP="00025509">
      <w:pPr>
        <w:pStyle w:val="Heading21"/>
        <w:keepNext/>
        <w:keepLines/>
        <w:numPr>
          <w:ilvl w:val="0"/>
          <w:numId w:val="23"/>
        </w:numPr>
        <w:shd w:val="clear" w:color="auto" w:fill="auto"/>
        <w:tabs>
          <w:tab w:val="left" w:pos="993"/>
        </w:tabs>
        <w:spacing w:before="0" w:after="0" w:line="240" w:lineRule="auto"/>
        <w:ind w:left="0" w:firstLine="567"/>
        <w:jc w:val="left"/>
        <w:rPr>
          <w:color w:val="000000" w:themeColor="text1"/>
          <w:sz w:val="26"/>
          <w:szCs w:val="26"/>
        </w:rPr>
      </w:pPr>
      <w:bookmarkStart w:id="95" w:name="bookmark12"/>
      <w:bookmarkStart w:id="96" w:name="_Toc368666556"/>
      <w:bookmarkStart w:id="97" w:name="_Toc422317010"/>
      <w:bookmarkStart w:id="98" w:name="_Toc422318607"/>
      <w:bookmarkStart w:id="99" w:name="_Toc485634393"/>
      <w:r w:rsidRPr="00653DB5">
        <w:rPr>
          <w:color w:val="000000" w:themeColor="text1"/>
          <w:sz w:val="26"/>
          <w:szCs w:val="26"/>
        </w:rPr>
        <w:t>Testul celor trei criterii</w:t>
      </w:r>
      <w:bookmarkEnd w:id="95"/>
      <w:bookmarkEnd w:id="96"/>
      <w:bookmarkEnd w:id="97"/>
      <w:bookmarkEnd w:id="98"/>
      <w:bookmarkEnd w:id="99"/>
    </w:p>
    <w:p w:rsidR="00790A2F" w:rsidRPr="00653DB5" w:rsidRDefault="00F3749E" w:rsidP="00025509">
      <w:pPr>
        <w:pStyle w:val="Bodytext100"/>
        <w:shd w:val="clear" w:color="auto" w:fill="auto"/>
        <w:spacing w:before="0" w:after="0" w:line="240" w:lineRule="auto"/>
        <w:ind w:left="20" w:right="7" w:firstLine="567"/>
        <w:rPr>
          <w:color w:val="000000" w:themeColor="text1"/>
          <w:sz w:val="26"/>
          <w:szCs w:val="26"/>
        </w:rPr>
      </w:pPr>
      <w:r w:rsidRPr="00653DB5">
        <w:rPr>
          <w:color w:val="000000" w:themeColor="text1"/>
          <w:sz w:val="26"/>
          <w:szCs w:val="26"/>
        </w:rPr>
        <w:t>Acest test se referă la cele trei criterii care se aplică înainte de a supune piaţa unei</w:t>
      </w:r>
      <w:r w:rsidR="00F57AE8" w:rsidRPr="00653DB5">
        <w:rPr>
          <w:color w:val="000000" w:themeColor="text1"/>
          <w:sz w:val="26"/>
          <w:szCs w:val="26"/>
        </w:rPr>
        <w:t xml:space="preserve"> </w:t>
      </w:r>
      <w:r w:rsidRPr="00653DB5">
        <w:rPr>
          <w:color w:val="000000" w:themeColor="text1"/>
          <w:sz w:val="26"/>
          <w:szCs w:val="26"/>
        </w:rPr>
        <w:t>reglementări preventive. Aceste criterii conform Regulamentului</w:t>
      </w:r>
      <w:r w:rsidR="00E00ED5" w:rsidRPr="00653DB5">
        <w:rPr>
          <w:color w:val="000000" w:themeColor="text1"/>
          <w:sz w:val="26"/>
          <w:szCs w:val="26"/>
        </w:rPr>
        <w:t xml:space="preserve"> nr. 55/2008</w:t>
      </w:r>
      <w:r w:rsidRPr="00653DB5">
        <w:rPr>
          <w:color w:val="000000" w:themeColor="text1"/>
          <w:sz w:val="26"/>
          <w:szCs w:val="26"/>
        </w:rPr>
        <w:t xml:space="preserve"> sunt:</w:t>
      </w:r>
    </w:p>
    <w:p w:rsidR="00790A2F" w:rsidRPr="00653DB5" w:rsidRDefault="00F3749E" w:rsidP="00025509">
      <w:pPr>
        <w:pStyle w:val="Bodytext100"/>
        <w:numPr>
          <w:ilvl w:val="0"/>
          <w:numId w:val="5"/>
        </w:numPr>
        <w:shd w:val="clear" w:color="auto" w:fill="auto"/>
        <w:tabs>
          <w:tab w:val="left" w:pos="980"/>
        </w:tabs>
        <w:spacing w:before="0" w:after="0" w:line="240" w:lineRule="auto"/>
        <w:ind w:firstLine="567"/>
        <w:jc w:val="left"/>
        <w:rPr>
          <w:color w:val="000000" w:themeColor="text1"/>
          <w:sz w:val="26"/>
          <w:szCs w:val="26"/>
        </w:rPr>
      </w:pPr>
      <w:r w:rsidRPr="00653DB5">
        <w:rPr>
          <w:color w:val="000000" w:themeColor="text1"/>
          <w:sz w:val="26"/>
          <w:szCs w:val="26"/>
        </w:rPr>
        <w:t>Prezenţa unor bariere înalte la intrare pe piaţă;</w:t>
      </w:r>
    </w:p>
    <w:p w:rsidR="00790A2F" w:rsidRPr="00653DB5" w:rsidRDefault="00F3749E" w:rsidP="00025509">
      <w:pPr>
        <w:pStyle w:val="Bodytext100"/>
        <w:numPr>
          <w:ilvl w:val="0"/>
          <w:numId w:val="5"/>
        </w:numPr>
        <w:shd w:val="clear" w:color="auto" w:fill="auto"/>
        <w:tabs>
          <w:tab w:val="left" w:pos="980"/>
        </w:tabs>
        <w:spacing w:before="0" w:after="0" w:line="240" w:lineRule="auto"/>
        <w:ind w:firstLine="567"/>
        <w:jc w:val="left"/>
        <w:rPr>
          <w:color w:val="000000" w:themeColor="text1"/>
          <w:sz w:val="26"/>
          <w:szCs w:val="26"/>
        </w:rPr>
      </w:pPr>
      <w:r w:rsidRPr="00653DB5">
        <w:rPr>
          <w:color w:val="000000" w:themeColor="text1"/>
          <w:sz w:val="26"/>
          <w:szCs w:val="26"/>
        </w:rPr>
        <w:t>Dinamica pieţei;</w:t>
      </w:r>
    </w:p>
    <w:p w:rsidR="00790A2F" w:rsidRPr="00653DB5" w:rsidRDefault="00F3749E" w:rsidP="00025509">
      <w:pPr>
        <w:pStyle w:val="Bodytext100"/>
        <w:numPr>
          <w:ilvl w:val="0"/>
          <w:numId w:val="5"/>
        </w:numPr>
        <w:shd w:val="clear" w:color="auto" w:fill="auto"/>
        <w:tabs>
          <w:tab w:val="left" w:pos="980"/>
          <w:tab w:val="left" w:pos="1062"/>
        </w:tabs>
        <w:spacing w:before="0" w:after="0" w:line="240" w:lineRule="auto"/>
        <w:ind w:firstLine="567"/>
        <w:jc w:val="left"/>
        <w:rPr>
          <w:color w:val="000000" w:themeColor="text1"/>
          <w:sz w:val="26"/>
          <w:szCs w:val="26"/>
        </w:rPr>
      </w:pPr>
      <w:r w:rsidRPr="00653DB5">
        <w:rPr>
          <w:color w:val="000000" w:themeColor="text1"/>
          <w:sz w:val="26"/>
          <w:szCs w:val="26"/>
        </w:rPr>
        <w:t>Insuficienţa aplicării prevederilor legislaţiei concurenţei.</w:t>
      </w:r>
    </w:p>
    <w:p w:rsidR="00790A2F" w:rsidRPr="00653DB5" w:rsidRDefault="00F3749E" w:rsidP="00025509">
      <w:pPr>
        <w:pStyle w:val="Bodytext100"/>
        <w:shd w:val="clear" w:color="auto" w:fill="auto"/>
        <w:spacing w:before="0" w:after="0" w:line="240" w:lineRule="auto"/>
        <w:ind w:firstLine="567"/>
        <w:rPr>
          <w:color w:val="000000" w:themeColor="text1"/>
          <w:sz w:val="26"/>
          <w:szCs w:val="26"/>
        </w:rPr>
      </w:pPr>
      <w:r w:rsidRPr="00653DB5">
        <w:rPr>
          <w:color w:val="000000" w:themeColor="text1"/>
          <w:sz w:val="26"/>
          <w:szCs w:val="26"/>
        </w:rPr>
        <w:t>Comisia Europeană sintetizează şi explică aceste criterii, după cum urmează:</w:t>
      </w:r>
    </w:p>
    <w:p w:rsidR="00A267F8" w:rsidRPr="00653DB5" w:rsidRDefault="00F3749E" w:rsidP="00025509">
      <w:pPr>
        <w:pStyle w:val="Bodytext110"/>
        <w:shd w:val="clear" w:color="auto" w:fill="auto"/>
        <w:spacing w:before="0" w:after="0" w:line="240" w:lineRule="auto"/>
        <w:ind w:right="20" w:firstLine="567"/>
        <w:rPr>
          <w:iCs w:val="0"/>
          <w:color w:val="000000" w:themeColor="text1"/>
          <w:sz w:val="26"/>
          <w:szCs w:val="26"/>
        </w:rPr>
      </w:pPr>
      <w:r w:rsidRPr="00653DB5">
        <w:rPr>
          <w:color w:val="000000" w:themeColor="text1"/>
          <w:sz w:val="26"/>
          <w:szCs w:val="26"/>
        </w:rPr>
        <w:t xml:space="preserve">Primul criteriu este prezenţa unor bariere înalte la intrarea pe piaţă. Dat fiind </w:t>
      </w:r>
      <w:r w:rsidRPr="00653DB5">
        <w:rPr>
          <w:color w:val="000000" w:themeColor="text1"/>
          <w:sz w:val="26"/>
          <w:szCs w:val="26"/>
        </w:rPr>
        <w:lastRenderedPageBreak/>
        <w:t>caracterul dinamic al pieţelor de comunicaţii electronice trebuie, de asemenea, să se ia în consideraţie şi posibilit</w:t>
      </w:r>
      <w:r w:rsidRPr="00653DB5">
        <w:rPr>
          <w:iCs w:val="0"/>
          <w:color w:val="000000" w:themeColor="text1"/>
          <w:sz w:val="26"/>
          <w:szCs w:val="26"/>
        </w:rPr>
        <w:t>ăţile pieţei de a tinde spre un rezultat competitiv, în pofida barierelor înalte la intrare.</w:t>
      </w:r>
      <w:r w:rsidR="00E00ED5" w:rsidRPr="00653DB5" w:rsidDel="00E00ED5">
        <w:rPr>
          <w:iCs w:val="0"/>
          <w:color w:val="000000" w:themeColor="text1"/>
          <w:sz w:val="26"/>
          <w:szCs w:val="26"/>
        </w:rPr>
        <w:t xml:space="preserve"> </w:t>
      </w:r>
    </w:p>
    <w:p w:rsidR="00790A2F" w:rsidRPr="00653DB5" w:rsidRDefault="00920211" w:rsidP="00025509">
      <w:pPr>
        <w:pStyle w:val="Bodytext11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C</w:t>
      </w:r>
      <w:r w:rsidR="00F3749E" w:rsidRPr="00653DB5">
        <w:rPr>
          <w:color w:val="000000" w:themeColor="text1"/>
          <w:sz w:val="26"/>
          <w:szCs w:val="26"/>
        </w:rPr>
        <w:t>el de-al doilea criteriu constă în faptul că o piaţă are şi aşa caracteristici de a nu tinde în timp spre o concurenţă efectivă. Acest criteriu este unul dinamic şi ia în consideraţie un număr de aspecte structurale şi de comportament care la examinarea tuturor factorilor, indică dacă piaţa are sau nu caracteristici de natură să justifice impunerea obligaţiilor de reglementare, conform Directivelor Europene.</w:t>
      </w:r>
    </w:p>
    <w:p w:rsidR="00790A2F" w:rsidRPr="00653DB5" w:rsidRDefault="00F3749E" w:rsidP="00025509">
      <w:pPr>
        <w:pStyle w:val="Bodytext11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Al treilea criteriu prevede insuficienţa legii concurenţei de a preveni de sine stătător eşecul pieţei</w:t>
      </w:r>
      <w:r w:rsidR="00B00EB8" w:rsidRPr="00653DB5">
        <w:rPr>
          <w:color w:val="000000" w:themeColor="text1"/>
          <w:sz w:val="26"/>
          <w:szCs w:val="26"/>
        </w:rPr>
        <w:t xml:space="preserve"> </w:t>
      </w:r>
      <w:r w:rsidRPr="00653DB5">
        <w:rPr>
          <w:color w:val="000000" w:themeColor="text1"/>
          <w:sz w:val="26"/>
          <w:szCs w:val="26"/>
        </w:rPr>
        <w:t>(fără reglementarea preventivă), luând în consideraţie caracteristicile specifice ale sectorului comunicaţiilor electronice.</w:t>
      </w:r>
    </w:p>
    <w:p w:rsidR="00EF6A54" w:rsidRPr="00653DB5" w:rsidRDefault="005353A6" w:rsidP="00025509">
      <w:pPr>
        <w:pStyle w:val="Bodytext100"/>
        <w:shd w:val="clear" w:color="auto" w:fill="auto"/>
        <w:spacing w:before="0" w:after="0" w:line="240" w:lineRule="auto"/>
        <w:ind w:right="20" w:firstLine="567"/>
        <w:rPr>
          <w:color w:val="000000" w:themeColor="text1"/>
          <w:sz w:val="26"/>
          <w:szCs w:val="26"/>
        </w:rPr>
      </w:pPr>
      <w:r w:rsidRPr="00653DB5">
        <w:rPr>
          <w:iCs/>
          <w:color w:val="000000" w:themeColor="text1"/>
          <w:sz w:val="26"/>
          <w:szCs w:val="26"/>
        </w:rPr>
        <w:t>Astfel, dacă ANRCETI ajunge la concluzia că pentru intrarea și ieșirea de pe piața relevantă a produsului există bariere semnificative, nu există semne că piața dată ar fi suficient de competitivă și nici semne ale unor tendințe spre o concurență efectivă î</w:t>
      </w:r>
      <w:r w:rsidR="00383D80" w:rsidRPr="00653DB5">
        <w:rPr>
          <w:iCs/>
          <w:color w:val="000000" w:themeColor="text1"/>
          <w:sz w:val="26"/>
          <w:szCs w:val="26"/>
        </w:rPr>
        <w:t>n</w:t>
      </w:r>
      <w:r w:rsidRPr="00653DB5">
        <w:rPr>
          <w:iCs/>
          <w:color w:val="000000" w:themeColor="text1"/>
          <w:sz w:val="26"/>
          <w:szCs w:val="26"/>
        </w:rPr>
        <w:t xml:space="preserve"> oriz</w:t>
      </w:r>
      <w:r w:rsidR="00383D80" w:rsidRPr="00653DB5">
        <w:rPr>
          <w:iCs/>
          <w:color w:val="000000" w:themeColor="text1"/>
          <w:sz w:val="26"/>
          <w:szCs w:val="26"/>
        </w:rPr>
        <w:t>o</w:t>
      </w:r>
      <w:r w:rsidRPr="00653DB5">
        <w:rPr>
          <w:iCs/>
          <w:color w:val="000000" w:themeColor="text1"/>
          <w:sz w:val="26"/>
          <w:szCs w:val="26"/>
        </w:rPr>
        <w:t>ntul scurt și mediu de</w:t>
      </w:r>
      <w:r w:rsidR="00383D80" w:rsidRPr="00653DB5">
        <w:rPr>
          <w:iCs/>
          <w:color w:val="000000" w:themeColor="text1"/>
          <w:sz w:val="26"/>
          <w:szCs w:val="26"/>
        </w:rPr>
        <w:t xml:space="preserve"> </w:t>
      </w:r>
      <w:r w:rsidRPr="00653DB5">
        <w:rPr>
          <w:iCs/>
          <w:color w:val="000000" w:themeColor="text1"/>
          <w:sz w:val="26"/>
          <w:szCs w:val="26"/>
        </w:rPr>
        <w:t>timp, precum și ajunge la concluzia că aplicarea doar a instrumentel</w:t>
      </w:r>
      <w:r w:rsidR="00103BFF" w:rsidRPr="00653DB5">
        <w:rPr>
          <w:iCs/>
          <w:color w:val="000000" w:themeColor="text1"/>
          <w:sz w:val="26"/>
          <w:szCs w:val="26"/>
        </w:rPr>
        <w:t>or legislației generale a concu</w:t>
      </w:r>
      <w:r w:rsidRPr="00653DB5">
        <w:rPr>
          <w:iCs/>
          <w:color w:val="000000" w:themeColor="text1"/>
          <w:sz w:val="26"/>
          <w:szCs w:val="26"/>
        </w:rPr>
        <w:t>renței este insuficientă</w:t>
      </w:r>
      <w:r w:rsidR="007400CE" w:rsidRPr="00653DB5">
        <w:rPr>
          <w:iCs/>
          <w:color w:val="000000" w:themeColor="text1"/>
          <w:sz w:val="26"/>
          <w:szCs w:val="26"/>
        </w:rPr>
        <w:t xml:space="preserve"> pentru rezolvarea eșecului concurenței, atunci piața dată este susceptibilă reglementă</w:t>
      </w:r>
      <w:r w:rsidR="00EF6A54" w:rsidRPr="00653DB5">
        <w:rPr>
          <w:iCs/>
          <w:color w:val="000000" w:themeColor="text1"/>
          <w:sz w:val="26"/>
          <w:szCs w:val="26"/>
        </w:rPr>
        <w:t>rii preventive. În asemenea caz, ANRCETI identifică prin decizia Consiliului de Administrație piața dată drept relevantă reglementării preventive</w:t>
      </w:r>
      <w:r w:rsidR="00920211" w:rsidRPr="00653DB5">
        <w:rPr>
          <w:iCs/>
          <w:color w:val="000000" w:themeColor="text1"/>
          <w:sz w:val="26"/>
          <w:szCs w:val="26"/>
        </w:rPr>
        <w:t xml:space="preserve"> (reglementării </w:t>
      </w:r>
      <w:r w:rsidR="00920211" w:rsidRPr="00653DB5">
        <w:rPr>
          <w:i/>
          <w:iCs/>
          <w:color w:val="000000" w:themeColor="text1"/>
          <w:sz w:val="26"/>
          <w:szCs w:val="26"/>
        </w:rPr>
        <w:t>ex-ante</w:t>
      </w:r>
      <w:r w:rsidR="00920211" w:rsidRPr="00653DB5">
        <w:rPr>
          <w:iCs/>
          <w:color w:val="000000" w:themeColor="text1"/>
          <w:sz w:val="26"/>
          <w:szCs w:val="26"/>
        </w:rPr>
        <w:t>)</w:t>
      </w:r>
      <w:r w:rsidR="00EF6A54" w:rsidRPr="00653DB5">
        <w:rPr>
          <w:iCs/>
          <w:color w:val="000000" w:themeColor="text1"/>
          <w:sz w:val="26"/>
          <w:szCs w:val="26"/>
        </w:rPr>
        <w:t>.</w:t>
      </w:r>
    </w:p>
    <w:p w:rsidR="00920211" w:rsidRPr="00653DB5" w:rsidRDefault="00920211"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În acest compartiment, ANRCETI, prezintă raționamentele sale în ceea ce privește identificarea pieței furnizării cu ridicata a unor segmente-trunchi de linii închiriate, indiferent de tehnologia utilizată pentru punerea la dispoziţie de capacitate închiriată sau rezervată.</w:t>
      </w:r>
    </w:p>
    <w:p w:rsidR="00360769" w:rsidRPr="00653DB5" w:rsidRDefault="00F3749E" w:rsidP="00025509">
      <w:pPr>
        <w:pStyle w:val="Bodytext100"/>
        <w:shd w:val="clear" w:color="auto" w:fill="auto"/>
        <w:tabs>
          <w:tab w:val="left" w:pos="567"/>
        </w:tabs>
        <w:spacing w:before="0" w:after="0" w:line="240" w:lineRule="auto"/>
        <w:ind w:right="20" w:firstLine="567"/>
        <w:rPr>
          <w:color w:val="000000" w:themeColor="text1"/>
          <w:sz w:val="26"/>
          <w:szCs w:val="26"/>
        </w:rPr>
      </w:pPr>
      <w:r w:rsidRPr="00653DB5">
        <w:rPr>
          <w:color w:val="000000" w:themeColor="text1"/>
          <w:sz w:val="26"/>
          <w:szCs w:val="26"/>
        </w:rPr>
        <w:t xml:space="preserve">Piaţa </w:t>
      </w:r>
      <w:r w:rsidR="00F166A5" w:rsidRPr="00653DB5">
        <w:rPr>
          <w:color w:val="000000" w:themeColor="text1"/>
          <w:sz w:val="26"/>
          <w:szCs w:val="26"/>
        </w:rPr>
        <w:t xml:space="preserve">analizată </w:t>
      </w:r>
      <w:r w:rsidRPr="00653DB5">
        <w:rPr>
          <w:color w:val="000000" w:themeColor="text1"/>
          <w:sz w:val="26"/>
          <w:szCs w:val="26"/>
        </w:rPr>
        <w:t>este cuprinsă de Recomandarea Comisiei Europene C(2003)497</w:t>
      </w:r>
      <w:r w:rsidR="00920211" w:rsidRPr="00653DB5">
        <w:rPr>
          <w:rStyle w:val="FootnoteReference"/>
          <w:color w:val="000000" w:themeColor="text1"/>
          <w:sz w:val="26"/>
          <w:szCs w:val="26"/>
        </w:rPr>
        <w:footnoteReference w:id="1"/>
      </w:r>
      <w:r w:rsidRPr="00653DB5">
        <w:rPr>
          <w:color w:val="000000" w:themeColor="text1"/>
          <w:sz w:val="26"/>
          <w:szCs w:val="26"/>
        </w:rPr>
        <w:t xml:space="preserve"> (Piaţa 14). </w:t>
      </w:r>
      <w:r w:rsidR="00360769" w:rsidRPr="00653DB5">
        <w:rPr>
          <w:color w:val="000000" w:themeColor="text1"/>
          <w:sz w:val="26"/>
          <w:szCs w:val="26"/>
        </w:rPr>
        <w:t xml:space="preserve">Totodată </w:t>
      </w:r>
      <w:r w:rsidR="00F166A5" w:rsidRPr="00653DB5">
        <w:rPr>
          <w:color w:val="000000" w:themeColor="text1"/>
          <w:sz w:val="26"/>
          <w:szCs w:val="26"/>
        </w:rPr>
        <w:t xml:space="preserve">aceasta, datorită dezvoltării rețelelor optice magistrale concurente, nu am mai fost </w:t>
      </w:r>
      <w:r w:rsidR="00360769" w:rsidRPr="00653DB5">
        <w:rPr>
          <w:color w:val="000000" w:themeColor="text1"/>
          <w:sz w:val="26"/>
          <w:szCs w:val="26"/>
        </w:rPr>
        <w:t>inclusă în Recomandările 2007</w:t>
      </w:r>
      <w:r w:rsidR="00351459" w:rsidRPr="00653DB5">
        <w:rPr>
          <w:color w:val="000000" w:themeColor="text1"/>
          <w:sz w:val="26"/>
          <w:szCs w:val="26"/>
        </w:rPr>
        <w:t>/879</w:t>
      </w:r>
      <w:r w:rsidR="00360769" w:rsidRPr="00653DB5">
        <w:rPr>
          <w:color w:val="000000" w:themeColor="text1"/>
          <w:sz w:val="26"/>
          <w:szCs w:val="26"/>
        </w:rPr>
        <w:t>/C</w:t>
      </w:r>
      <w:r w:rsidR="00351459" w:rsidRPr="00653DB5">
        <w:rPr>
          <w:color w:val="000000" w:themeColor="text1"/>
          <w:sz w:val="26"/>
          <w:szCs w:val="26"/>
        </w:rPr>
        <w:t>E</w:t>
      </w:r>
      <w:r w:rsidR="00360769" w:rsidRPr="00653DB5">
        <w:rPr>
          <w:color w:val="000000" w:themeColor="text1"/>
          <w:sz w:val="26"/>
          <w:szCs w:val="26"/>
        </w:rPr>
        <w:t xml:space="preserve"> și 2014/710/CE privind produsele și serviciile din domeniul comunicațiilor electronice susceptibile reglementării preventive.</w:t>
      </w:r>
      <w:r w:rsidR="00FB1894">
        <w:rPr>
          <w:color w:val="000000" w:themeColor="text1"/>
          <w:sz w:val="26"/>
          <w:szCs w:val="26"/>
        </w:rPr>
        <w:t xml:space="preserve"> </w:t>
      </w:r>
      <w:r w:rsidR="00360769" w:rsidRPr="00653DB5">
        <w:rPr>
          <w:color w:val="000000" w:themeColor="text1"/>
          <w:sz w:val="26"/>
          <w:szCs w:val="26"/>
        </w:rPr>
        <w:t xml:space="preserve">ANRCETI </w:t>
      </w:r>
      <w:r w:rsidR="00F166A5" w:rsidRPr="00653DB5">
        <w:rPr>
          <w:color w:val="000000" w:themeColor="text1"/>
          <w:sz w:val="26"/>
          <w:szCs w:val="26"/>
        </w:rPr>
        <w:t>a</w:t>
      </w:r>
      <w:r w:rsidR="00360769" w:rsidRPr="00653DB5">
        <w:rPr>
          <w:color w:val="000000" w:themeColor="text1"/>
          <w:sz w:val="26"/>
          <w:szCs w:val="26"/>
        </w:rPr>
        <w:t xml:space="preserve"> testa</w:t>
      </w:r>
      <w:r w:rsidR="00F166A5" w:rsidRPr="00653DB5">
        <w:rPr>
          <w:color w:val="000000" w:themeColor="text1"/>
          <w:sz w:val="26"/>
          <w:szCs w:val="26"/>
        </w:rPr>
        <w:t>t</w:t>
      </w:r>
      <w:r w:rsidR="00360769" w:rsidRPr="00653DB5">
        <w:rPr>
          <w:color w:val="000000" w:themeColor="text1"/>
          <w:sz w:val="26"/>
          <w:szCs w:val="26"/>
        </w:rPr>
        <w:t xml:space="preserve"> dacă această piaţă </w:t>
      </w:r>
      <w:r w:rsidR="00F166A5" w:rsidRPr="00653DB5">
        <w:rPr>
          <w:color w:val="000000" w:themeColor="text1"/>
          <w:sz w:val="26"/>
          <w:szCs w:val="26"/>
        </w:rPr>
        <w:t>continuă să fie</w:t>
      </w:r>
      <w:r w:rsidR="00360769" w:rsidRPr="00653DB5">
        <w:rPr>
          <w:color w:val="000000" w:themeColor="text1"/>
          <w:sz w:val="26"/>
          <w:szCs w:val="26"/>
        </w:rPr>
        <w:t xml:space="preserve"> susceptibilă reglementării preventive în circumstanţele naţionale.</w:t>
      </w:r>
    </w:p>
    <w:p w:rsidR="00790A2F" w:rsidRPr="00653DB5" w:rsidRDefault="00920211" w:rsidP="00047108">
      <w:pPr>
        <w:pStyle w:val="Bodytext100"/>
        <w:shd w:val="clear" w:color="auto" w:fill="auto"/>
        <w:tabs>
          <w:tab w:val="left" w:pos="567"/>
        </w:tabs>
        <w:spacing w:before="0" w:after="0" w:line="240" w:lineRule="auto"/>
        <w:ind w:right="20" w:firstLine="567"/>
        <w:rPr>
          <w:color w:val="000000" w:themeColor="text1"/>
          <w:sz w:val="26"/>
          <w:szCs w:val="26"/>
        </w:rPr>
      </w:pPr>
      <w:r w:rsidRPr="00653DB5">
        <w:rPr>
          <w:color w:val="000000" w:themeColor="text1"/>
          <w:sz w:val="26"/>
          <w:szCs w:val="26"/>
        </w:rPr>
        <w:t>Pentru a lua decizia dacă piaţa dată este sau nu susceptibilă reglementării preventive, ANRCETI, conform prevederilor Regulamentului</w:t>
      </w:r>
      <w:r w:rsidR="00A267F8" w:rsidRPr="00653DB5">
        <w:rPr>
          <w:color w:val="000000" w:themeColor="text1"/>
          <w:sz w:val="26"/>
          <w:szCs w:val="26"/>
        </w:rPr>
        <w:t xml:space="preserve"> nr. 55/2008</w:t>
      </w:r>
      <w:r w:rsidRPr="00653DB5">
        <w:rPr>
          <w:color w:val="000000" w:themeColor="text1"/>
          <w:sz w:val="26"/>
          <w:szCs w:val="26"/>
        </w:rPr>
        <w:t>, va desfăşura un proces în două etape: va identifica piaţa relevantă a produsului şi piaţa relevantă geografică; şi va testa susceptibilitatea pieţei la reglementarea preventivă.</w:t>
      </w:r>
    </w:p>
    <w:p w:rsidR="00BA3BE4" w:rsidRPr="00653DB5" w:rsidRDefault="00BA3BE4" w:rsidP="00025509">
      <w:pPr>
        <w:pStyle w:val="Bodytext100"/>
        <w:shd w:val="clear" w:color="auto" w:fill="auto"/>
        <w:spacing w:before="0" w:after="0" w:line="240" w:lineRule="auto"/>
        <w:ind w:left="40" w:right="20" w:firstLine="567"/>
        <w:rPr>
          <w:color w:val="000000" w:themeColor="text1"/>
          <w:sz w:val="26"/>
          <w:szCs w:val="26"/>
        </w:rPr>
      </w:pPr>
    </w:p>
    <w:p w:rsidR="00790A2F" w:rsidRPr="00653DB5" w:rsidRDefault="00F3749E" w:rsidP="00025509">
      <w:pPr>
        <w:pStyle w:val="Heading21"/>
        <w:keepNext/>
        <w:keepLines/>
        <w:numPr>
          <w:ilvl w:val="0"/>
          <w:numId w:val="23"/>
        </w:numPr>
        <w:shd w:val="clear" w:color="auto" w:fill="auto"/>
        <w:tabs>
          <w:tab w:val="left" w:pos="993"/>
        </w:tabs>
        <w:spacing w:before="0" w:after="0" w:line="240" w:lineRule="auto"/>
        <w:ind w:left="0" w:firstLine="567"/>
        <w:jc w:val="left"/>
        <w:rPr>
          <w:color w:val="000000" w:themeColor="text1"/>
          <w:sz w:val="26"/>
          <w:szCs w:val="26"/>
        </w:rPr>
      </w:pPr>
      <w:bookmarkStart w:id="100" w:name="bookmark13"/>
      <w:bookmarkStart w:id="101" w:name="_Toc368666557"/>
      <w:bookmarkStart w:id="102" w:name="_Toc422317011"/>
      <w:bookmarkStart w:id="103" w:name="_Toc422318608"/>
      <w:bookmarkStart w:id="104" w:name="_Toc485634394"/>
      <w:r w:rsidRPr="00653DB5">
        <w:rPr>
          <w:color w:val="000000" w:themeColor="text1"/>
          <w:sz w:val="26"/>
          <w:szCs w:val="26"/>
        </w:rPr>
        <w:t>Definirea pieţei</w:t>
      </w:r>
      <w:bookmarkEnd w:id="100"/>
      <w:r w:rsidR="0084383C" w:rsidRPr="00653DB5">
        <w:rPr>
          <w:color w:val="000000" w:themeColor="text1"/>
          <w:sz w:val="26"/>
          <w:szCs w:val="26"/>
        </w:rPr>
        <w:t xml:space="preserve"> produsului</w:t>
      </w:r>
      <w:bookmarkEnd w:id="101"/>
      <w:bookmarkEnd w:id="102"/>
      <w:bookmarkEnd w:id="103"/>
      <w:bookmarkEnd w:id="104"/>
    </w:p>
    <w:p w:rsidR="009F337F" w:rsidRPr="00653DB5" w:rsidRDefault="009F337F" w:rsidP="00025509">
      <w:pPr>
        <w:pStyle w:val="Bodytext100"/>
        <w:shd w:val="clear" w:color="auto" w:fill="auto"/>
        <w:spacing w:before="0" w:after="0" w:line="240" w:lineRule="auto"/>
        <w:ind w:right="20" w:firstLine="567"/>
        <w:rPr>
          <w:color w:val="000000" w:themeColor="text1"/>
          <w:sz w:val="26"/>
          <w:szCs w:val="26"/>
        </w:rPr>
      </w:pPr>
    </w:p>
    <w:p w:rsidR="00920211" w:rsidRPr="00653DB5" w:rsidRDefault="00F3749E"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 xml:space="preserve">Piaţa analizată în acest document este </w:t>
      </w:r>
      <w:r w:rsidRPr="00653DB5">
        <w:rPr>
          <w:b/>
          <w:color w:val="000000" w:themeColor="text1"/>
          <w:sz w:val="26"/>
          <w:szCs w:val="26"/>
        </w:rPr>
        <w:t>furnizarea cu ridicata a unor segmente-trunchi de linii închiriate, indiferent de tehnologia utilizată pentru punerea la dispoziţie de capacitate închiriată sau rezervată</w:t>
      </w:r>
      <w:r w:rsidRPr="00653DB5">
        <w:rPr>
          <w:color w:val="000000" w:themeColor="text1"/>
          <w:sz w:val="26"/>
          <w:szCs w:val="26"/>
        </w:rPr>
        <w:t xml:space="preserve">. </w:t>
      </w:r>
    </w:p>
    <w:p w:rsidR="00790A2F" w:rsidRPr="00653DB5" w:rsidRDefault="00F3749E"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 xml:space="preserve">În conformitate cu practicile Uniunii Europene, piaţa </w:t>
      </w:r>
      <w:r w:rsidR="00DF2A06" w:rsidRPr="00653DB5">
        <w:rPr>
          <w:color w:val="000000" w:themeColor="text1"/>
          <w:sz w:val="26"/>
          <w:szCs w:val="26"/>
        </w:rPr>
        <w:t>serviciilor</w:t>
      </w:r>
      <w:r w:rsidRPr="00653DB5">
        <w:rPr>
          <w:color w:val="000000" w:themeColor="text1"/>
          <w:sz w:val="26"/>
          <w:szCs w:val="26"/>
        </w:rPr>
        <w:t xml:space="preserve"> de linii închiriate poate fi definită în baza următoarelor definiţii de mai jos (care urmează):</w:t>
      </w:r>
    </w:p>
    <w:p w:rsidR="00790A2F" w:rsidRPr="00653DB5" w:rsidRDefault="00F3749E"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lastRenderedPageBreak/>
        <w:t>Linii închiriate înseamnă „totalitatea echipamentelor de comunicaţii electronice care oferă capacitatea de transmisie dedicată între punctele de acces la reţea, dar care nu includ funcţii de comutare care să poată fi controlate de către utilizator.”</w:t>
      </w:r>
    </w:p>
    <w:p w:rsidR="00790A2F" w:rsidRPr="00653DB5" w:rsidRDefault="00F3749E"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În armonie cu această definiţie ANRCETI consideră drept linii închiriate toate echipamentele de comunicaţii electronice care furnizează capacităţi de transmitere dedicate (între două puncte şi care nu includ servicii de comutare a datelor transmise</w:t>
      </w:r>
      <w:r w:rsidR="00DF2A06" w:rsidRPr="00653DB5">
        <w:rPr>
          <w:color w:val="000000" w:themeColor="text1"/>
          <w:sz w:val="26"/>
          <w:szCs w:val="26"/>
        </w:rPr>
        <w:t>)</w:t>
      </w:r>
      <w:r w:rsidRPr="00653DB5">
        <w:rPr>
          <w:color w:val="000000" w:themeColor="text1"/>
          <w:sz w:val="26"/>
          <w:szCs w:val="26"/>
        </w:rPr>
        <w:t>.</w:t>
      </w:r>
    </w:p>
    <w:p w:rsidR="00790A2F" w:rsidRPr="00653DB5" w:rsidRDefault="00F3749E"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Linia închiriată oferă conexiune de transmisie dintre două puncte de acces la reţea la o anumită rată de transmisie solicitată (de exemplu, lăţimea de bandă) de către cumpărător. În consecinţă, unul din parametrii de conectare a liniilor închiriate este lăţimea de bandă, iar alt parametru este localizarea geografică a celor două puncte de acces la reţea.</w:t>
      </w:r>
    </w:p>
    <w:p w:rsidR="00790A2F" w:rsidRPr="00653DB5" w:rsidRDefault="00F3749E"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 xml:space="preserve">În ceea ce priveşte serviciile de linii închiriate există </w:t>
      </w:r>
      <w:proofErr w:type="spellStart"/>
      <w:r w:rsidRPr="00653DB5">
        <w:rPr>
          <w:color w:val="000000" w:themeColor="text1"/>
          <w:sz w:val="26"/>
          <w:szCs w:val="26"/>
        </w:rPr>
        <w:t>atît</w:t>
      </w:r>
      <w:proofErr w:type="spellEnd"/>
      <w:r w:rsidRPr="00653DB5">
        <w:rPr>
          <w:color w:val="000000" w:themeColor="text1"/>
          <w:sz w:val="26"/>
          <w:szCs w:val="26"/>
        </w:rPr>
        <w:t xml:space="preserve"> piaţă cu amănuntul, </w:t>
      </w:r>
      <w:proofErr w:type="spellStart"/>
      <w:r w:rsidRPr="00653DB5">
        <w:rPr>
          <w:color w:val="000000" w:themeColor="text1"/>
          <w:sz w:val="26"/>
          <w:szCs w:val="26"/>
        </w:rPr>
        <w:t>cît</w:t>
      </w:r>
      <w:proofErr w:type="spellEnd"/>
      <w:r w:rsidRPr="00653DB5">
        <w:rPr>
          <w:color w:val="000000" w:themeColor="text1"/>
          <w:sz w:val="26"/>
          <w:szCs w:val="26"/>
        </w:rPr>
        <w:t xml:space="preserve"> şi cu ridicata. Dacă un furnizor furnizează servicii de linii închiriate unui utilizator final se consideră a fi o tranzacţie cu amănuntul. În cazul în care furnizorul furnizează servicii de linii închiriate către un alt furnizor de comunicaţii elec</w:t>
      </w:r>
      <w:r w:rsidR="00A267F8" w:rsidRPr="00653DB5">
        <w:rPr>
          <w:color w:val="000000" w:themeColor="text1"/>
          <w:sz w:val="26"/>
          <w:szCs w:val="26"/>
        </w:rPr>
        <w:t>t</w:t>
      </w:r>
      <w:r w:rsidRPr="00653DB5">
        <w:rPr>
          <w:color w:val="000000" w:themeColor="text1"/>
          <w:sz w:val="26"/>
          <w:szCs w:val="26"/>
        </w:rPr>
        <w:t xml:space="preserve">ronice, fie pentru utilizarea serviciilor date în reţeaua proprie sau pentru </w:t>
      </w:r>
      <w:r w:rsidR="00EA4D23" w:rsidRPr="00653DB5">
        <w:rPr>
          <w:color w:val="000000" w:themeColor="text1"/>
          <w:sz w:val="26"/>
          <w:szCs w:val="26"/>
        </w:rPr>
        <w:t>revânzarea</w:t>
      </w:r>
      <w:r w:rsidRPr="00653DB5">
        <w:rPr>
          <w:color w:val="000000" w:themeColor="text1"/>
          <w:sz w:val="26"/>
          <w:szCs w:val="26"/>
        </w:rPr>
        <w:t xml:space="preserve"> lor, este considerată a fi o tranzacţie cu ridicata.</w:t>
      </w:r>
    </w:p>
    <w:p w:rsidR="00E624FF" w:rsidRPr="00653DB5" w:rsidRDefault="00DF2A06"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 xml:space="preserve">Segmentele trunchi de linii închiriate cuprind circuitul total delimitat de două puncte de interconectare pentru linii închiriate situate la nivelul reţelei de transport locale sau al reţelei de transport naţionale și prin intermediul căruia </w:t>
      </w:r>
      <w:r w:rsidRPr="00653DB5">
        <w:rPr>
          <w:color w:val="000000" w:themeColor="text1"/>
          <w:sz w:val="26"/>
          <w:szCs w:val="26"/>
          <w:lang w:eastAsia="ru-RU"/>
        </w:rPr>
        <w:t>se oferă o capacitate de transmisie simetrică şi permanentă.</w:t>
      </w:r>
      <w:r w:rsidRPr="00653DB5">
        <w:rPr>
          <w:color w:val="000000" w:themeColor="text1"/>
          <w:sz w:val="26"/>
          <w:szCs w:val="26"/>
        </w:rPr>
        <w:t xml:space="preserve"> </w:t>
      </w:r>
      <w:r w:rsidRPr="00653DB5">
        <w:rPr>
          <w:b/>
          <w:color w:val="000000" w:themeColor="text1"/>
          <w:sz w:val="26"/>
          <w:szCs w:val="26"/>
        </w:rPr>
        <w:t>Figura 1</w:t>
      </w:r>
      <w:r w:rsidRPr="00653DB5">
        <w:rPr>
          <w:color w:val="000000" w:themeColor="text1"/>
          <w:sz w:val="26"/>
          <w:szCs w:val="26"/>
        </w:rPr>
        <w:t xml:space="preserve"> descrie schematic acest serviciu.</w:t>
      </w:r>
    </w:p>
    <w:p w:rsidR="00DF2A06" w:rsidRPr="00653DB5" w:rsidRDefault="001A5B93" w:rsidP="00EF75DA">
      <w:pPr>
        <w:pStyle w:val="Bodytext100"/>
        <w:shd w:val="clear" w:color="auto" w:fill="auto"/>
        <w:spacing w:before="120" w:after="120" w:line="240" w:lineRule="auto"/>
        <w:ind w:left="40" w:right="20" w:firstLine="527"/>
        <w:rPr>
          <w:color w:val="000000" w:themeColor="text1"/>
          <w:sz w:val="26"/>
          <w:szCs w:val="26"/>
        </w:rPr>
      </w:pPr>
      <w:r w:rsidRPr="00653DB5">
        <w:rPr>
          <w:noProof/>
          <w:color w:val="000000" w:themeColor="text1"/>
          <w:sz w:val="26"/>
          <w:szCs w:val="26"/>
          <w:lang w:val="en-US"/>
        </w:rPr>
        <mc:AlternateContent>
          <mc:Choice Requires="wps">
            <w:drawing>
              <wp:anchor distT="0" distB="0" distL="114300" distR="114300" simplePos="0" relativeHeight="251671552" behindDoc="0" locked="0" layoutInCell="1" allowOverlap="1" wp14:anchorId="052DA1A3" wp14:editId="429EACC0">
                <wp:simplePos x="0" y="0"/>
                <wp:positionH relativeFrom="column">
                  <wp:posOffset>3105627</wp:posOffset>
                </wp:positionH>
                <wp:positionV relativeFrom="paragraph">
                  <wp:posOffset>748825</wp:posOffset>
                </wp:positionV>
                <wp:extent cx="299084" cy="2538412"/>
                <wp:effectExtent l="4127" t="0" r="10478" b="10477"/>
                <wp:wrapNone/>
                <wp:docPr id="3" name="Right Brace 3"/>
                <wp:cNvGraphicFramePr/>
                <a:graphic xmlns:a="http://schemas.openxmlformats.org/drawingml/2006/main">
                  <a:graphicData uri="http://schemas.microsoft.com/office/word/2010/wordprocessingShape">
                    <wps:wsp>
                      <wps:cNvSpPr/>
                      <wps:spPr>
                        <a:xfrm rot="5400000">
                          <a:off x="0" y="0"/>
                          <a:ext cx="299084" cy="2538412"/>
                        </a:xfrm>
                        <a:prstGeom prst="rightBrace">
                          <a:avLst>
                            <a:gd name="adj1" fmla="val 8333"/>
                            <a:gd name="adj2" fmla="val 49172"/>
                          </a:avLst>
                        </a:prstGeom>
                        <a:ln>
                          <a:solidFill>
                            <a:srgbClr val="00336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44.55pt;margin-top:58.95pt;width:23.55pt;height:199.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" adj="212,10621" strokecolor="#036"/>
            </w:pict>
          </mc:Fallback>
        </mc:AlternateContent>
      </w:r>
      <w:r w:rsidR="00E624FF" w:rsidRPr="00653DB5">
        <w:rPr>
          <w:color w:val="000000" w:themeColor="text1"/>
          <w:sz w:val="26"/>
          <w:szCs w:val="26"/>
        </w:rPr>
        <w:t xml:space="preserve"> </w:t>
      </w:r>
      <w:r w:rsidR="00A267F8" w:rsidRPr="00653DB5">
        <w:rPr>
          <w:b/>
          <w:color w:val="000000" w:themeColor="text1"/>
          <w:sz w:val="26"/>
          <w:szCs w:val="26"/>
        </w:rPr>
        <w:t xml:space="preserve">Figura 1: Serviciile de </w:t>
      </w:r>
      <w:r w:rsidR="00A267F8" w:rsidRPr="00653DB5">
        <w:rPr>
          <w:rStyle w:val="longtext1"/>
          <w:b/>
          <w:color w:val="000000" w:themeColor="text1"/>
          <w:sz w:val="26"/>
          <w:szCs w:val="26"/>
          <w:shd w:val="clear" w:color="auto" w:fill="FFFFFF"/>
        </w:rPr>
        <w:t>furnizare cu ridicata a unor segmente-trunchi de linii închiriate</w:t>
      </w:r>
      <w:r w:rsidR="00A267F8" w:rsidRPr="00653DB5">
        <w:rPr>
          <w:color w:val="000000" w:themeColor="text1"/>
          <w:sz w:val="26"/>
          <w:szCs w:val="26"/>
          <w:lang w:eastAsia="ro-RO"/>
        </w:rPr>
        <w:t xml:space="preserve"> </w:t>
      </w:r>
      <w:r w:rsidR="00E624FF" w:rsidRPr="00653DB5">
        <w:rPr>
          <w:noProof/>
          <w:color w:val="000000" w:themeColor="text1"/>
          <w:sz w:val="26"/>
          <w:szCs w:val="26"/>
          <w:lang w:val="en-US"/>
        </w:rPr>
        <w:drawing>
          <wp:inline distT="0" distB="0" distL="0" distR="0" wp14:anchorId="5C5626FA" wp14:editId="70222DDE">
            <wp:extent cx="6174105" cy="29186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4105" cy="2918668"/>
                    </a:xfrm>
                    <a:prstGeom prst="rect">
                      <a:avLst/>
                    </a:prstGeom>
                    <a:noFill/>
                    <a:ln>
                      <a:noFill/>
                    </a:ln>
                  </pic:spPr>
                </pic:pic>
              </a:graphicData>
            </a:graphic>
          </wp:inline>
        </w:drawing>
      </w:r>
    </w:p>
    <w:p w:rsidR="00E624FF" w:rsidRPr="00653DB5" w:rsidRDefault="00F3749E" w:rsidP="00025509">
      <w:pPr>
        <w:pStyle w:val="Bodytext100"/>
        <w:shd w:val="clear" w:color="auto" w:fill="auto"/>
        <w:spacing w:before="0" w:after="0" w:line="240" w:lineRule="auto"/>
        <w:ind w:left="40" w:right="23" w:firstLine="527"/>
        <w:rPr>
          <w:color w:val="000000" w:themeColor="text1"/>
          <w:sz w:val="26"/>
          <w:szCs w:val="26"/>
        </w:rPr>
      </w:pPr>
      <w:r w:rsidRPr="00653DB5">
        <w:rPr>
          <w:color w:val="000000" w:themeColor="text1"/>
          <w:sz w:val="26"/>
          <w:szCs w:val="26"/>
        </w:rPr>
        <w:t>În cazul cel mai general o conexiune completă a liniei închiriate</w:t>
      </w:r>
      <w:r w:rsidR="00E624FF" w:rsidRPr="00653DB5">
        <w:rPr>
          <w:color w:val="000000" w:themeColor="text1"/>
          <w:sz w:val="26"/>
          <w:szCs w:val="26"/>
        </w:rPr>
        <w:t xml:space="preserve"> (linie închiriată circuit total)</w:t>
      </w:r>
      <w:r w:rsidRPr="00653DB5">
        <w:rPr>
          <w:color w:val="000000" w:themeColor="text1"/>
          <w:sz w:val="26"/>
          <w:szCs w:val="26"/>
        </w:rPr>
        <w:t xml:space="preserve"> cuprinde două segmente terminale şi segmentul(ele)</w:t>
      </w:r>
      <w:proofErr w:type="spellStart"/>
      <w:r w:rsidRPr="00653DB5">
        <w:rPr>
          <w:color w:val="000000" w:themeColor="text1"/>
          <w:sz w:val="26"/>
          <w:szCs w:val="26"/>
        </w:rPr>
        <w:t>-trunchi</w:t>
      </w:r>
      <w:proofErr w:type="spellEnd"/>
      <w:r w:rsidRPr="00653DB5">
        <w:rPr>
          <w:color w:val="000000" w:themeColor="text1"/>
          <w:sz w:val="26"/>
          <w:szCs w:val="26"/>
        </w:rPr>
        <w:t xml:space="preserve"> interconectat cu două segmente terminale (segmentul de linii închiriate dintre punctul terminal de acces la reţea şi cel mai apropiat punct de prezenţă al </w:t>
      </w:r>
      <w:r w:rsidR="00704849" w:rsidRPr="00653DB5">
        <w:rPr>
          <w:color w:val="000000" w:themeColor="text1"/>
          <w:sz w:val="26"/>
          <w:szCs w:val="26"/>
        </w:rPr>
        <w:t>furnizorului</w:t>
      </w:r>
      <w:r w:rsidRPr="00653DB5">
        <w:rPr>
          <w:color w:val="000000" w:themeColor="text1"/>
          <w:sz w:val="26"/>
          <w:szCs w:val="26"/>
        </w:rPr>
        <w:t xml:space="preserve"> se numeşte segment terminal de linie închiriată).</w:t>
      </w:r>
    </w:p>
    <w:p w:rsidR="0002682C" w:rsidRPr="00653DB5" w:rsidRDefault="00F3749E" w:rsidP="00025509">
      <w:pPr>
        <w:pStyle w:val="Bodytext100"/>
        <w:shd w:val="clear" w:color="auto" w:fill="auto"/>
        <w:spacing w:before="0" w:after="0" w:line="240" w:lineRule="auto"/>
        <w:ind w:right="23" w:firstLine="527"/>
        <w:rPr>
          <w:color w:val="000000" w:themeColor="text1"/>
          <w:sz w:val="26"/>
          <w:szCs w:val="26"/>
        </w:rPr>
      </w:pPr>
      <w:r w:rsidRPr="00653DB5">
        <w:rPr>
          <w:color w:val="000000" w:themeColor="text1"/>
          <w:sz w:val="26"/>
          <w:szCs w:val="26"/>
        </w:rPr>
        <w:t xml:space="preserve">Serviciile de linii închiriate segmente-trunchi pot fi utilizate de către </w:t>
      </w:r>
      <w:r w:rsidR="00704849" w:rsidRPr="00653DB5">
        <w:rPr>
          <w:color w:val="000000" w:themeColor="text1"/>
          <w:sz w:val="26"/>
          <w:szCs w:val="26"/>
        </w:rPr>
        <w:t>furnizori</w:t>
      </w:r>
      <w:r w:rsidRPr="00653DB5">
        <w:rPr>
          <w:color w:val="000000" w:themeColor="text1"/>
          <w:sz w:val="26"/>
          <w:szCs w:val="26"/>
        </w:rPr>
        <w:t xml:space="preserve"> pentru </w:t>
      </w:r>
      <w:r w:rsidRPr="00653DB5">
        <w:rPr>
          <w:color w:val="000000" w:themeColor="text1"/>
          <w:sz w:val="26"/>
          <w:szCs w:val="26"/>
        </w:rPr>
        <w:lastRenderedPageBreak/>
        <w:t>transportarea traficului de telefonie fixă şi mobilă, pentru furnizarea de servicii de linii închiriate cu amănuntul, iar serviciile cu ridicata de segmente-trunchi de linii închiriate pot juca un rol cheie, de asemenea, la transportarea traficului de internet şi furnizarea de alte servicii de transport date.</w:t>
      </w:r>
      <w:r w:rsidR="00E624FF" w:rsidRPr="00653DB5">
        <w:rPr>
          <w:color w:val="000000" w:themeColor="text1"/>
          <w:sz w:val="26"/>
          <w:szCs w:val="26"/>
        </w:rPr>
        <w:t xml:space="preserve"> De asemenea, </w:t>
      </w:r>
      <w:r w:rsidR="00E624FF" w:rsidRPr="00653DB5">
        <w:rPr>
          <w:rStyle w:val="longtext"/>
          <w:color w:val="000000" w:themeColor="text1"/>
          <w:sz w:val="26"/>
          <w:szCs w:val="26"/>
          <w:shd w:val="clear" w:color="auto" w:fill="FFFFFF"/>
        </w:rPr>
        <w:t>serviciile de linii închiriate furnizate la nivelul pieţei cu ridicata pot fi folosite şi de către un furnizor care doreşte să îşi extindă reţeaua, îndeosebi rețeaua de transport, fără a implica furnizarea unui serviciu corespunzător la nivelul cu amănuntul.</w:t>
      </w:r>
    </w:p>
    <w:p w:rsidR="0002682C" w:rsidRPr="00653DB5" w:rsidRDefault="00E624FF"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lang w:eastAsia="ru-RU"/>
        </w:rPr>
        <w:t xml:space="preserve">Piaţa serviciului de </w:t>
      </w:r>
      <w:r w:rsidRPr="00653DB5">
        <w:rPr>
          <w:rStyle w:val="longtext1"/>
          <w:color w:val="000000" w:themeColor="text1"/>
          <w:sz w:val="26"/>
          <w:szCs w:val="26"/>
          <w:shd w:val="clear" w:color="auto" w:fill="FFFFFF"/>
        </w:rPr>
        <w:t xml:space="preserve">furnizare cu ridicata a unor segmente-trunchi de linii închiriate, </w:t>
      </w:r>
      <w:r w:rsidRPr="00653DB5">
        <w:rPr>
          <w:color w:val="000000" w:themeColor="text1"/>
          <w:sz w:val="26"/>
          <w:szCs w:val="26"/>
        </w:rPr>
        <w:t>urmează să fie definită în primul rând din punct de vedere a produsului, utilizând Testul Monopolistului Ipotetic (TMI),</w:t>
      </w:r>
      <w:r w:rsidR="00FB1894">
        <w:rPr>
          <w:color w:val="000000" w:themeColor="text1"/>
          <w:sz w:val="26"/>
          <w:szCs w:val="26"/>
        </w:rPr>
        <w:t xml:space="preserve"> </w:t>
      </w:r>
      <w:r w:rsidRPr="00653DB5">
        <w:rPr>
          <w:color w:val="000000" w:themeColor="text1"/>
          <w:sz w:val="26"/>
          <w:szCs w:val="26"/>
        </w:rPr>
        <w:t>şi apoi din punct de vedere geografic.</w:t>
      </w:r>
    </w:p>
    <w:p w:rsidR="00E624FF" w:rsidRPr="00653DB5" w:rsidRDefault="00E624FF" w:rsidP="00A267F8">
      <w:pPr>
        <w:pStyle w:val="Bodytext100"/>
        <w:shd w:val="clear" w:color="auto" w:fill="auto"/>
        <w:spacing w:before="0" w:after="0" w:line="240" w:lineRule="auto"/>
        <w:ind w:right="20" w:firstLine="0"/>
        <w:rPr>
          <w:color w:val="000000" w:themeColor="text1"/>
          <w:sz w:val="26"/>
          <w:szCs w:val="26"/>
        </w:rPr>
      </w:pPr>
    </w:p>
    <w:p w:rsidR="00DF5857" w:rsidRPr="00653DB5" w:rsidRDefault="00DF5857" w:rsidP="00A267F8">
      <w:pPr>
        <w:pStyle w:val="Bodytext100"/>
        <w:shd w:val="clear" w:color="auto" w:fill="auto"/>
        <w:spacing w:before="0" w:after="0" w:line="240" w:lineRule="auto"/>
        <w:ind w:right="20" w:firstLine="0"/>
        <w:rPr>
          <w:color w:val="000000" w:themeColor="text1"/>
          <w:sz w:val="26"/>
          <w:szCs w:val="26"/>
        </w:rPr>
      </w:pPr>
    </w:p>
    <w:p w:rsidR="00AE142A" w:rsidRPr="00653DB5" w:rsidRDefault="00F3749E" w:rsidP="00AE142A">
      <w:pPr>
        <w:pStyle w:val="Heading21"/>
        <w:keepNext/>
        <w:keepLines/>
        <w:numPr>
          <w:ilvl w:val="0"/>
          <w:numId w:val="23"/>
        </w:numPr>
        <w:shd w:val="clear" w:color="auto" w:fill="auto"/>
        <w:tabs>
          <w:tab w:val="left" w:pos="851"/>
          <w:tab w:val="left" w:pos="1134"/>
        </w:tabs>
        <w:spacing w:before="0" w:after="0" w:line="360" w:lineRule="auto"/>
        <w:ind w:left="567" w:firstLine="0"/>
        <w:jc w:val="left"/>
        <w:rPr>
          <w:color w:val="000000" w:themeColor="text1"/>
          <w:sz w:val="26"/>
          <w:szCs w:val="26"/>
        </w:rPr>
      </w:pPr>
      <w:bookmarkStart w:id="105" w:name="bookmark14"/>
      <w:bookmarkStart w:id="106" w:name="_Toc368666558"/>
      <w:bookmarkStart w:id="107" w:name="_Toc422317012"/>
      <w:bookmarkStart w:id="108" w:name="_Toc422318609"/>
      <w:bookmarkStart w:id="109" w:name="_Toc485634395"/>
      <w:r w:rsidRPr="00653DB5">
        <w:rPr>
          <w:color w:val="000000" w:themeColor="text1"/>
          <w:sz w:val="26"/>
          <w:szCs w:val="26"/>
        </w:rPr>
        <w:t>Piaţa relevantă a produsului</w:t>
      </w:r>
      <w:bookmarkStart w:id="110" w:name="bookmark15"/>
      <w:bookmarkStart w:id="111" w:name="_Toc368666559"/>
      <w:bookmarkStart w:id="112" w:name="_Toc422317013"/>
      <w:bookmarkStart w:id="113" w:name="_Toc422318610"/>
      <w:bookmarkEnd w:id="105"/>
      <w:bookmarkEnd w:id="106"/>
      <w:bookmarkEnd w:id="107"/>
      <w:bookmarkEnd w:id="108"/>
      <w:bookmarkEnd w:id="109"/>
    </w:p>
    <w:p w:rsidR="00790A2F" w:rsidRPr="00653DB5" w:rsidRDefault="00F3749E" w:rsidP="00025509">
      <w:pPr>
        <w:pStyle w:val="Heading21"/>
        <w:keepNext/>
        <w:keepLines/>
        <w:numPr>
          <w:ilvl w:val="2"/>
          <w:numId w:val="65"/>
        </w:numPr>
        <w:shd w:val="clear" w:color="auto" w:fill="auto"/>
        <w:tabs>
          <w:tab w:val="left" w:pos="851"/>
          <w:tab w:val="left" w:pos="1134"/>
        </w:tabs>
        <w:spacing w:before="0" w:after="0" w:line="240" w:lineRule="auto"/>
        <w:ind w:left="0" w:firstLine="567"/>
        <w:jc w:val="left"/>
        <w:rPr>
          <w:color w:val="000000" w:themeColor="text1"/>
          <w:sz w:val="26"/>
          <w:szCs w:val="26"/>
        </w:rPr>
      </w:pPr>
      <w:bookmarkStart w:id="114" w:name="_Toc485634396"/>
      <w:r w:rsidRPr="00653DB5">
        <w:rPr>
          <w:color w:val="000000" w:themeColor="text1"/>
          <w:sz w:val="26"/>
          <w:szCs w:val="26"/>
        </w:rPr>
        <w:t>Produsul focal</w:t>
      </w:r>
      <w:bookmarkEnd w:id="110"/>
      <w:bookmarkEnd w:id="111"/>
      <w:bookmarkEnd w:id="112"/>
      <w:bookmarkEnd w:id="113"/>
      <w:bookmarkEnd w:id="114"/>
    </w:p>
    <w:p w:rsidR="00790A2F" w:rsidRPr="00653DB5" w:rsidRDefault="00F3749E" w:rsidP="00025509">
      <w:pPr>
        <w:pStyle w:val="Bodytext100"/>
        <w:shd w:val="clear" w:color="auto" w:fill="auto"/>
        <w:tabs>
          <w:tab w:val="left" w:pos="1134"/>
        </w:tabs>
        <w:spacing w:before="0" w:after="0" w:line="240" w:lineRule="auto"/>
        <w:ind w:firstLine="567"/>
        <w:rPr>
          <w:color w:val="000000" w:themeColor="text1"/>
          <w:sz w:val="26"/>
          <w:szCs w:val="26"/>
        </w:rPr>
      </w:pPr>
      <w:r w:rsidRPr="00653DB5">
        <w:rPr>
          <w:color w:val="000000" w:themeColor="text1"/>
          <w:sz w:val="26"/>
          <w:szCs w:val="26"/>
        </w:rPr>
        <w:t>Produsul focal este produsul cel mai îngust definit care se află în mod evident pe piaţa cercetată.</w:t>
      </w:r>
      <w:r w:rsidR="00580369" w:rsidRPr="00653DB5">
        <w:rPr>
          <w:color w:val="000000" w:themeColor="text1"/>
          <w:sz w:val="26"/>
          <w:szCs w:val="26"/>
        </w:rPr>
        <w:t xml:space="preserve"> Acesta este folosit ca resursă cheie pentru TMI astfel încât să determine limitele pieţei.</w:t>
      </w:r>
    </w:p>
    <w:p w:rsidR="00790A2F" w:rsidRPr="00653DB5" w:rsidRDefault="00F3749E" w:rsidP="00025509">
      <w:pPr>
        <w:pStyle w:val="Bodytext100"/>
        <w:shd w:val="clear" w:color="auto" w:fill="auto"/>
        <w:tabs>
          <w:tab w:val="left" w:pos="1134"/>
        </w:tabs>
        <w:spacing w:before="0" w:after="0" w:line="240" w:lineRule="auto"/>
        <w:ind w:right="20" w:firstLine="567"/>
        <w:rPr>
          <w:color w:val="000000" w:themeColor="text1"/>
          <w:sz w:val="26"/>
          <w:szCs w:val="26"/>
        </w:rPr>
      </w:pPr>
      <w:r w:rsidRPr="00653DB5">
        <w:rPr>
          <w:color w:val="000000" w:themeColor="text1"/>
          <w:sz w:val="26"/>
          <w:szCs w:val="26"/>
        </w:rPr>
        <w:t xml:space="preserve">Trebuie remarcat faptul că punctul de plecare pentru identificarea produsului focal, în acest caz, este piaţa furnizării cu ridicata a unor segmente-trunchi de linii închiriate bazate pe tehnologia SDH, în Republica Moldova. Astfel marea majoritate a serviciilor de linii închiriate segmente-trunchi furnizate pe piaţă sunt bazate pe tehnologia </w:t>
      </w:r>
      <w:r w:rsidR="000D42A5" w:rsidRPr="00653DB5">
        <w:rPr>
          <w:color w:val="000000" w:themeColor="text1"/>
          <w:sz w:val="26"/>
          <w:szCs w:val="26"/>
        </w:rPr>
        <w:t xml:space="preserve">SDH </w:t>
      </w:r>
      <w:r w:rsidRPr="00653DB5">
        <w:rPr>
          <w:color w:val="000000" w:themeColor="text1"/>
          <w:sz w:val="26"/>
          <w:szCs w:val="26"/>
        </w:rPr>
        <w:t xml:space="preserve">prin fibră optică. Aceasta se datorează faptului că reţeaua </w:t>
      </w:r>
      <w:r w:rsidR="00704849" w:rsidRPr="00653DB5">
        <w:rPr>
          <w:color w:val="000000" w:themeColor="text1"/>
          <w:sz w:val="26"/>
          <w:szCs w:val="26"/>
        </w:rPr>
        <w:t>furnizorului</w:t>
      </w:r>
      <w:r w:rsidRPr="00653DB5">
        <w:rPr>
          <w:color w:val="000000" w:themeColor="text1"/>
          <w:sz w:val="26"/>
          <w:szCs w:val="26"/>
        </w:rPr>
        <w:t xml:space="preserve"> istoric a fost construită iniţial pentru </w:t>
      </w:r>
      <w:r w:rsidR="00704849" w:rsidRPr="00653DB5">
        <w:rPr>
          <w:color w:val="000000" w:themeColor="text1"/>
          <w:sz w:val="26"/>
          <w:szCs w:val="26"/>
        </w:rPr>
        <w:t>furnizarea</w:t>
      </w:r>
      <w:r w:rsidRPr="00653DB5">
        <w:rPr>
          <w:color w:val="000000" w:themeColor="text1"/>
          <w:sz w:val="26"/>
          <w:szCs w:val="26"/>
        </w:rPr>
        <w:t xml:space="preserve"> serviciilor voce. Prin urmare, este oportun să fie considerat serviciul de linii închiriate segmente-trunchi bazat pe SDH ca produs focal, în scopul definirii pieţei.</w:t>
      </w:r>
    </w:p>
    <w:p w:rsidR="00FD4155" w:rsidRPr="00653DB5" w:rsidRDefault="00FD4155" w:rsidP="00025509">
      <w:pPr>
        <w:pStyle w:val="Bodytext100"/>
        <w:shd w:val="clear" w:color="auto" w:fill="auto"/>
        <w:tabs>
          <w:tab w:val="left" w:pos="1134"/>
        </w:tabs>
        <w:spacing w:before="0" w:after="0" w:line="240" w:lineRule="auto"/>
        <w:ind w:right="20" w:firstLine="567"/>
        <w:rPr>
          <w:color w:val="000000" w:themeColor="text1"/>
          <w:sz w:val="26"/>
          <w:szCs w:val="26"/>
        </w:rPr>
      </w:pPr>
    </w:p>
    <w:p w:rsidR="00790A2F" w:rsidRPr="00653DB5" w:rsidRDefault="00F3749E" w:rsidP="00025509">
      <w:pPr>
        <w:pStyle w:val="Heading21"/>
        <w:keepNext/>
        <w:keepLines/>
        <w:numPr>
          <w:ilvl w:val="2"/>
          <w:numId w:val="65"/>
        </w:numPr>
        <w:shd w:val="clear" w:color="auto" w:fill="auto"/>
        <w:tabs>
          <w:tab w:val="left" w:pos="1134"/>
          <w:tab w:val="left" w:pos="1774"/>
        </w:tabs>
        <w:spacing w:before="0" w:after="0" w:line="240" w:lineRule="auto"/>
        <w:ind w:left="0" w:firstLine="567"/>
        <w:jc w:val="left"/>
        <w:rPr>
          <w:color w:val="000000" w:themeColor="text1"/>
          <w:sz w:val="26"/>
          <w:szCs w:val="26"/>
        </w:rPr>
      </w:pPr>
      <w:bookmarkStart w:id="115" w:name="bookmark16"/>
      <w:bookmarkStart w:id="116" w:name="_Toc368666560"/>
      <w:bookmarkStart w:id="117" w:name="_Toc422317014"/>
      <w:bookmarkStart w:id="118" w:name="_Toc422318611"/>
      <w:bookmarkStart w:id="119" w:name="_Toc485634397"/>
      <w:r w:rsidRPr="00653DB5">
        <w:rPr>
          <w:color w:val="000000" w:themeColor="text1"/>
          <w:sz w:val="26"/>
          <w:szCs w:val="26"/>
        </w:rPr>
        <w:t>Lista substituenţilor produsului focal</w:t>
      </w:r>
      <w:bookmarkEnd w:id="115"/>
      <w:bookmarkEnd w:id="116"/>
      <w:bookmarkEnd w:id="117"/>
      <w:bookmarkEnd w:id="118"/>
      <w:bookmarkEnd w:id="119"/>
    </w:p>
    <w:p w:rsidR="00790A2F" w:rsidRPr="00653DB5" w:rsidRDefault="00F3749E"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În prezent, în Republica Moldova, în funcţie de tipul de suport utilizat în vederea furnizării serviciilor</w:t>
      </w:r>
      <w:r w:rsidR="00704849" w:rsidRPr="00653DB5">
        <w:rPr>
          <w:color w:val="000000" w:themeColor="text1"/>
          <w:sz w:val="26"/>
          <w:szCs w:val="26"/>
        </w:rPr>
        <w:t xml:space="preserve"> publice</w:t>
      </w:r>
      <w:r w:rsidRPr="00653DB5">
        <w:rPr>
          <w:color w:val="000000" w:themeColor="text1"/>
          <w:sz w:val="26"/>
          <w:szCs w:val="26"/>
        </w:rPr>
        <w:t xml:space="preserve"> de comunicaţii electronice, un </w:t>
      </w:r>
      <w:r w:rsidR="00704849" w:rsidRPr="00653DB5">
        <w:rPr>
          <w:color w:val="000000" w:themeColor="text1"/>
          <w:sz w:val="26"/>
          <w:szCs w:val="26"/>
        </w:rPr>
        <w:t>furnizor</w:t>
      </w:r>
      <w:r w:rsidRPr="00653DB5">
        <w:rPr>
          <w:color w:val="000000" w:themeColor="text1"/>
          <w:sz w:val="26"/>
          <w:szCs w:val="26"/>
        </w:rPr>
        <w:t xml:space="preserve"> poate achiziţiona servicii de linii închiriate segmente-trunchi bazate pe următoarele tehnologii: SDH, fibră optică </w:t>
      </w:r>
      <w:r w:rsidR="001E2698" w:rsidRPr="00653DB5">
        <w:rPr>
          <w:color w:val="000000" w:themeColor="text1"/>
          <w:sz w:val="26"/>
          <w:szCs w:val="26"/>
        </w:rPr>
        <w:t>neechipată</w:t>
      </w:r>
      <w:r w:rsidRPr="00653DB5">
        <w:rPr>
          <w:color w:val="000000" w:themeColor="text1"/>
          <w:sz w:val="26"/>
          <w:szCs w:val="26"/>
        </w:rPr>
        <w:t xml:space="preserve">, WDM, MPLS şi </w:t>
      </w:r>
      <w:proofErr w:type="spellStart"/>
      <w:r w:rsidRPr="00653DB5">
        <w:rPr>
          <w:color w:val="000000" w:themeColor="text1"/>
          <w:sz w:val="26"/>
          <w:szCs w:val="26"/>
        </w:rPr>
        <w:t>Ethernet</w:t>
      </w:r>
      <w:proofErr w:type="spellEnd"/>
      <w:r w:rsidRPr="00653DB5">
        <w:rPr>
          <w:color w:val="000000" w:themeColor="text1"/>
          <w:sz w:val="26"/>
          <w:szCs w:val="26"/>
        </w:rPr>
        <w:t>.</w:t>
      </w:r>
    </w:p>
    <w:p w:rsidR="00790A2F" w:rsidRPr="00653DB5" w:rsidRDefault="00F3749E" w:rsidP="00025509">
      <w:pPr>
        <w:pStyle w:val="Bodytext100"/>
        <w:shd w:val="clear" w:color="auto" w:fill="auto"/>
        <w:spacing w:before="0" w:after="0" w:line="240" w:lineRule="auto"/>
        <w:ind w:firstLine="567"/>
        <w:rPr>
          <w:color w:val="000000" w:themeColor="text1"/>
          <w:sz w:val="26"/>
          <w:szCs w:val="26"/>
        </w:rPr>
      </w:pPr>
      <w:r w:rsidRPr="00653DB5">
        <w:rPr>
          <w:color w:val="000000" w:themeColor="text1"/>
          <w:sz w:val="26"/>
          <w:szCs w:val="26"/>
        </w:rPr>
        <w:t>Astfel, pentru a defini piaţa relevantă a produsului, ANRCETI a analizat:</w:t>
      </w:r>
    </w:p>
    <w:p w:rsidR="00460E08" w:rsidRPr="00653DB5" w:rsidRDefault="00460E08" w:rsidP="00025509">
      <w:pPr>
        <w:pStyle w:val="Bodytext100"/>
        <w:numPr>
          <w:ilvl w:val="1"/>
          <w:numId w:val="66"/>
        </w:numPr>
        <w:shd w:val="clear" w:color="auto" w:fill="auto"/>
        <w:tabs>
          <w:tab w:val="left" w:pos="851"/>
        </w:tabs>
        <w:spacing w:before="0" w:after="0" w:line="240" w:lineRule="auto"/>
        <w:ind w:left="0" w:right="20" w:firstLine="567"/>
        <w:rPr>
          <w:color w:val="000000" w:themeColor="text1"/>
          <w:sz w:val="26"/>
          <w:szCs w:val="26"/>
        </w:rPr>
      </w:pPr>
      <w:r w:rsidRPr="00653DB5">
        <w:rPr>
          <w:color w:val="000000" w:themeColor="text1"/>
          <w:sz w:val="26"/>
          <w:szCs w:val="26"/>
        </w:rPr>
        <w:t>M</w:t>
      </w:r>
      <w:r w:rsidR="00F3749E" w:rsidRPr="00653DB5">
        <w:rPr>
          <w:color w:val="000000" w:themeColor="text1"/>
          <w:sz w:val="26"/>
          <w:szCs w:val="26"/>
        </w:rPr>
        <w:t xml:space="preserve">ăsura în care serviciile de linii închiriate segmente-trunchi bazate pe tehnologia MPLS, </w:t>
      </w:r>
      <w:proofErr w:type="spellStart"/>
      <w:r w:rsidR="00F3749E" w:rsidRPr="00653DB5">
        <w:rPr>
          <w:color w:val="000000" w:themeColor="text1"/>
          <w:sz w:val="26"/>
          <w:szCs w:val="26"/>
        </w:rPr>
        <w:t>Ethernet</w:t>
      </w:r>
      <w:proofErr w:type="spellEnd"/>
      <w:r w:rsidR="00F3749E" w:rsidRPr="00653DB5">
        <w:rPr>
          <w:color w:val="000000" w:themeColor="text1"/>
          <w:sz w:val="26"/>
          <w:szCs w:val="26"/>
        </w:rPr>
        <w:t xml:space="preserve"> şi WDM fac parte din aceeaşi piaţă relevantă a produsului;</w:t>
      </w:r>
    </w:p>
    <w:p w:rsidR="00460E08" w:rsidRPr="00653DB5" w:rsidRDefault="00460E08" w:rsidP="00025509">
      <w:pPr>
        <w:pStyle w:val="Bodytext100"/>
        <w:numPr>
          <w:ilvl w:val="1"/>
          <w:numId w:val="66"/>
        </w:numPr>
        <w:shd w:val="clear" w:color="auto" w:fill="auto"/>
        <w:tabs>
          <w:tab w:val="left" w:pos="851"/>
        </w:tabs>
        <w:spacing w:before="0" w:after="0" w:line="240" w:lineRule="auto"/>
        <w:ind w:left="0" w:right="20" w:firstLine="567"/>
        <w:rPr>
          <w:color w:val="000000" w:themeColor="text1"/>
          <w:sz w:val="26"/>
          <w:szCs w:val="26"/>
        </w:rPr>
      </w:pPr>
      <w:r w:rsidRPr="00653DB5">
        <w:rPr>
          <w:color w:val="000000" w:themeColor="text1"/>
          <w:sz w:val="26"/>
          <w:szCs w:val="26"/>
        </w:rPr>
        <w:t xml:space="preserve">Delimitarea </w:t>
      </w:r>
      <w:r w:rsidR="005D4FC1" w:rsidRPr="00653DB5">
        <w:rPr>
          <w:color w:val="000000" w:themeColor="text1"/>
          <w:sz w:val="26"/>
          <w:szCs w:val="26"/>
        </w:rPr>
        <w:t xml:space="preserve">şi definirea </w:t>
      </w:r>
      <w:r w:rsidRPr="00653DB5">
        <w:rPr>
          <w:color w:val="000000" w:themeColor="text1"/>
          <w:sz w:val="26"/>
          <w:szCs w:val="26"/>
        </w:rPr>
        <w:t xml:space="preserve">segmentelor corespunzătoare serviciilor de </w:t>
      </w:r>
      <w:r w:rsidR="005D4FC1" w:rsidRPr="00653DB5">
        <w:rPr>
          <w:color w:val="000000" w:themeColor="text1"/>
          <w:sz w:val="26"/>
          <w:szCs w:val="26"/>
        </w:rPr>
        <w:t xml:space="preserve">furnizare cu ridicata a unor </w:t>
      </w:r>
      <w:r w:rsidRPr="00653DB5">
        <w:rPr>
          <w:color w:val="000000" w:themeColor="text1"/>
          <w:sz w:val="26"/>
          <w:szCs w:val="26"/>
        </w:rPr>
        <w:t xml:space="preserve">segmente terminale de linii închiriate şi serviciilor de </w:t>
      </w:r>
      <w:r w:rsidR="005D4FC1" w:rsidRPr="00653DB5">
        <w:rPr>
          <w:color w:val="000000" w:themeColor="text1"/>
          <w:sz w:val="26"/>
          <w:szCs w:val="26"/>
        </w:rPr>
        <w:t xml:space="preserve">furnizare cu ridicata a unor </w:t>
      </w:r>
      <w:r w:rsidRPr="00653DB5">
        <w:rPr>
          <w:color w:val="000000" w:themeColor="text1"/>
          <w:sz w:val="26"/>
          <w:szCs w:val="26"/>
        </w:rPr>
        <w:t>segmente</w:t>
      </w:r>
      <w:r w:rsidR="005D4FC1" w:rsidRPr="00653DB5">
        <w:rPr>
          <w:color w:val="000000" w:themeColor="text1"/>
          <w:sz w:val="26"/>
          <w:szCs w:val="26"/>
        </w:rPr>
        <w:t>-t</w:t>
      </w:r>
      <w:r w:rsidRPr="00653DB5">
        <w:rPr>
          <w:color w:val="000000" w:themeColor="text1"/>
          <w:sz w:val="26"/>
          <w:szCs w:val="26"/>
        </w:rPr>
        <w:t>runchi de linii închiriate;</w:t>
      </w:r>
    </w:p>
    <w:p w:rsidR="00460E08" w:rsidRPr="00653DB5" w:rsidRDefault="00460E08" w:rsidP="00025509">
      <w:pPr>
        <w:pStyle w:val="Bodytext100"/>
        <w:numPr>
          <w:ilvl w:val="1"/>
          <w:numId w:val="66"/>
        </w:numPr>
        <w:shd w:val="clear" w:color="auto" w:fill="auto"/>
        <w:tabs>
          <w:tab w:val="left" w:pos="851"/>
        </w:tabs>
        <w:spacing w:before="0" w:after="0" w:line="240" w:lineRule="auto"/>
        <w:ind w:left="0" w:right="20" w:firstLine="567"/>
        <w:rPr>
          <w:color w:val="000000" w:themeColor="text1"/>
          <w:sz w:val="26"/>
          <w:szCs w:val="26"/>
        </w:rPr>
      </w:pPr>
      <w:r w:rsidRPr="00653DB5">
        <w:rPr>
          <w:color w:val="000000" w:themeColor="text1"/>
          <w:sz w:val="26"/>
          <w:szCs w:val="26"/>
        </w:rPr>
        <w:t>N</w:t>
      </w:r>
      <w:r w:rsidR="00F3749E" w:rsidRPr="00653DB5">
        <w:rPr>
          <w:color w:val="000000" w:themeColor="text1"/>
          <w:sz w:val="26"/>
          <w:szCs w:val="26"/>
        </w:rPr>
        <w:t xml:space="preserve">ecesitatea includerii în piaţa relevantă a produsului a serviciilor de acces la fibra optică </w:t>
      </w:r>
      <w:r w:rsidR="001E2698" w:rsidRPr="00653DB5">
        <w:rPr>
          <w:color w:val="000000" w:themeColor="text1"/>
          <w:sz w:val="26"/>
          <w:szCs w:val="26"/>
        </w:rPr>
        <w:t>neechipată</w:t>
      </w:r>
      <w:r w:rsidR="00F3749E" w:rsidRPr="00653DB5">
        <w:rPr>
          <w:color w:val="000000" w:themeColor="text1"/>
          <w:sz w:val="26"/>
          <w:szCs w:val="26"/>
        </w:rPr>
        <w:t>;</w:t>
      </w:r>
    </w:p>
    <w:p w:rsidR="00330D83" w:rsidRPr="00653DB5" w:rsidRDefault="00BA3714" w:rsidP="00025509">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 xml:space="preserve">Capitolele de mai jos analizează măsura în care fiecare dintre aceste produse </w:t>
      </w:r>
      <w:r w:rsidR="005D4FC1" w:rsidRPr="00653DB5">
        <w:rPr>
          <w:color w:val="000000" w:themeColor="text1"/>
          <w:sz w:val="26"/>
          <w:szCs w:val="26"/>
        </w:rPr>
        <w:t>substituenţi</w:t>
      </w:r>
      <w:r w:rsidRPr="00653DB5">
        <w:rPr>
          <w:color w:val="000000" w:themeColor="text1"/>
          <w:sz w:val="26"/>
          <w:szCs w:val="26"/>
        </w:rPr>
        <w:t xml:space="preserve"> posibile pot constrânge activităţile unui monopolist ipotetic care asigură se</w:t>
      </w:r>
      <w:r w:rsidR="00025509" w:rsidRPr="00653DB5">
        <w:rPr>
          <w:color w:val="000000" w:themeColor="text1"/>
          <w:sz w:val="26"/>
          <w:szCs w:val="26"/>
        </w:rPr>
        <w:t>rvicii cu ridicata de segmente-</w:t>
      </w:r>
      <w:r w:rsidRPr="00653DB5">
        <w:rPr>
          <w:color w:val="000000" w:themeColor="text1"/>
          <w:sz w:val="26"/>
          <w:szCs w:val="26"/>
        </w:rPr>
        <w:t>trunchi de linii închiriate.</w:t>
      </w:r>
    </w:p>
    <w:p w:rsidR="00025509" w:rsidRPr="00653DB5" w:rsidRDefault="00025509" w:rsidP="00025509">
      <w:pPr>
        <w:pStyle w:val="Bodytext100"/>
        <w:shd w:val="clear" w:color="auto" w:fill="auto"/>
        <w:tabs>
          <w:tab w:val="left" w:pos="851"/>
        </w:tabs>
        <w:spacing w:before="0" w:after="0" w:line="240" w:lineRule="auto"/>
        <w:ind w:right="20" w:firstLine="567"/>
        <w:rPr>
          <w:color w:val="000000" w:themeColor="text1"/>
          <w:sz w:val="26"/>
          <w:szCs w:val="26"/>
        </w:rPr>
      </w:pPr>
    </w:p>
    <w:p w:rsidR="00BA3714" w:rsidRPr="00653DB5" w:rsidRDefault="00BA3714" w:rsidP="00025509">
      <w:pPr>
        <w:pStyle w:val="Heading2"/>
        <w:spacing w:before="0"/>
        <w:ind w:firstLine="567"/>
        <w:rPr>
          <w:rFonts w:ascii="Times New Roman" w:eastAsia="Times New Roman" w:hAnsi="Times New Roman" w:cs="Times New Roman"/>
          <w:b w:val="0"/>
          <w:color w:val="000000" w:themeColor="text1"/>
          <w:lang w:eastAsia="en-GB"/>
        </w:rPr>
      </w:pPr>
      <w:bookmarkStart w:id="120" w:name="_Toc362006017"/>
      <w:bookmarkStart w:id="121" w:name="_Toc368666561"/>
      <w:bookmarkStart w:id="122" w:name="_Toc422317015"/>
      <w:bookmarkStart w:id="123" w:name="_Toc422318612"/>
      <w:bookmarkStart w:id="124" w:name="_Toc485634398"/>
      <w:r w:rsidRPr="00653DB5">
        <w:rPr>
          <w:rFonts w:ascii="Times New Roman" w:eastAsia="Times New Roman" w:hAnsi="Times New Roman" w:cs="Times New Roman"/>
          <w:color w:val="000000" w:themeColor="text1"/>
          <w:lang w:eastAsia="en-GB"/>
        </w:rPr>
        <w:lastRenderedPageBreak/>
        <w:t>2.4.2.1 Substituibilitatea ofertei cu ridicata</w:t>
      </w:r>
      <w:bookmarkEnd w:id="120"/>
      <w:bookmarkEnd w:id="121"/>
      <w:bookmarkEnd w:id="122"/>
      <w:bookmarkEnd w:id="123"/>
      <w:bookmarkEnd w:id="124"/>
    </w:p>
    <w:p w:rsidR="00BA3714" w:rsidRPr="00653DB5" w:rsidRDefault="00BA3714" w:rsidP="00025509">
      <w:pPr>
        <w:widowControl/>
        <w:ind w:firstLine="567"/>
        <w:jc w:val="both"/>
        <w:rPr>
          <w:rFonts w:ascii="Times New Roman" w:eastAsia="Times New Roman" w:hAnsi="Times New Roman" w:cs="Times New Roman"/>
          <w:color w:val="000000" w:themeColor="text1"/>
          <w:sz w:val="26"/>
          <w:szCs w:val="26"/>
        </w:rPr>
      </w:pPr>
      <w:r w:rsidRPr="00653DB5">
        <w:rPr>
          <w:rFonts w:ascii="Times New Roman" w:eastAsia="Times New Roman" w:hAnsi="Times New Roman" w:cs="Times New Roman"/>
          <w:color w:val="000000" w:themeColor="text1"/>
          <w:sz w:val="26"/>
          <w:szCs w:val="26"/>
          <w:shd w:val="clear" w:color="auto" w:fill="FFFFFF"/>
        </w:rPr>
        <w:t>Substituibilitatea ofertei cu ridicata</w:t>
      </w:r>
      <w:r w:rsidRPr="00653DB5">
        <w:rPr>
          <w:rFonts w:ascii="Times New Roman" w:eastAsia="Times New Roman" w:hAnsi="Times New Roman" w:cs="Times New Roman"/>
          <w:color w:val="000000" w:themeColor="text1"/>
          <w:sz w:val="26"/>
          <w:szCs w:val="26"/>
        </w:rPr>
        <w:t xml:space="preserve"> </w:t>
      </w:r>
      <w:r w:rsidRPr="00653DB5">
        <w:rPr>
          <w:rFonts w:ascii="Times New Roman" w:eastAsia="Times New Roman" w:hAnsi="Times New Roman" w:cs="Times New Roman"/>
          <w:color w:val="000000" w:themeColor="text1"/>
          <w:sz w:val="26"/>
          <w:szCs w:val="26"/>
          <w:shd w:val="clear" w:color="auto" w:fill="FFFFFF"/>
        </w:rPr>
        <w:t xml:space="preserve">are loc în cazul în care un potenţial furnizor de produs substituent este atras pe piaţă ca răspuns la </w:t>
      </w:r>
      <w:proofErr w:type="spellStart"/>
      <w:r w:rsidRPr="00653DB5">
        <w:rPr>
          <w:rFonts w:ascii="Times New Roman" w:eastAsia="Times New Roman" w:hAnsi="Times New Roman" w:cs="Times New Roman"/>
          <w:color w:val="000000" w:themeColor="text1"/>
          <w:sz w:val="26"/>
          <w:szCs w:val="26"/>
          <w:shd w:val="clear" w:color="auto" w:fill="FFFFFF"/>
        </w:rPr>
        <w:t>SSNIP-ul</w:t>
      </w:r>
      <w:proofErr w:type="spellEnd"/>
      <w:r w:rsidR="00FB1894">
        <w:rPr>
          <w:rFonts w:ascii="Times New Roman" w:eastAsia="Times New Roman" w:hAnsi="Times New Roman" w:cs="Times New Roman"/>
          <w:color w:val="000000" w:themeColor="text1"/>
          <w:sz w:val="26"/>
          <w:szCs w:val="26"/>
          <w:shd w:val="clear" w:color="auto" w:fill="FFFFFF"/>
        </w:rPr>
        <w:t xml:space="preserve"> </w:t>
      </w:r>
      <w:r w:rsidRPr="00653DB5">
        <w:rPr>
          <w:rFonts w:ascii="Times New Roman" w:eastAsia="Times New Roman" w:hAnsi="Times New Roman" w:cs="Times New Roman"/>
          <w:color w:val="000000" w:themeColor="text1"/>
          <w:sz w:val="26"/>
          <w:szCs w:val="26"/>
          <w:shd w:val="clear" w:color="auto" w:fill="FFFFFF"/>
        </w:rPr>
        <w:t>monopolistului ipotetic. Se poate presupune că acest lucru se va întâmpla doar în cazul în care furnizorul a fost în stare să transfere resursele sale pentru furnizarea produsului focal într-o perioadă de cel mult un an, fără investiţii semnificative. Întrebarea este dacă aceasta va avea loc într-o asemenea măsură încât SSNIP să devină neprofitabil.</w:t>
      </w:r>
    </w:p>
    <w:p w:rsidR="00BA3714" w:rsidRPr="00653DB5" w:rsidRDefault="00BA3714"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color w:val="000000" w:themeColor="text1"/>
          <w:sz w:val="26"/>
          <w:szCs w:val="26"/>
          <w:lang w:eastAsia="ru-RU"/>
        </w:rPr>
        <w:t>ANRCETI a analizat următoarele posibilităţi pentru un furnizor potenţial</w:t>
      </w:r>
      <w:r w:rsidR="00A267F8" w:rsidRPr="00653DB5">
        <w:rPr>
          <w:rFonts w:ascii="Times New Roman" w:eastAsia="Times New Roman" w:hAnsi="Times New Roman" w:cs="Times New Roman"/>
          <w:color w:val="000000" w:themeColor="text1"/>
          <w:sz w:val="26"/>
          <w:szCs w:val="26"/>
          <w:lang w:eastAsia="ru-RU"/>
        </w:rPr>
        <w:t xml:space="preserve"> de a furniza servicii </w:t>
      </w:r>
      <w:r w:rsidR="005D4FC1" w:rsidRPr="00653DB5">
        <w:rPr>
          <w:rFonts w:ascii="Times New Roman" w:eastAsia="Times New Roman" w:hAnsi="Times New Roman" w:cs="Times New Roman"/>
          <w:color w:val="000000" w:themeColor="text1"/>
          <w:sz w:val="26"/>
          <w:szCs w:val="26"/>
          <w:lang w:eastAsia="ru-RU"/>
        </w:rPr>
        <w:t>substituenţi</w:t>
      </w:r>
      <w:r w:rsidRPr="00653DB5">
        <w:rPr>
          <w:rFonts w:ascii="Times New Roman" w:eastAsia="Times New Roman" w:hAnsi="Times New Roman" w:cs="Times New Roman"/>
          <w:color w:val="000000" w:themeColor="text1"/>
          <w:sz w:val="26"/>
          <w:szCs w:val="26"/>
          <w:lang w:eastAsia="ru-RU"/>
        </w:rPr>
        <w:t xml:space="preserve"> în cazul unui SSNIP la produsul focal:</w:t>
      </w:r>
    </w:p>
    <w:p w:rsidR="00BA3714" w:rsidRPr="00653DB5" w:rsidRDefault="00BA3714" w:rsidP="00025509">
      <w:pPr>
        <w:pStyle w:val="Bodytext100"/>
        <w:shd w:val="clear" w:color="auto" w:fill="auto"/>
        <w:tabs>
          <w:tab w:val="left" w:pos="851"/>
        </w:tabs>
        <w:spacing w:before="0" w:after="0" w:line="240" w:lineRule="auto"/>
        <w:ind w:right="20" w:firstLine="567"/>
        <w:rPr>
          <w:color w:val="000000" w:themeColor="text1"/>
          <w:sz w:val="26"/>
          <w:szCs w:val="26"/>
        </w:rPr>
      </w:pPr>
    </w:p>
    <w:p w:rsidR="00BA3714" w:rsidRPr="00653DB5" w:rsidRDefault="00BA3714" w:rsidP="00025509">
      <w:pPr>
        <w:pStyle w:val="Bodytext100"/>
        <w:shd w:val="clear" w:color="auto" w:fill="auto"/>
        <w:tabs>
          <w:tab w:val="left" w:pos="709"/>
        </w:tabs>
        <w:spacing w:before="0" w:after="0" w:line="240" w:lineRule="auto"/>
        <w:ind w:right="20" w:firstLine="567"/>
        <w:rPr>
          <w:b/>
          <w:color w:val="000000" w:themeColor="text1"/>
          <w:sz w:val="26"/>
          <w:szCs w:val="26"/>
        </w:rPr>
      </w:pPr>
      <w:r w:rsidRPr="00653DB5">
        <w:rPr>
          <w:b/>
          <w:color w:val="000000" w:themeColor="text1"/>
          <w:sz w:val="26"/>
          <w:szCs w:val="26"/>
        </w:rPr>
        <w:t xml:space="preserve">Delimitarea </w:t>
      </w:r>
      <w:r w:rsidR="00035F3D" w:rsidRPr="00653DB5">
        <w:rPr>
          <w:b/>
          <w:color w:val="000000" w:themeColor="text1"/>
          <w:sz w:val="26"/>
          <w:szCs w:val="26"/>
        </w:rPr>
        <w:t xml:space="preserve">şi definirea </w:t>
      </w:r>
      <w:r w:rsidRPr="00653DB5">
        <w:rPr>
          <w:b/>
          <w:color w:val="000000" w:themeColor="text1"/>
          <w:sz w:val="26"/>
          <w:szCs w:val="26"/>
        </w:rPr>
        <w:t xml:space="preserve">segmentelor corespunzătoare serviciilor de </w:t>
      </w:r>
      <w:r w:rsidR="00035F3D" w:rsidRPr="00653DB5">
        <w:rPr>
          <w:b/>
          <w:color w:val="000000" w:themeColor="text1"/>
          <w:sz w:val="26"/>
          <w:szCs w:val="26"/>
        </w:rPr>
        <w:t xml:space="preserve">furnizare cu ridicata a unor </w:t>
      </w:r>
      <w:r w:rsidRPr="00653DB5">
        <w:rPr>
          <w:b/>
          <w:color w:val="000000" w:themeColor="text1"/>
          <w:sz w:val="26"/>
          <w:szCs w:val="26"/>
        </w:rPr>
        <w:t xml:space="preserve">segmente terminale de linii închiriate şi serviciilor de </w:t>
      </w:r>
      <w:r w:rsidR="00035F3D" w:rsidRPr="00653DB5">
        <w:rPr>
          <w:b/>
          <w:color w:val="000000" w:themeColor="text1"/>
          <w:sz w:val="26"/>
          <w:szCs w:val="26"/>
        </w:rPr>
        <w:t>furnizare cu ridicata a unor segmente-</w:t>
      </w:r>
      <w:r w:rsidRPr="00653DB5">
        <w:rPr>
          <w:b/>
          <w:color w:val="000000" w:themeColor="text1"/>
          <w:sz w:val="26"/>
          <w:szCs w:val="26"/>
        </w:rPr>
        <w:t>trunchi de linii închiriate;</w:t>
      </w:r>
    </w:p>
    <w:p w:rsidR="00BA3714" w:rsidRPr="00653DB5" w:rsidRDefault="00BA3714"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color w:val="000000" w:themeColor="text1"/>
          <w:sz w:val="26"/>
          <w:szCs w:val="26"/>
          <w:lang w:eastAsia="ru-RU"/>
        </w:rPr>
        <w:t>Aşa cum se arată în Expunerea de Motive la Recomandarea CE</w:t>
      </w:r>
      <w:r w:rsidRPr="00653DB5">
        <w:rPr>
          <w:rFonts w:ascii="Times New Roman" w:eastAsia="Times New Roman" w:hAnsi="Times New Roman" w:cs="Times New Roman"/>
          <w:color w:val="000000" w:themeColor="text1"/>
          <w:sz w:val="26"/>
          <w:szCs w:val="26"/>
          <w:vertAlign w:val="superscript"/>
          <w:lang w:eastAsia="ru-RU"/>
        </w:rPr>
        <w:footnoteReference w:id="2"/>
      </w:r>
      <w:r w:rsidRPr="00653DB5">
        <w:rPr>
          <w:rFonts w:ascii="Times New Roman" w:eastAsia="Times New Roman" w:hAnsi="Times New Roman" w:cs="Times New Roman"/>
          <w:color w:val="000000" w:themeColor="text1"/>
          <w:sz w:val="26"/>
          <w:szCs w:val="26"/>
          <w:lang w:eastAsia="ru-RU"/>
        </w:rPr>
        <w:t xml:space="preserve">, la nivel cu ridicata, </w:t>
      </w:r>
      <w:r w:rsidRPr="00653DB5">
        <w:rPr>
          <w:rFonts w:ascii="Times New Roman" w:eastAsia="Times New Roman" w:hAnsi="Times New Roman" w:cs="Times New Roman"/>
          <w:color w:val="000000" w:themeColor="text1"/>
          <w:sz w:val="26"/>
          <w:szCs w:val="26"/>
        </w:rPr>
        <w:t>este posibil să se facă o distincţie între piața de furnizare cu ridicata a unor segmente terminale de linii închiriate şi piața de furniz</w:t>
      </w:r>
      <w:r w:rsidR="00035F3D" w:rsidRPr="00653DB5">
        <w:rPr>
          <w:rFonts w:ascii="Times New Roman" w:eastAsia="Times New Roman" w:hAnsi="Times New Roman" w:cs="Times New Roman"/>
          <w:color w:val="000000" w:themeColor="text1"/>
          <w:sz w:val="26"/>
          <w:szCs w:val="26"/>
        </w:rPr>
        <w:t>are cu ridicata a unor segmente-</w:t>
      </w:r>
      <w:r w:rsidRPr="00653DB5">
        <w:rPr>
          <w:rFonts w:ascii="Times New Roman" w:eastAsia="Times New Roman" w:hAnsi="Times New Roman" w:cs="Times New Roman"/>
          <w:color w:val="000000" w:themeColor="text1"/>
          <w:sz w:val="26"/>
          <w:szCs w:val="26"/>
        </w:rPr>
        <w:t>trunchi de linii închiriate. D</w:t>
      </w:r>
      <w:r w:rsidRPr="00653DB5">
        <w:rPr>
          <w:rFonts w:ascii="Times New Roman" w:eastAsia="Times New Roman" w:hAnsi="Times New Roman" w:cs="Times New Roman"/>
          <w:color w:val="000000" w:themeColor="text1"/>
          <w:sz w:val="26"/>
          <w:szCs w:val="26"/>
          <w:lang w:eastAsia="ru-RU"/>
        </w:rPr>
        <w:t>elimitarea segmentelor de reţea corespunzătoare acestor servicii diferă de la o ţară la alta ca urmare a existenţei unor topologii de reţea diferite. De asemenea, diferențe pot exista și de la un furnizor la altul, în funcție de topologi</w:t>
      </w:r>
      <w:r w:rsidR="00EF44C0" w:rsidRPr="00653DB5">
        <w:rPr>
          <w:rFonts w:ascii="Times New Roman" w:eastAsia="Times New Roman" w:hAnsi="Times New Roman" w:cs="Times New Roman"/>
          <w:color w:val="000000" w:themeColor="text1"/>
          <w:sz w:val="26"/>
          <w:szCs w:val="26"/>
          <w:lang w:eastAsia="ru-RU"/>
        </w:rPr>
        <w:t xml:space="preserve">a diferită utilizată </w:t>
      </w:r>
      <w:r w:rsidRPr="00653DB5">
        <w:rPr>
          <w:rFonts w:ascii="Times New Roman" w:eastAsia="Times New Roman" w:hAnsi="Times New Roman" w:cs="Times New Roman"/>
          <w:color w:val="000000" w:themeColor="text1"/>
          <w:sz w:val="26"/>
          <w:szCs w:val="26"/>
          <w:lang w:eastAsia="ru-RU"/>
        </w:rPr>
        <w:t>de rețea.</w:t>
      </w:r>
    </w:p>
    <w:p w:rsidR="00BA3714" w:rsidRPr="00653DB5" w:rsidRDefault="00BA3714"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color w:val="000000" w:themeColor="text1"/>
          <w:sz w:val="26"/>
          <w:szCs w:val="26"/>
          <w:lang w:eastAsia="ru-RU"/>
        </w:rPr>
        <w:t>Necesitatea definirii unor pieţe relevante separate pentru serviciile de furnizare cu ridicata a unor segmente terminale de linii închiriate şi serviciile de furniz</w:t>
      </w:r>
      <w:r w:rsidR="00035F3D" w:rsidRPr="00653DB5">
        <w:rPr>
          <w:rFonts w:ascii="Times New Roman" w:eastAsia="Times New Roman" w:hAnsi="Times New Roman" w:cs="Times New Roman"/>
          <w:color w:val="000000" w:themeColor="text1"/>
          <w:sz w:val="26"/>
          <w:szCs w:val="26"/>
          <w:lang w:eastAsia="ru-RU"/>
        </w:rPr>
        <w:t>are cu ridicata a unor segmente-</w:t>
      </w:r>
      <w:r w:rsidRPr="00653DB5">
        <w:rPr>
          <w:rFonts w:ascii="Times New Roman" w:eastAsia="Times New Roman" w:hAnsi="Times New Roman" w:cs="Times New Roman"/>
          <w:color w:val="000000" w:themeColor="text1"/>
          <w:sz w:val="26"/>
          <w:szCs w:val="26"/>
          <w:lang w:eastAsia="ru-RU"/>
        </w:rPr>
        <w:t>trunchi de linii închiriate rezultă în principal din condiţiile concurenţiale diferite în ceea ce priveşte furnizarea acestora. Condiţiile economice de furnizare a unor servicii de capacitate de reţea la nivelul reţelei de transport sunt diferite de furnizarea de servicii de capacităţi dedicate la nivelul reţelei de acces. Investiţiile în reţeaua de transport sunt realizate pentru deservirea zonelor cu trafic dens şi concentrat, în timp ce reţeaua de acces realizează conectarea, colectarea și concentrarea utilizatorilor finali. Astfel, reţeaua de acces implică de obicei transferul unor volume de trafic mai mici, la un nivel dezagregat, într-o arie mai extinsă. De asemenea, rețeaua de transport poate fi concepută pentru transferarea de trafic de diferită natură, în timp ce în rețeaua de acces diferența de natura comunicațiilor poate să existe, cu toate că convergența comunicațiilor duce la unificarea chiar și rețelelor de acces. Pe de altă parte, la nivelul reţelei de transport, economiile de scară şi de densitate pot fi realizate în general mai uşor sau la nivele mai reduse de investiţii decât la nivelul reţelei de acces, datorită procesului de agregare sau concentrare a traficului. Astfel, capacitatea şi lungimea liniilor închiriate sunt criteriile cele mai relevante (cu toate că nu definitive, odată ce și în segmentul de acces pot fi realizate capacități mari de transport bazate pe fibre optice) pentru o delimitare clară între piaţa serviciilor de furnizare cu ridicata a unor segmente terminale de linii închiriate şi piaţa serviciilor de furniz</w:t>
      </w:r>
      <w:r w:rsidR="00035F3D" w:rsidRPr="00653DB5">
        <w:rPr>
          <w:rFonts w:ascii="Times New Roman" w:eastAsia="Times New Roman" w:hAnsi="Times New Roman" w:cs="Times New Roman"/>
          <w:color w:val="000000" w:themeColor="text1"/>
          <w:sz w:val="26"/>
          <w:szCs w:val="26"/>
          <w:lang w:eastAsia="ru-RU"/>
        </w:rPr>
        <w:t>are cu ridicata a unor segmente-</w:t>
      </w:r>
      <w:r w:rsidRPr="00653DB5">
        <w:rPr>
          <w:rFonts w:ascii="Times New Roman" w:eastAsia="Times New Roman" w:hAnsi="Times New Roman" w:cs="Times New Roman"/>
          <w:color w:val="000000" w:themeColor="text1"/>
          <w:sz w:val="26"/>
          <w:szCs w:val="26"/>
          <w:lang w:eastAsia="ru-RU"/>
        </w:rPr>
        <w:t>trunchi de linii închiriate.</w:t>
      </w:r>
    </w:p>
    <w:p w:rsidR="00BA3714" w:rsidRPr="00653DB5" w:rsidRDefault="00BA3714"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color w:val="000000" w:themeColor="text1"/>
          <w:sz w:val="26"/>
          <w:szCs w:val="26"/>
          <w:lang w:eastAsia="ru-RU"/>
        </w:rPr>
        <w:t>În ceea ce priveşte limitele şi definiţi</w:t>
      </w:r>
      <w:r w:rsidR="00100FFE" w:rsidRPr="00653DB5">
        <w:rPr>
          <w:rFonts w:ascii="Times New Roman" w:eastAsia="Times New Roman" w:hAnsi="Times New Roman" w:cs="Times New Roman"/>
          <w:color w:val="000000" w:themeColor="text1"/>
          <w:sz w:val="26"/>
          <w:szCs w:val="26"/>
          <w:lang w:eastAsia="ru-RU"/>
        </w:rPr>
        <w:t>a</w:t>
      </w:r>
      <w:r w:rsidRPr="00653DB5">
        <w:rPr>
          <w:rFonts w:ascii="Times New Roman" w:eastAsia="Times New Roman" w:hAnsi="Times New Roman" w:cs="Times New Roman"/>
          <w:color w:val="000000" w:themeColor="text1"/>
          <w:sz w:val="26"/>
          <w:szCs w:val="26"/>
          <w:lang w:eastAsia="ru-RU"/>
        </w:rPr>
        <w:t xml:space="preserve"> corespunzătoare servici</w:t>
      </w:r>
      <w:r w:rsidR="00100FFE" w:rsidRPr="00653DB5">
        <w:rPr>
          <w:rFonts w:ascii="Times New Roman" w:eastAsia="Times New Roman" w:hAnsi="Times New Roman" w:cs="Times New Roman"/>
          <w:color w:val="000000" w:themeColor="text1"/>
          <w:sz w:val="26"/>
          <w:szCs w:val="26"/>
          <w:lang w:eastAsia="ru-RU"/>
        </w:rPr>
        <w:t>ului</w:t>
      </w:r>
      <w:r w:rsidRPr="00653DB5">
        <w:rPr>
          <w:rFonts w:ascii="Times New Roman" w:eastAsia="Times New Roman" w:hAnsi="Times New Roman" w:cs="Times New Roman"/>
          <w:color w:val="000000" w:themeColor="text1"/>
          <w:sz w:val="26"/>
          <w:szCs w:val="26"/>
          <w:lang w:eastAsia="ru-RU"/>
        </w:rPr>
        <w:t xml:space="preserve"> de furnizare cu ridicata a unor segmente</w:t>
      </w:r>
      <w:r w:rsidR="004C700A" w:rsidRPr="00653DB5">
        <w:rPr>
          <w:rFonts w:ascii="Times New Roman" w:eastAsia="Times New Roman" w:hAnsi="Times New Roman" w:cs="Times New Roman"/>
          <w:color w:val="000000" w:themeColor="text1"/>
          <w:sz w:val="26"/>
          <w:szCs w:val="26"/>
          <w:lang w:eastAsia="ru-RU"/>
        </w:rPr>
        <w:t xml:space="preserve"> </w:t>
      </w:r>
      <w:r w:rsidR="002D5509" w:rsidRPr="00653DB5">
        <w:rPr>
          <w:rFonts w:ascii="Times New Roman" w:eastAsia="Times New Roman" w:hAnsi="Times New Roman" w:cs="Times New Roman"/>
          <w:color w:val="000000" w:themeColor="text1"/>
          <w:sz w:val="26"/>
          <w:szCs w:val="26"/>
          <w:lang w:eastAsia="ru-RU"/>
        </w:rPr>
        <w:t>trunchi de linii închiriate</w:t>
      </w:r>
      <w:r w:rsidRPr="00653DB5">
        <w:rPr>
          <w:rFonts w:ascii="Times New Roman" w:eastAsia="Times New Roman" w:hAnsi="Times New Roman" w:cs="Times New Roman"/>
          <w:color w:val="000000" w:themeColor="text1"/>
          <w:sz w:val="26"/>
          <w:szCs w:val="26"/>
          <w:lang w:eastAsia="ru-RU"/>
        </w:rPr>
        <w:t>, ANRCETI a făcut o referire în Instrucţiunile de completare a chestionarelor de date privind</w:t>
      </w:r>
      <w:r w:rsidR="004C700A" w:rsidRPr="00653DB5">
        <w:rPr>
          <w:rFonts w:ascii="Times New Roman" w:eastAsia="Times New Roman" w:hAnsi="Times New Roman" w:cs="Times New Roman"/>
          <w:color w:val="000000" w:themeColor="text1"/>
          <w:sz w:val="26"/>
          <w:szCs w:val="26"/>
          <w:lang w:eastAsia="ru-RU"/>
        </w:rPr>
        <w:t xml:space="preserve"> segmentele trunchi de</w:t>
      </w:r>
      <w:r w:rsidRPr="00653DB5">
        <w:rPr>
          <w:rFonts w:ascii="Times New Roman" w:eastAsia="Times New Roman" w:hAnsi="Times New Roman" w:cs="Times New Roman"/>
          <w:color w:val="000000" w:themeColor="text1"/>
          <w:sz w:val="26"/>
          <w:szCs w:val="26"/>
          <w:lang w:eastAsia="ru-RU"/>
        </w:rPr>
        <w:t xml:space="preserve"> liniile </w:t>
      </w:r>
      <w:r w:rsidRPr="00653DB5">
        <w:rPr>
          <w:rFonts w:ascii="Times New Roman" w:eastAsia="Times New Roman" w:hAnsi="Times New Roman" w:cs="Times New Roman"/>
          <w:color w:val="000000" w:themeColor="text1"/>
          <w:sz w:val="26"/>
          <w:szCs w:val="26"/>
          <w:lang w:eastAsia="ru-RU"/>
        </w:rPr>
        <w:lastRenderedPageBreak/>
        <w:t>închiriate, la Capitolul „Glosar”, adresat spre completare furnizorilor de reţele şi servicii de comunicaţii electronice. Conform Instrucţiunilor, linii închiriate segmente trunchi</w:t>
      </w:r>
      <w:r w:rsidR="004C700A" w:rsidRPr="00653DB5">
        <w:rPr>
          <w:rFonts w:ascii="Times New Roman" w:eastAsia="Times New Roman" w:hAnsi="Times New Roman" w:cs="Times New Roman"/>
          <w:color w:val="000000" w:themeColor="text1"/>
          <w:sz w:val="26"/>
          <w:szCs w:val="26"/>
          <w:lang w:eastAsia="ru-RU"/>
        </w:rPr>
        <w:t xml:space="preserve"> reprezintă segment de rețea delimitat de două puncte de interconectare pentru linii închiriate situate la nivelul reţelei de transport naţionale (</w:t>
      </w:r>
      <w:proofErr w:type="spellStart"/>
      <w:r w:rsidR="004C700A" w:rsidRPr="00653DB5">
        <w:rPr>
          <w:rFonts w:ascii="Times New Roman" w:eastAsia="Times New Roman" w:hAnsi="Times New Roman" w:cs="Times New Roman"/>
          <w:color w:val="000000" w:themeColor="text1"/>
          <w:sz w:val="26"/>
          <w:szCs w:val="26"/>
          <w:lang w:eastAsia="ru-RU"/>
        </w:rPr>
        <w:t>backbone</w:t>
      </w:r>
      <w:proofErr w:type="spellEnd"/>
      <w:r w:rsidR="004C700A" w:rsidRPr="00653DB5">
        <w:rPr>
          <w:rFonts w:ascii="Times New Roman" w:eastAsia="Times New Roman" w:hAnsi="Times New Roman" w:cs="Times New Roman"/>
          <w:color w:val="000000" w:themeColor="text1"/>
          <w:sz w:val="26"/>
          <w:szCs w:val="26"/>
          <w:lang w:eastAsia="ru-RU"/>
        </w:rPr>
        <w:t xml:space="preserve">) sau al reţelei de transport </w:t>
      </w:r>
      <w:proofErr w:type="spellStart"/>
      <w:r w:rsidR="004C700A" w:rsidRPr="00653DB5">
        <w:rPr>
          <w:rFonts w:ascii="Times New Roman" w:eastAsia="Times New Roman" w:hAnsi="Times New Roman" w:cs="Times New Roman"/>
          <w:color w:val="000000" w:themeColor="text1"/>
          <w:sz w:val="26"/>
          <w:szCs w:val="26"/>
          <w:lang w:eastAsia="ru-RU"/>
        </w:rPr>
        <w:t>interlocalităţi</w:t>
      </w:r>
      <w:proofErr w:type="spellEnd"/>
      <w:r w:rsidR="004C700A" w:rsidRPr="00653DB5">
        <w:rPr>
          <w:rFonts w:ascii="Times New Roman" w:eastAsia="Times New Roman" w:hAnsi="Times New Roman" w:cs="Times New Roman"/>
          <w:color w:val="000000" w:themeColor="text1"/>
          <w:sz w:val="26"/>
          <w:szCs w:val="26"/>
          <w:lang w:eastAsia="ru-RU"/>
        </w:rPr>
        <w:t>, respectiv serviciul de linii închiriate care oferă acest segment pe piaţa cu ridicata</w:t>
      </w:r>
      <w:r w:rsidRPr="00653DB5">
        <w:rPr>
          <w:rFonts w:ascii="Times New Roman" w:eastAsia="Times New Roman" w:hAnsi="Times New Roman" w:cs="Times New Roman"/>
          <w:color w:val="000000" w:themeColor="text1"/>
          <w:sz w:val="26"/>
          <w:szCs w:val="26"/>
          <w:lang w:eastAsia="ru-RU"/>
        </w:rPr>
        <w:t>.</w:t>
      </w:r>
    </w:p>
    <w:p w:rsidR="00BA3714" w:rsidRPr="00653DB5" w:rsidRDefault="00BA3714"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color w:val="000000" w:themeColor="text1"/>
          <w:sz w:val="26"/>
          <w:szCs w:val="26"/>
          <w:lang w:eastAsia="ru-RU"/>
        </w:rPr>
        <w:t>Astfel, în ceea ce priveşte substituibilitatea ofertei cu ridicata, un f</w:t>
      </w:r>
      <w:r w:rsidR="00035F3D" w:rsidRPr="00653DB5">
        <w:rPr>
          <w:rFonts w:ascii="Times New Roman" w:eastAsia="Times New Roman" w:hAnsi="Times New Roman" w:cs="Times New Roman"/>
          <w:color w:val="000000" w:themeColor="text1"/>
          <w:sz w:val="26"/>
          <w:szCs w:val="26"/>
          <w:lang w:eastAsia="ru-RU"/>
        </w:rPr>
        <w:t>urnizor de servicii de segmente-</w:t>
      </w:r>
      <w:r w:rsidRPr="00653DB5">
        <w:rPr>
          <w:rFonts w:ascii="Times New Roman" w:eastAsia="Times New Roman" w:hAnsi="Times New Roman" w:cs="Times New Roman"/>
          <w:color w:val="000000" w:themeColor="text1"/>
          <w:sz w:val="26"/>
          <w:szCs w:val="26"/>
          <w:lang w:eastAsia="ru-RU"/>
        </w:rPr>
        <w:t>trunchi de linii închiriate va trebui să facă investiţii importante pentru a putea furniza servicii de segmente terminale de linii închiriate. Aceasta se explică prin faptul că furnizarea unor segmente terminale de</w:t>
      </w:r>
      <w:r w:rsidR="00FB1894">
        <w:rPr>
          <w:rFonts w:ascii="Times New Roman" w:eastAsia="Times New Roman" w:hAnsi="Times New Roman" w:cs="Times New Roman"/>
          <w:color w:val="000000" w:themeColor="text1"/>
          <w:sz w:val="26"/>
          <w:szCs w:val="26"/>
          <w:lang w:eastAsia="ru-RU"/>
        </w:rPr>
        <w:t xml:space="preserve"> </w:t>
      </w:r>
      <w:r w:rsidRPr="00653DB5">
        <w:rPr>
          <w:rFonts w:ascii="Times New Roman" w:eastAsia="Times New Roman" w:hAnsi="Times New Roman" w:cs="Times New Roman"/>
          <w:color w:val="000000" w:themeColor="text1"/>
          <w:sz w:val="26"/>
          <w:szCs w:val="26"/>
          <w:lang w:eastAsia="ru-RU"/>
        </w:rPr>
        <w:t>linii închiriate implică construcţia unei reţele de acces până la utilizator (adică până la locațiile solicitate de furnizorul ce achiziționează capacitățile). De asemenea, un furnizor care prestează exclusiv servicii de segmente terminale de linii închiriate şi doreşte să intre p</w:t>
      </w:r>
      <w:r w:rsidR="00035F3D" w:rsidRPr="00653DB5">
        <w:rPr>
          <w:rFonts w:ascii="Times New Roman" w:eastAsia="Times New Roman" w:hAnsi="Times New Roman" w:cs="Times New Roman"/>
          <w:color w:val="000000" w:themeColor="text1"/>
          <w:sz w:val="26"/>
          <w:szCs w:val="26"/>
          <w:lang w:eastAsia="ru-RU"/>
        </w:rPr>
        <w:t>e piaţa serviciilor de segmente-</w:t>
      </w:r>
      <w:r w:rsidRPr="00653DB5">
        <w:rPr>
          <w:rFonts w:ascii="Times New Roman" w:eastAsia="Times New Roman" w:hAnsi="Times New Roman" w:cs="Times New Roman"/>
          <w:color w:val="000000" w:themeColor="text1"/>
          <w:sz w:val="26"/>
          <w:szCs w:val="26"/>
          <w:lang w:eastAsia="ru-RU"/>
        </w:rPr>
        <w:t>trunchi de linii închiriate se va confrunta cu constrângeri determinate de investiţiile semnificative ce trebuie realizate şi timpul îndelungat necesar pentru furnizarea acestor servicii, ca urmare a faptului că este necesară dezvoltarea unei infrastructuri de capacitate mare, conectată la diferite locaţii dintr-un număr semnificativ de localităţi, pentru a putea concura cu furnizorii deja existenţi pe piaţă. Segmentele terminale pot necesita și un volum înalt de investiții în infrastructura asociată rețelei de acces, ceea ce îngreunează substituibilitatea serviciilor date.</w:t>
      </w:r>
    </w:p>
    <w:p w:rsidR="004C700A" w:rsidRPr="00653DB5" w:rsidRDefault="004C700A"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b/>
          <w:color w:val="000000" w:themeColor="text1"/>
          <w:sz w:val="26"/>
          <w:szCs w:val="26"/>
          <w:lang w:eastAsia="en-GB"/>
        </w:rPr>
        <w:t xml:space="preserve">Concluzie: </w:t>
      </w:r>
      <w:r w:rsidRPr="00653DB5">
        <w:rPr>
          <w:rFonts w:ascii="Times New Roman" w:eastAsia="Times New Roman" w:hAnsi="Times New Roman" w:cs="Times New Roman"/>
          <w:color w:val="000000" w:themeColor="text1"/>
          <w:sz w:val="26"/>
          <w:szCs w:val="26"/>
          <w:lang w:eastAsia="en-GB"/>
        </w:rPr>
        <w:t>ANRCETI consideră că serviciile de furnizare a unor segmente terminale de linii închiriate și serviciile de furnizare a unor segmente-trunchi de linii închiriate nu fac parte din aceeași piață relevantă a produsului.</w:t>
      </w:r>
    </w:p>
    <w:p w:rsidR="00BA3714" w:rsidRPr="00653DB5" w:rsidRDefault="00BA3714" w:rsidP="00BA3714">
      <w:pPr>
        <w:widowControl/>
        <w:autoSpaceDE w:val="0"/>
        <w:autoSpaceDN w:val="0"/>
        <w:adjustRightInd w:val="0"/>
        <w:jc w:val="both"/>
        <w:rPr>
          <w:rFonts w:ascii="Times New Roman" w:eastAsia="Times New Roman" w:hAnsi="Times New Roman" w:cs="Times New Roman"/>
          <w:color w:val="000000" w:themeColor="text1"/>
          <w:sz w:val="26"/>
          <w:szCs w:val="26"/>
          <w:lang w:eastAsia="ru-RU"/>
        </w:rPr>
      </w:pPr>
    </w:p>
    <w:p w:rsidR="002D5509" w:rsidRPr="00653DB5" w:rsidRDefault="002D5509" w:rsidP="00025509">
      <w:pPr>
        <w:pStyle w:val="Bodytext100"/>
        <w:shd w:val="clear" w:color="auto" w:fill="auto"/>
        <w:tabs>
          <w:tab w:val="left" w:pos="851"/>
        </w:tabs>
        <w:spacing w:before="0" w:after="0" w:line="240" w:lineRule="auto"/>
        <w:ind w:right="20" w:firstLine="567"/>
        <w:rPr>
          <w:b/>
          <w:color w:val="000000" w:themeColor="text1"/>
          <w:sz w:val="26"/>
          <w:szCs w:val="26"/>
        </w:rPr>
      </w:pPr>
      <w:r w:rsidRPr="00653DB5">
        <w:rPr>
          <w:b/>
          <w:color w:val="000000" w:themeColor="text1"/>
          <w:sz w:val="26"/>
          <w:szCs w:val="26"/>
        </w:rPr>
        <w:t>Necesitatea includerii în piaţa relevantă a produsului a serviciilor de acces la fibra optică neechipată;</w:t>
      </w:r>
    </w:p>
    <w:p w:rsidR="002D5509" w:rsidRPr="00653DB5" w:rsidRDefault="002D5509" w:rsidP="00025509">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 xml:space="preserve">Fibra optică neechipată constituie un element pasiv al reţelelor de comunicaţii electronice, care permite transportul semnalelor între două puncte ale reţelei, dacă este echipată cu elementele active corespunzătoare, puse la dispoziţie de </w:t>
      </w:r>
      <w:r w:rsidR="00704849" w:rsidRPr="00653DB5">
        <w:rPr>
          <w:color w:val="000000" w:themeColor="text1"/>
          <w:sz w:val="26"/>
          <w:szCs w:val="26"/>
        </w:rPr>
        <w:t>furnizorul</w:t>
      </w:r>
      <w:r w:rsidRPr="00653DB5">
        <w:rPr>
          <w:color w:val="000000" w:themeColor="text1"/>
          <w:sz w:val="26"/>
          <w:szCs w:val="26"/>
        </w:rPr>
        <w:t xml:space="preserve"> reţelei sau de un terţ. Din punctul de vedere al caracteristicilor tehnice, fibra optică neechipată, poate constitui suportul fizic pentru furnizarea de servicii de linii închiriate - segmente trunchi. În mod similar, accesul la fibra optică neechipată care este un serviciu de acces la infrastructură de reţea, serviciul de linii închiriate - segmente trunchi presupune furnizarea serviciilor de acces </w:t>
      </w:r>
      <w:proofErr w:type="spellStart"/>
      <w:r w:rsidRPr="00653DB5">
        <w:rPr>
          <w:color w:val="000000" w:themeColor="text1"/>
          <w:sz w:val="26"/>
          <w:szCs w:val="26"/>
        </w:rPr>
        <w:t>pînă</w:t>
      </w:r>
      <w:proofErr w:type="spellEnd"/>
      <w:r w:rsidRPr="00653DB5">
        <w:rPr>
          <w:color w:val="000000" w:themeColor="text1"/>
          <w:sz w:val="26"/>
          <w:szCs w:val="26"/>
        </w:rPr>
        <w:t xml:space="preserve"> la echipamentele de transmisiuni la punctul de interconectare şi la utilizatorul final.</w:t>
      </w:r>
    </w:p>
    <w:p w:rsidR="002D5509" w:rsidRPr="00653DB5" w:rsidRDefault="002D5509" w:rsidP="00025509">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În cazul unei creşteri mici, dar semnificative şi de durată, a tarifelor serviciilor de linii închiriate segmente-trunchi, un furnizor care oferă acces la „fibra optică neechipată” ar putea intra pe piaţa cu ridicata a serviciilor de linii închiriate segmente-trunchi, fără a realiza investiţii suplimentare semnificative şi a întâmpina întârzieri importante în lansarea comercială a serviciilor. Astfel, pentru a permite furnizarea de servicii de linii închiriate segmente-trunchi nu este necesară instalarea de echipamente de transmisiuni în fiecare nod al reţelei, şi respectiv nu implică investiţii semnificative.</w:t>
      </w:r>
    </w:p>
    <w:p w:rsidR="007912F4" w:rsidRPr="00653DB5" w:rsidRDefault="007912F4" w:rsidP="00025509">
      <w:pPr>
        <w:pStyle w:val="Bodytext100"/>
        <w:shd w:val="clear" w:color="auto" w:fill="auto"/>
        <w:tabs>
          <w:tab w:val="left" w:pos="851"/>
        </w:tabs>
        <w:spacing w:before="0" w:after="0" w:line="240" w:lineRule="auto"/>
        <w:ind w:right="20" w:firstLine="567"/>
        <w:rPr>
          <w:color w:val="000000" w:themeColor="text1"/>
          <w:sz w:val="26"/>
          <w:szCs w:val="26"/>
        </w:rPr>
      </w:pPr>
    </w:p>
    <w:p w:rsidR="002D5509" w:rsidRPr="00653DB5" w:rsidRDefault="007912F4" w:rsidP="00A267F8">
      <w:pPr>
        <w:pStyle w:val="Bodytext100"/>
        <w:shd w:val="clear" w:color="auto" w:fill="auto"/>
        <w:tabs>
          <w:tab w:val="left" w:pos="851"/>
        </w:tabs>
        <w:spacing w:before="0" w:after="0" w:line="240" w:lineRule="auto"/>
        <w:ind w:right="20" w:firstLine="0"/>
        <w:rPr>
          <w:color w:val="000000" w:themeColor="text1"/>
          <w:sz w:val="26"/>
          <w:szCs w:val="26"/>
        </w:rPr>
      </w:pPr>
      <w:r w:rsidRPr="00653DB5">
        <w:rPr>
          <w:b/>
          <w:color w:val="000000" w:themeColor="text1"/>
          <w:sz w:val="26"/>
          <w:szCs w:val="26"/>
          <w:lang w:eastAsia="en-GB"/>
        </w:rPr>
        <w:t xml:space="preserve">Concluzie: </w:t>
      </w:r>
      <w:r w:rsidRPr="00653DB5">
        <w:rPr>
          <w:color w:val="000000" w:themeColor="text1"/>
          <w:sz w:val="26"/>
          <w:szCs w:val="26"/>
        </w:rPr>
        <w:t xml:space="preserve">Serviciile de acces la „fibra optică neechipată” şi serviciile de linii închiriate segmente-trunchi STM fac parte din aceeaşi piaţă relevantă a produsului din punctul de </w:t>
      </w:r>
      <w:r w:rsidRPr="00653DB5">
        <w:rPr>
          <w:color w:val="000000" w:themeColor="text1"/>
          <w:sz w:val="26"/>
          <w:szCs w:val="26"/>
        </w:rPr>
        <w:lastRenderedPageBreak/>
        <w:t>vedere al substituibilităţii cererii şi ofertei, pentru orizontul de timp al analizei.</w:t>
      </w:r>
    </w:p>
    <w:p w:rsidR="002D5509" w:rsidRPr="00653DB5" w:rsidRDefault="002D5509" w:rsidP="00A267F8">
      <w:pPr>
        <w:pStyle w:val="Bodytext100"/>
        <w:shd w:val="clear" w:color="auto" w:fill="auto"/>
        <w:tabs>
          <w:tab w:val="left" w:pos="851"/>
        </w:tabs>
        <w:spacing w:before="0" w:after="0" w:line="240" w:lineRule="auto"/>
        <w:ind w:right="20" w:firstLine="0"/>
        <w:rPr>
          <w:color w:val="000000" w:themeColor="text1"/>
          <w:sz w:val="26"/>
          <w:szCs w:val="26"/>
        </w:rPr>
      </w:pPr>
    </w:p>
    <w:p w:rsidR="002D5509" w:rsidRPr="00653DB5" w:rsidRDefault="002D5509" w:rsidP="00025509">
      <w:pPr>
        <w:pStyle w:val="Heading2"/>
        <w:spacing w:before="0"/>
        <w:ind w:firstLine="567"/>
        <w:rPr>
          <w:rFonts w:ascii="Times New Roman" w:eastAsia="Times New Roman" w:hAnsi="Times New Roman" w:cs="Times New Roman"/>
          <w:color w:val="000000" w:themeColor="text1"/>
          <w:lang w:eastAsia="en-GB"/>
        </w:rPr>
      </w:pPr>
      <w:bookmarkStart w:id="125" w:name="_Toc362006018"/>
      <w:bookmarkStart w:id="126" w:name="_Toc368666562"/>
      <w:bookmarkStart w:id="127" w:name="_Toc422317016"/>
      <w:bookmarkStart w:id="128" w:name="_Toc422318613"/>
      <w:bookmarkStart w:id="129" w:name="_Toc485634399"/>
      <w:r w:rsidRPr="00653DB5">
        <w:rPr>
          <w:rFonts w:ascii="Times New Roman" w:eastAsia="Times New Roman" w:hAnsi="Times New Roman" w:cs="Times New Roman"/>
          <w:color w:val="000000" w:themeColor="text1"/>
          <w:shd w:val="clear" w:color="auto" w:fill="FFFFFF"/>
          <w:lang w:eastAsia="en-GB"/>
        </w:rPr>
        <w:t>2.4.2.2 Substituibilitatea cererii cu ridicata</w:t>
      </w:r>
      <w:bookmarkEnd w:id="125"/>
      <w:bookmarkEnd w:id="126"/>
      <w:bookmarkEnd w:id="127"/>
      <w:bookmarkEnd w:id="128"/>
      <w:bookmarkEnd w:id="129"/>
      <w:r w:rsidRPr="00653DB5">
        <w:rPr>
          <w:rFonts w:ascii="Times New Roman" w:eastAsia="Times New Roman" w:hAnsi="Times New Roman" w:cs="Times New Roman"/>
          <w:color w:val="000000" w:themeColor="text1"/>
          <w:lang w:eastAsia="en-GB"/>
        </w:rPr>
        <w:t xml:space="preserve"> </w:t>
      </w:r>
    </w:p>
    <w:p w:rsidR="002D5509" w:rsidRPr="00653DB5" w:rsidRDefault="002D5509" w:rsidP="00025509">
      <w:pPr>
        <w:pStyle w:val="Bodytext100"/>
        <w:shd w:val="clear" w:color="auto" w:fill="auto"/>
        <w:tabs>
          <w:tab w:val="left" w:pos="851"/>
        </w:tabs>
        <w:spacing w:before="0" w:after="0" w:line="240" w:lineRule="auto"/>
        <w:ind w:right="20" w:firstLine="567"/>
        <w:rPr>
          <w:color w:val="000000" w:themeColor="text1"/>
          <w:sz w:val="26"/>
          <w:szCs w:val="26"/>
          <w:shd w:val="clear" w:color="auto" w:fill="FFFFFF"/>
        </w:rPr>
      </w:pPr>
      <w:r w:rsidRPr="00653DB5">
        <w:rPr>
          <w:color w:val="000000" w:themeColor="text1"/>
          <w:sz w:val="26"/>
          <w:szCs w:val="26"/>
          <w:shd w:val="clear" w:color="auto" w:fill="FFFFFF"/>
        </w:rPr>
        <w:t>Substituibilitatea cererii cu ridicata</w:t>
      </w:r>
      <w:r w:rsidRPr="00653DB5">
        <w:rPr>
          <w:color w:val="000000" w:themeColor="text1"/>
          <w:sz w:val="26"/>
          <w:szCs w:val="26"/>
        </w:rPr>
        <w:t xml:space="preserve"> </w:t>
      </w:r>
      <w:r w:rsidRPr="00653DB5">
        <w:rPr>
          <w:color w:val="000000" w:themeColor="text1"/>
          <w:sz w:val="26"/>
          <w:szCs w:val="26"/>
          <w:shd w:val="clear" w:color="auto" w:fill="FFFFFF"/>
        </w:rPr>
        <w:t>are loc când cumpărătorul serviciului de furniz</w:t>
      </w:r>
      <w:r w:rsidR="00D4669C" w:rsidRPr="00653DB5">
        <w:rPr>
          <w:color w:val="000000" w:themeColor="text1"/>
          <w:sz w:val="26"/>
          <w:szCs w:val="26"/>
          <w:shd w:val="clear" w:color="auto" w:fill="FFFFFF"/>
        </w:rPr>
        <w:t xml:space="preserve">are cu ridicata a unor segmente-trunchi </w:t>
      </w:r>
      <w:r w:rsidRPr="00653DB5">
        <w:rPr>
          <w:color w:val="000000" w:themeColor="text1"/>
          <w:sz w:val="26"/>
          <w:szCs w:val="26"/>
          <w:shd w:val="clear" w:color="auto" w:fill="FFFFFF"/>
        </w:rPr>
        <w:t xml:space="preserve">de linii închiriate, indiferent de tehnologia utilizată pentru punerea la dispoziţie de capacitate închiriată sau rezervată este determinat să folosească produse alternative ca răspuns la </w:t>
      </w:r>
      <w:proofErr w:type="spellStart"/>
      <w:r w:rsidRPr="00653DB5">
        <w:rPr>
          <w:color w:val="000000" w:themeColor="text1"/>
          <w:sz w:val="26"/>
          <w:szCs w:val="26"/>
          <w:shd w:val="clear" w:color="auto" w:fill="FFFFFF"/>
        </w:rPr>
        <w:t>SSNIP-ul</w:t>
      </w:r>
      <w:proofErr w:type="spellEnd"/>
      <w:r w:rsidRPr="00653DB5">
        <w:rPr>
          <w:color w:val="000000" w:themeColor="text1"/>
          <w:sz w:val="26"/>
          <w:szCs w:val="26"/>
          <w:shd w:val="clear" w:color="auto" w:fill="FFFFFF"/>
        </w:rPr>
        <w:t xml:space="preserve"> monopolistului ipotetic. Întrebarea este dacă aceasta va avea loc într-o asemenea măsură încât SSNIP să devină neprofitabil.</w:t>
      </w:r>
    </w:p>
    <w:p w:rsidR="002D5509" w:rsidRPr="00653DB5" w:rsidRDefault="002D5509" w:rsidP="00025509">
      <w:pPr>
        <w:pStyle w:val="Bodytext100"/>
        <w:shd w:val="clear" w:color="auto" w:fill="auto"/>
        <w:tabs>
          <w:tab w:val="left" w:pos="851"/>
        </w:tabs>
        <w:spacing w:before="0" w:after="0" w:line="240" w:lineRule="auto"/>
        <w:ind w:right="20" w:firstLine="567"/>
        <w:rPr>
          <w:color w:val="000000" w:themeColor="text1"/>
          <w:sz w:val="26"/>
          <w:szCs w:val="26"/>
          <w:shd w:val="clear" w:color="auto" w:fill="FFFFFF"/>
        </w:rPr>
      </w:pPr>
    </w:p>
    <w:p w:rsidR="00790A2F" w:rsidRPr="00653DB5" w:rsidRDefault="00F3749E" w:rsidP="00025509">
      <w:pPr>
        <w:pStyle w:val="Bodytext100"/>
        <w:shd w:val="clear" w:color="auto" w:fill="auto"/>
        <w:tabs>
          <w:tab w:val="left" w:pos="709"/>
        </w:tabs>
        <w:spacing w:before="0" w:after="0" w:line="240" w:lineRule="auto"/>
        <w:ind w:right="20" w:firstLine="567"/>
        <w:rPr>
          <w:b/>
          <w:color w:val="000000" w:themeColor="text1"/>
          <w:sz w:val="26"/>
          <w:szCs w:val="26"/>
        </w:rPr>
      </w:pPr>
      <w:bookmarkStart w:id="130" w:name="bookmark17"/>
      <w:bookmarkStart w:id="131" w:name="_Toc368664672"/>
      <w:bookmarkStart w:id="132" w:name="_Toc368664926"/>
      <w:r w:rsidRPr="00653DB5">
        <w:rPr>
          <w:b/>
          <w:color w:val="000000" w:themeColor="text1"/>
          <w:sz w:val="26"/>
          <w:szCs w:val="26"/>
        </w:rPr>
        <w:t xml:space="preserve">Analiza măsurii în care serviciile de linii închiriate segmente-trunchi bazate pe tehnologia MPLS, </w:t>
      </w:r>
      <w:proofErr w:type="spellStart"/>
      <w:r w:rsidRPr="00653DB5">
        <w:rPr>
          <w:b/>
          <w:color w:val="000000" w:themeColor="text1"/>
          <w:sz w:val="26"/>
          <w:szCs w:val="26"/>
        </w:rPr>
        <w:t>Ethernet</w:t>
      </w:r>
      <w:proofErr w:type="spellEnd"/>
      <w:r w:rsidRPr="00653DB5">
        <w:rPr>
          <w:b/>
          <w:color w:val="000000" w:themeColor="text1"/>
          <w:sz w:val="26"/>
          <w:szCs w:val="26"/>
        </w:rPr>
        <w:t xml:space="preserve"> şi WDM fac parte din aceeaşi piaţă relevantă a produsului</w:t>
      </w:r>
      <w:r w:rsidR="002D5509" w:rsidRPr="00653DB5">
        <w:rPr>
          <w:b/>
          <w:color w:val="000000" w:themeColor="text1"/>
          <w:sz w:val="26"/>
          <w:szCs w:val="26"/>
        </w:rPr>
        <w:t>;</w:t>
      </w:r>
      <w:bookmarkEnd w:id="130"/>
      <w:bookmarkEnd w:id="131"/>
      <w:bookmarkEnd w:id="132"/>
    </w:p>
    <w:p w:rsidR="002D5509" w:rsidRPr="00653DB5" w:rsidRDefault="00F3749E" w:rsidP="00025509">
      <w:pPr>
        <w:pStyle w:val="Bodytext100"/>
        <w:shd w:val="clear" w:color="auto" w:fill="auto"/>
        <w:spacing w:before="0" w:after="0" w:line="240" w:lineRule="auto"/>
        <w:ind w:right="23" w:firstLine="567"/>
        <w:rPr>
          <w:color w:val="000000" w:themeColor="text1"/>
          <w:sz w:val="26"/>
          <w:szCs w:val="26"/>
        </w:rPr>
      </w:pPr>
      <w:r w:rsidRPr="00653DB5">
        <w:rPr>
          <w:color w:val="000000" w:themeColor="text1"/>
          <w:sz w:val="26"/>
          <w:szCs w:val="26"/>
        </w:rPr>
        <w:t xml:space="preserve">ANRCETI a analizat dacă serviciile de capacitate de transmitere cu interfeţe alternative celei SDH (MPLS, </w:t>
      </w:r>
      <w:proofErr w:type="spellStart"/>
      <w:r w:rsidRPr="00653DB5">
        <w:rPr>
          <w:color w:val="000000" w:themeColor="text1"/>
          <w:sz w:val="26"/>
          <w:szCs w:val="26"/>
        </w:rPr>
        <w:t>Ethernet</w:t>
      </w:r>
      <w:proofErr w:type="spellEnd"/>
      <w:r w:rsidRPr="00653DB5">
        <w:rPr>
          <w:color w:val="000000" w:themeColor="text1"/>
          <w:sz w:val="26"/>
          <w:szCs w:val="26"/>
        </w:rPr>
        <w:t xml:space="preserve"> şi WDM) fac parte din aceeaşi piaţă relevantă a produsului. Pentru a determina gradul de substituibilitate dintre cele două categorii de servicii de linii închiriate segmente-trunchi, ANRCETI a analizat, în primul rând, dacă acestea pot fi considerate substituenţi potriviţi din punctul de vedere al utilizării date acestora şi caracteristicilor lor funcţionale.</w:t>
      </w:r>
    </w:p>
    <w:p w:rsidR="00790A2F" w:rsidRPr="00653DB5" w:rsidRDefault="00F3749E" w:rsidP="00025509">
      <w:pPr>
        <w:pStyle w:val="Bodytext100"/>
        <w:shd w:val="clear" w:color="auto" w:fill="auto"/>
        <w:spacing w:before="0" w:after="0" w:line="240" w:lineRule="auto"/>
        <w:ind w:right="23" w:firstLine="567"/>
        <w:rPr>
          <w:color w:val="000000" w:themeColor="text1"/>
          <w:sz w:val="26"/>
          <w:szCs w:val="26"/>
        </w:rPr>
      </w:pPr>
      <w:r w:rsidRPr="00653DB5">
        <w:rPr>
          <w:color w:val="000000" w:themeColor="text1"/>
          <w:sz w:val="26"/>
          <w:szCs w:val="26"/>
        </w:rPr>
        <w:t>Serviciul de linii închiriate constituie, aşa cum este precizat mai sus, o conexiune dedicată care oferă o capacitate de transmisie simetrică şi permanentă între două puncte ale reţelelor, care nu prevede comutarea pe segmentul închiriat. Capacităţile închiriate pot, totuşi fi multiplexate/</w:t>
      </w:r>
      <w:proofErr w:type="spellStart"/>
      <w:r w:rsidRPr="00653DB5">
        <w:rPr>
          <w:color w:val="000000" w:themeColor="text1"/>
          <w:sz w:val="26"/>
          <w:szCs w:val="26"/>
        </w:rPr>
        <w:t>demultiplexate</w:t>
      </w:r>
      <w:proofErr w:type="spellEnd"/>
      <w:r w:rsidRPr="00653DB5">
        <w:rPr>
          <w:color w:val="000000" w:themeColor="text1"/>
          <w:sz w:val="26"/>
          <w:szCs w:val="26"/>
        </w:rPr>
        <w:t xml:space="preserve"> cu alte capacităţi transportate între două puncte ale reţelei de transport.</w:t>
      </w:r>
    </w:p>
    <w:p w:rsidR="002D5509" w:rsidRPr="00653DB5" w:rsidRDefault="00F3749E" w:rsidP="00025509">
      <w:pPr>
        <w:pStyle w:val="Bodytext100"/>
        <w:shd w:val="clear" w:color="auto" w:fill="auto"/>
        <w:spacing w:before="0" w:after="0" w:line="240" w:lineRule="auto"/>
        <w:ind w:right="23" w:firstLine="567"/>
        <w:rPr>
          <w:color w:val="000000" w:themeColor="text1"/>
          <w:sz w:val="26"/>
          <w:szCs w:val="26"/>
        </w:rPr>
      </w:pPr>
      <w:r w:rsidRPr="00653DB5">
        <w:rPr>
          <w:color w:val="000000" w:themeColor="text1"/>
          <w:sz w:val="26"/>
          <w:szCs w:val="26"/>
        </w:rPr>
        <w:t xml:space="preserve">Serviciile care utilizează interfeţe alternative pentru transportare de capacităţi (SDH, </w:t>
      </w:r>
      <w:proofErr w:type="spellStart"/>
      <w:r w:rsidRPr="00653DB5">
        <w:rPr>
          <w:color w:val="000000" w:themeColor="text1"/>
          <w:sz w:val="26"/>
          <w:szCs w:val="26"/>
        </w:rPr>
        <w:t>Ethernet</w:t>
      </w:r>
      <w:proofErr w:type="spellEnd"/>
      <w:r w:rsidRPr="00653DB5">
        <w:rPr>
          <w:color w:val="000000" w:themeColor="text1"/>
          <w:sz w:val="26"/>
          <w:szCs w:val="26"/>
        </w:rPr>
        <w:t>, MPLS, WDM etc.) au evoluat rapid în ultimii ani, încorporând noi funcţionalităţi tehnice, fiind utilizate din ce în ce mai des ca substituent al serviciilor de linii închiriate tradiţionale. Aceste interfeţe alternative permit atingerea unor niveluri de calitate comparabile cu cele ale liniilor închiriate tradiţionale în special în ceea ce priveşte transparenţa (capacitatea de a transporta toate categoriile de aplicaţii, în timp real), de garantare a capacităţii şi nu sunt limitate în ceea ce priveşte lungimea.</w:t>
      </w:r>
    </w:p>
    <w:p w:rsidR="00790A2F" w:rsidRPr="00653DB5" w:rsidRDefault="00F3749E" w:rsidP="00025509">
      <w:pPr>
        <w:pStyle w:val="Bodytext100"/>
        <w:shd w:val="clear" w:color="auto" w:fill="auto"/>
        <w:spacing w:before="0" w:after="0" w:line="240" w:lineRule="auto"/>
        <w:ind w:right="23" w:firstLine="567"/>
        <w:rPr>
          <w:color w:val="000000" w:themeColor="text1"/>
          <w:sz w:val="26"/>
          <w:szCs w:val="26"/>
        </w:rPr>
      </w:pPr>
      <w:r w:rsidRPr="00653DB5">
        <w:rPr>
          <w:color w:val="000000" w:themeColor="text1"/>
          <w:sz w:val="26"/>
          <w:szCs w:val="26"/>
        </w:rPr>
        <w:t>Din punct de vedere al funcţionalităţii serviciile de închiriere de fibră optică sură este cel mai potrivit substituent pentru capacităţi SDH, deoarece permite furnizorului ce achiziţionează segmentul de fibră optică pasivă să aleagă flexibil tehnologia şi capacităţile dorite pe acest segment, pe care şi le poate furniza prin echiparea de sine stătător a fibrei optice cu echipamente de transmisiuni corespunzătoare.</w:t>
      </w:r>
    </w:p>
    <w:p w:rsidR="00790A2F" w:rsidRPr="00653DB5" w:rsidRDefault="00F3749E" w:rsidP="00025509">
      <w:pPr>
        <w:pStyle w:val="Bodytext100"/>
        <w:shd w:val="clear" w:color="auto" w:fill="auto"/>
        <w:spacing w:before="0" w:after="0" w:line="240" w:lineRule="auto"/>
        <w:ind w:right="23" w:firstLine="567"/>
        <w:rPr>
          <w:color w:val="000000" w:themeColor="text1"/>
          <w:sz w:val="26"/>
          <w:szCs w:val="26"/>
        </w:rPr>
      </w:pPr>
      <w:r w:rsidRPr="00653DB5">
        <w:rPr>
          <w:color w:val="000000" w:themeColor="text1"/>
          <w:sz w:val="26"/>
          <w:szCs w:val="26"/>
        </w:rPr>
        <w:t xml:space="preserve">Opţiunile WDM de asemenea permit cumpărătorului să aleagă flexibil tehnologia dorită de acesta, cu toate că poate fi limitat în vitezele de transmisie, în funcţie de numărul de lungimi de undă închiriate. Totuşi capacităţile de transmisie de 2,5 </w:t>
      </w:r>
      <w:proofErr w:type="spellStart"/>
      <w:r w:rsidRPr="00653DB5">
        <w:rPr>
          <w:color w:val="000000" w:themeColor="text1"/>
          <w:sz w:val="26"/>
          <w:szCs w:val="26"/>
        </w:rPr>
        <w:t>Gbps</w:t>
      </w:r>
      <w:proofErr w:type="spellEnd"/>
      <w:r w:rsidRPr="00653DB5">
        <w:rPr>
          <w:color w:val="000000" w:themeColor="text1"/>
          <w:sz w:val="26"/>
          <w:szCs w:val="26"/>
        </w:rPr>
        <w:t xml:space="preserve"> pe care le poate oferi fiecare lungime de undă sunt semnificative în raport cu capacităţile SDH şi, prin urmare, le pot substitui eficient. Ca şi în cazul descris pentru fibrele </w:t>
      </w:r>
      <w:r w:rsidR="001E2698" w:rsidRPr="00653DB5">
        <w:rPr>
          <w:color w:val="000000" w:themeColor="text1"/>
          <w:sz w:val="26"/>
          <w:szCs w:val="26"/>
        </w:rPr>
        <w:t>sure</w:t>
      </w:r>
      <w:r w:rsidRPr="00653DB5">
        <w:rPr>
          <w:color w:val="000000" w:themeColor="text1"/>
          <w:sz w:val="26"/>
          <w:szCs w:val="26"/>
        </w:rPr>
        <w:t>, furnizorul ce achiziţionează servicii de lungimi de undă urmează de sine stătător să le echipeze cu echipamente de nivele de reţea (</w:t>
      </w:r>
      <w:proofErr w:type="spellStart"/>
      <w:r w:rsidRPr="00653DB5">
        <w:rPr>
          <w:color w:val="000000" w:themeColor="text1"/>
          <w:sz w:val="26"/>
          <w:szCs w:val="26"/>
        </w:rPr>
        <w:t>network</w:t>
      </w:r>
      <w:proofErr w:type="spellEnd"/>
      <w:r w:rsidRPr="00653DB5">
        <w:rPr>
          <w:color w:val="000000" w:themeColor="text1"/>
          <w:sz w:val="26"/>
          <w:szCs w:val="26"/>
        </w:rPr>
        <w:t xml:space="preserve"> </w:t>
      </w:r>
      <w:proofErr w:type="spellStart"/>
      <w:r w:rsidRPr="00653DB5">
        <w:rPr>
          <w:color w:val="000000" w:themeColor="text1"/>
          <w:sz w:val="26"/>
          <w:szCs w:val="26"/>
        </w:rPr>
        <w:t>layer</w:t>
      </w:r>
      <w:proofErr w:type="spellEnd"/>
      <w:r w:rsidRPr="00653DB5">
        <w:rPr>
          <w:color w:val="000000" w:themeColor="text1"/>
          <w:sz w:val="26"/>
          <w:szCs w:val="26"/>
        </w:rPr>
        <w:t>).</w:t>
      </w:r>
    </w:p>
    <w:p w:rsidR="00790A2F" w:rsidRPr="00653DB5" w:rsidRDefault="00F3749E" w:rsidP="00025509">
      <w:pPr>
        <w:pStyle w:val="Bodytext100"/>
        <w:shd w:val="clear" w:color="auto" w:fill="auto"/>
        <w:spacing w:before="0" w:after="0" w:line="240" w:lineRule="auto"/>
        <w:ind w:right="23" w:firstLine="567"/>
        <w:rPr>
          <w:color w:val="000000" w:themeColor="text1"/>
          <w:sz w:val="26"/>
          <w:szCs w:val="26"/>
        </w:rPr>
      </w:pPr>
      <w:r w:rsidRPr="00653DB5">
        <w:rPr>
          <w:color w:val="000000" w:themeColor="text1"/>
          <w:sz w:val="26"/>
          <w:szCs w:val="26"/>
        </w:rPr>
        <w:t xml:space="preserve">În acest context, nu există motive pentru a defini pieţe relevante ale produsului diferite în funcţie de tehnologiile de transport care sunt utilizate. Astfel, piaţa relevantă a produsului </w:t>
      </w:r>
      <w:r w:rsidRPr="00653DB5">
        <w:rPr>
          <w:color w:val="000000" w:themeColor="text1"/>
          <w:sz w:val="26"/>
          <w:szCs w:val="26"/>
        </w:rPr>
        <w:lastRenderedPageBreak/>
        <w:t>este piaţa furnizării de linii închiriate segmente-trunchi, indi</w:t>
      </w:r>
      <w:r w:rsidR="00025509" w:rsidRPr="00653DB5">
        <w:rPr>
          <w:color w:val="000000" w:themeColor="text1"/>
          <w:sz w:val="26"/>
          <w:szCs w:val="26"/>
        </w:rPr>
        <w:t>ferent de tehnologia utilizată.</w:t>
      </w:r>
    </w:p>
    <w:p w:rsidR="00284933" w:rsidRPr="00653DB5" w:rsidRDefault="00284933" w:rsidP="00025509">
      <w:pPr>
        <w:pStyle w:val="Bodytext100"/>
        <w:shd w:val="clear" w:color="auto" w:fill="auto"/>
        <w:spacing w:before="0" w:after="0" w:line="240" w:lineRule="auto"/>
        <w:ind w:right="23" w:firstLine="567"/>
        <w:rPr>
          <w:color w:val="000000" w:themeColor="text1"/>
          <w:sz w:val="26"/>
          <w:szCs w:val="26"/>
        </w:rPr>
      </w:pPr>
      <w:r w:rsidRPr="00653DB5">
        <w:rPr>
          <w:b/>
          <w:color w:val="000000" w:themeColor="text1"/>
          <w:sz w:val="26"/>
          <w:szCs w:val="26"/>
        </w:rPr>
        <w:t xml:space="preserve">Concluzie: </w:t>
      </w:r>
      <w:r w:rsidRPr="00653DB5">
        <w:rPr>
          <w:color w:val="000000" w:themeColor="text1"/>
          <w:sz w:val="26"/>
          <w:szCs w:val="26"/>
        </w:rPr>
        <w:t>ANRCETI consideră că piaţa relevantă furnizării de linii închiriate segmente-trunchi include toate tipurile de tehnologii precum şi toate tipurile de interfeţe şi protocoale utilizate (</w:t>
      </w:r>
      <w:proofErr w:type="spellStart"/>
      <w:r w:rsidRPr="00653DB5">
        <w:rPr>
          <w:color w:val="000000" w:themeColor="text1"/>
          <w:sz w:val="26"/>
          <w:szCs w:val="26"/>
        </w:rPr>
        <w:t>Ethernet</w:t>
      </w:r>
      <w:proofErr w:type="spellEnd"/>
      <w:r w:rsidRPr="00653DB5">
        <w:rPr>
          <w:color w:val="000000" w:themeColor="text1"/>
          <w:sz w:val="26"/>
          <w:szCs w:val="26"/>
        </w:rPr>
        <w:t>, MPLS, SDH, WDM)</w:t>
      </w:r>
    </w:p>
    <w:p w:rsidR="00870BAA" w:rsidRPr="00653DB5" w:rsidRDefault="00870BAA" w:rsidP="00A817B5">
      <w:pPr>
        <w:pStyle w:val="Bodytext100"/>
        <w:shd w:val="clear" w:color="auto" w:fill="auto"/>
        <w:spacing w:before="0" w:after="0" w:line="240" w:lineRule="auto"/>
        <w:ind w:left="20" w:right="20" w:firstLine="0"/>
        <w:rPr>
          <w:color w:val="000000" w:themeColor="text1"/>
          <w:sz w:val="26"/>
          <w:szCs w:val="26"/>
        </w:rPr>
      </w:pPr>
    </w:p>
    <w:p w:rsidR="001A1947" w:rsidRPr="00653DB5" w:rsidRDefault="001A1947" w:rsidP="00025509">
      <w:pPr>
        <w:pStyle w:val="Bodytext100"/>
        <w:shd w:val="clear" w:color="auto" w:fill="auto"/>
        <w:tabs>
          <w:tab w:val="left" w:pos="709"/>
        </w:tabs>
        <w:spacing w:before="0" w:after="0" w:line="240" w:lineRule="auto"/>
        <w:ind w:right="20" w:firstLine="567"/>
        <w:rPr>
          <w:b/>
          <w:color w:val="000000" w:themeColor="text1"/>
          <w:sz w:val="26"/>
          <w:szCs w:val="26"/>
          <w:shd w:val="clear" w:color="auto" w:fill="FFFFFF"/>
        </w:rPr>
      </w:pPr>
      <w:r w:rsidRPr="00653DB5">
        <w:rPr>
          <w:b/>
          <w:color w:val="000000" w:themeColor="text1"/>
          <w:sz w:val="26"/>
          <w:szCs w:val="26"/>
        </w:rPr>
        <w:t>Delimitarea</w:t>
      </w:r>
      <w:r w:rsidR="00035F3D" w:rsidRPr="00653DB5">
        <w:rPr>
          <w:b/>
          <w:color w:val="000000" w:themeColor="text1"/>
          <w:sz w:val="26"/>
          <w:szCs w:val="26"/>
        </w:rPr>
        <w:t xml:space="preserve"> şi definirea</w:t>
      </w:r>
      <w:r w:rsidRPr="00653DB5">
        <w:rPr>
          <w:b/>
          <w:color w:val="000000" w:themeColor="text1"/>
          <w:sz w:val="26"/>
          <w:szCs w:val="26"/>
        </w:rPr>
        <w:t xml:space="preserve"> segmentelor corespunzătoare serviciilor de</w:t>
      </w:r>
      <w:r w:rsidR="00035F3D" w:rsidRPr="00653DB5">
        <w:rPr>
          <w:b/>
          <w:color w:val="000000" w:themeColor="text1"/>
          <w:sz w:val="26"/>
          <w:szCs w:val="26"/>
        </w:rPr>
        <w:t xml:space="preserve"> furnizare cu ridicata a unor</w:t>
      </w:r>
      <w:r w:rsidRPr="00653DB5">
        <w:rPr>
          <w:b/>
          <w:color w:val="000000" w:themeColor="text1"/>
          <w:sz w:val="26"/>
          <w:szCs w:val="26"/>
        </w:rPr>
        <w:t xml:space="preserve"> segmente terminale de linii închir</w:t>
      </w:r>
      <w:r w:rsidR="00035F3D" w:rsidRPr="00653DB5">
        <w:rPr>
          <w:b/>
          <w:color w:val="000000" w:themeColor="text1"/>
          <w:sz w:val="26"/>
          <w:szCs w:val="26"/>
        </w:rPr>
        <w:t>iate şi serviciilor de furnizare cu ridicata a unor segmente-t</w:t>
      </w:r>
      <w:r w:rsidRPr="00653DB5">
        <w:rPr>
          <w:b/>
          <w:color w:val="000000" w:themeColor="text1"/>
          <w:sz w:val="26"/>
          <w:szCs w:val="26"/>
        </w:rPr>
        <w:t>runchi de linii închiriate;</w:t>
      </w:r>
    </w:p>
    <w:p w:rsidR="001A1947" w:rsidRPr="00653DB5" w:rsidRDefault="001A1947" w:rsidP="00025509">
      <w:pPr>
        <w:widowControl/>
        <w:ind w:firstLine="567"/>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color w:val="000000" w:themeColor="text1"/>
          <w:sz w:val="26"/>
          <w:szCs w:val="26"/>
          <w:lang w:eastAsia="ru-RU"/>
        </w:rPr>
        <w:t>Trebuie menţionat că serviciile de segmente terminale de linii închi</w:t>
      </w:r>
      <w:r w:rsidR="00035F3D" w:rsidRPr="00653DB5">
        <w:rPr>
          <w:rFonts w:ascii="Times New Roman" w:eastAsia="Times New Roman" w:hAnsi="Times New Roman" w:cs="Times New Roman"/>
          <w:color w:val="000000" w:themeColor="text1"/>
          <w:sz w:val="26"/>
          <w:szCs w:val="26"/>
          <w:lang w:eastAsia="ru-RU"/>
        </w:rPr>
        <w:t>riate şi serviciile de segmente-</w:t>
      </w:r>
      <w:r w:rsidRPr="00653DB5">
        <w:rPr>
          <w:rFonts w:ascii="Times New Roman" w:eastAsia="Times New Roman" w:hAnsi="Times New Roman" w:cs="Times New Roman"/>
          <w:color w:val="000000" w:themeColor="text1"/>
          <w:sz w:val="26"/>
          <w:szCs w:val="26"/>
          <w:lang w:eastAsia="ru-RU"/>
        </w:rPr>
        <w:t>trunchi de linii închiriate nu sunt substituibile din punct de vedere funcţional şi, prin urmare, nu pot fi considerate servicii substituibile din punctul de vedere al cererii. Fiecare dintre cele două servicii îndeplineşte o anumită funcţie şi satisface o anumită nevoie, fiind folosite ca servicii complementare. Un client al unuia dintre cele două servicii la nivelul pieţei cu ridicata nu ar putea alege celălalt serviciu ca răspuns la o creştere mică, dar semnificativă a preţului, dat fiind că fiecare dintre aceste servicii intră în alcătuirea unor părţi diferite ale reţelei, iar cererea este determinată de nevoile specifice ale reţelei operate de utilizatorul de la nivelul pieţei cu ridicata.</w:t>
      </w:r>
    </w:p>
    <w:p w:rsidR="00284933" w:rsidRPr="00653DB5" w:rsidRDefault="00284933" w:rsidP="00025509">
      <w:pPr>
        <w:widowControl/>
        <w:ind w:firstLine="567"/>
        <w:jc w:val="both"/>
        <w:rPr>
          <w:rFonts w:ascii="Times New Roman" w:eastAsia="Times New Roman" w:hAnsi="Times New Roman" w:cs="Times New Roman"/>
          <w:b/>
          <w:color w:val="000000" w:themeColor="text1"/>
          <w:sz w:val="26"/>
          <w:szCs w:val="26"/>
          <w:shd w:val="clear" w:color="auto" w:fill="FFFFFF"/>
        </w:rPr>
      </w:pPr>
      <w:r w:rsidRPr="00653DB5">
        <w:rPr>
          <w:rFonts w:ascii="Times New Roman" w:eastAsia="Times New Roman" w:hAnsi="Times New Roman" w:cs="Times New Roman"/>
          <w:b/>
          <w:color w:val="000000" w:themeColor="text1"/>
          <w:sz w:val="26"/>
          <w:szCs w:val="26"/>
          <w:lang w:eastAsia="en-GB"/>
        </w:rPr>
        <w:t xml:space="preserve">Concluzie: </w:t>
      </w:r>
      <w:r w:rsidRPr="00653DB5">
        <w:rPr>
          <w:rFonts w:ascii="Times New Roman" w:eastAsia="Times New Roman" w:hAnsi="Times New Roman" w:cs="Times New Roman"/>
          <w:color w:val="000000" w:themeColor="text1"/>
          <w:sz w:val="26"/>
          <w:szCs w:val="26"/>
          <w:lang w:eastAsia="en-GB"/>
        </w:rPr>
        <w:t>ANRCETI conchide că serviciile de furnizare a unor segmente terminale de linii închiriate și serviciile de furnizare a unor segmente-trunchi de linii închiriate nu fac parte din aceeași piață relevantă a produsului.</w:t>
      </w:r>
    </w:p>
    <w:p w:rsidR="001A1947" w:rsidRPr="00653DB5" w:rsidRDefault="001A1947" w:rsidP="001A1947">
      <w:pPr>
        <w:widowControl/>
        <w:jc w:val="both"/>
        <w:rPr>
          <w:rFonts w:ascii="Times New Roman" w:eastAsia="Times New Roman" w:hAnsi="Times New Roman" w:cs="Times New Roman"/>
          <w:b/>
          <w:color w:val="000000" w:themeColor="text1"/>
          <w:sz w:val="26"/>
          <w:szCs w:val="26"/>
          <w:shd w:val="clear" w:color="auto" w:fill="FFFFFF"/>
        </w:rPr>
      </w:pPr>
    </w:p>
    <w:p w:rsidR="001A1947" w:rsidRPr="00653DB5" w:rsidRDefault="001A1947" w:rsidP="00A817B5">
      <w:pPr>
        <w:pStyle w:val="Bodytext100"/>
        <w:shd w:val="clear" w:color="auto" w:fill="auto"/>
        <w:spacing w:before="0" w:after="0" w:line="240" w:lineRule="auto"/>
        <w:ind w:left="20" w:right="20" w:firstLine="0"/>
        <w:rPr>
          <w:color w:val="000000" w:themeColor="text1"/>
          <w:sz w:val="26"/>
          <w:szCs w:val="26"/>
        </w:rPr>
      </w:pPr>
    </w:p>
    <w:p w:rsidR="00D16C68" w:rsidRPr="00653DB5" w:rsidRDefault="00F3749E" w:rsidP="00025509">
      <w:pPr>
        <w:pStyle w:val="Bodytext100"/>
        <w:shd w:val="clear" w:color="auto" w:fill="auto"/>
        <w:tabs>
          <w:tab w:val="left" w:pos="709"/>
        </w:tabs>
        <w:spacing w:before="0" w:after="0" w:line="240" w:lineRule="auto"/>
        <w:ind w:right="20" w:firstLine="567"/>
        <w:rPr>
          <w:color w:val="000000" w:themeColor="text1"/>
          <w:sz w:val="26"/>
          <w:szCs w:val="26"/>
          <w:lang w:eastAsia="ru-RU"/>
        </w:rPr>
      </w:pPr>
      <w:bookmarkStart w:id="133" w:name="_Toc368664673"/>
      <w:bookmarkStart w:id="134" w:name="_Toc368664927"/>
      <w:bookmarkStart w:id="135" w:name="bookmark18"/>
      <w:r w:rsidRPr="00653DB5">
        <w:rPr>
          <w:b/>
          <w:color w:val="000000" w:themeColor="text1"/>
          <w:sz w:val="26"/>
          <w:szCs w:val="26"/>
          <w:lang w:eastAsia="ru-RU"/>
        </w:rPr>
        <w:t>Analiza substituibilităţii serviciilo</w:t>
      </w:r>
      <w:r w:rsidR="00D16C68" w:rsidRPr="00653DB5">
        <w:rPr>
          <w:b/>
          <w:color w:val="000000" w:themeColor="text1"/>
          <w:sz w:val="26"/>
          <w:szCs w:val="26"/>
          <w:lang w:eastAsia="ru-RU"/>
        </w:rPr>
        <w:t>r de linii închiriate segmente-</w:t>
      </w:r>
      <w:r w:rsidRPr="00653DB5">
        <w:rPr>
          <w:b/>
          <w:color w:val="000000" w:themeColor="text1"/>
          <w:sz w:val="26"/>
          <w:szCs w:val="26"/>
          <w:lang w:eastAsia="ru-RU"/>
        </w:rPr>
        <w:t>trunchi STM cu serviciile de acces la fibra optică neechipată (fib</w:t>
      </w:r>
      <w:r w:rsidR="006F54F8" w:rsidRPr="00653DB5">
        <w:rPr>
          <w:b/>
          <w:color w:val="000000" w:themeColor="text1"/>
          <w:sz w:val="26"/>
          <w:szCs w:val="26"/>
          <w:lang w:eastAsia="ru-RU"/>
        </w:rPr>
        <w:t>ră neagră sau sură</w:t>
      </w:r>
      <w:r w:rsidRPr="00653DB5">
        <w:rPr>
          <w:b/>
          <w:color w:val="000000" w:themeColor="text1"/>
          <w:sz w:val="26"/>
          <w:szCs w:val="26"/>
          <w:lang w:eastAsia="ru-RU"/>
        </w:rPr>
        <w:t>)</w:t>
      </w:r>
      <w:r w:rsidR="001A1947" w:rsidRPr="00653DB5">
        <w:rPr>
          <w:b/>
          <w:color w:val="000000" w:themeColor="text1"/>
          <w:sz w:val="26"/>
          <w:szCs w:val="26"/>
          <w:lang w:eastAsia="ru-RU"/>
        </w:rPr>
        <w:t>;</w:t>
      </w:r>
      <w:bookmarkEnd w:id="133"/>
      <w:bookmarkEnd w:id="134"/>
    </w:p>
    <w:bookmarkEnd w:id="135"/>
    <w:p w:rsidR="00790A2F" w:rsidRPr="00653DB5" w:rsidRDefault="001A1947" w:rsidP="00025509">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Î</w:t>
      </w:r>
      <w:r w:rsidR="00F3749E" w:rsidRPr="00653DB5">
        <w:rPr>
          <w:color w:val="000000" w:themeColor="text1"/>
          <w:sz w:val="26"/>
          <w:szCs w:val="26"/>
        </w:rPr>
        <w:t xml:space="preserve">n cazul unei creşteri mici, dar semnificative şi de durată, a tarifelor serviciilor de linii închiriate segmente-trunchi, un furnizor </w:t>
      </w:r>
      <w:r w:rsidR="00A56978" w:rsidRPr="00653DB5">
        <w:rPr>
          <w:color w:val="000000" w:themeColor="text1"/>
          <w:sz w:val="26"/>
          <w:szCs w:val="26"/>
        </w:rPr>
        <w:t xml:space="preserve">ce utilizează </w:t>
      </w:r>
      <w:r w:rsidR="00F3749E" w:rsidRPr="00653DB5">
        <w:rPr>
          <w:color w:val="000000" w:themeColor="text1"/>
          <w:sz w:val="26"/>
          <w:szCs w:val="26"/>
        </w:rPr>
        <w:t>servici</w:t>
      </w:r>
      <w:r w:rsidR="00A56978" w:rsidRPr="00653DB5">
        <w:rPr>
          <w:color w:val="000000" w:themeColor="text1"/>
          <w:sz w:val="26"/>
          <w:szCs w:val="26"/>
        </w:rPr>
        <w:t>i</w:t>
      </w:r>
      <w:r w:rsidR="00F3749E" w:rsidRPr="00653DB5">
        <w:rPr>
          <w:color w:val="000000" w:themeColor="text1"/>
          <w:sz w:val="26"/>
          <w:szCs w:val="26"/>
        </w:rPr>
        <w:t xml:space="preserve"> de linii închiriat</w:t>
      </w:r>
      <w:r w:rsidR="00A56978" w:rsidRPr="00653DB5">
        <w:rPr>
          <w:color w:val="000000" w:themeColor="text1"/>
          <w:sz w:val="26"/>
          <w:szCs w:val="26"/>
        </w:rPr>
        <w:t>e</w:t>
      </w:r>
      <w:r w:rsidR="00F3749E" w:rsidRPr="00653DB5">
        <w:rPr>
          <w:color w:val="000000" w:themeColor="text1"/>
          <w:sz w:val="26"/>
          <w:szCs w:val="26"/>
        </w:rPr>
        <w:t>-segmente trunchi</w:t>
      </w:r>
      <w:r w:rsidR="00A56978" w:rsidRPr="00653DB5">
        <w:rPr>
          <w:color w:val="000000" w:themeColor="text1"/>
          <w:sz w:val="26"/>
          <w:szCs w:val="26"/>
        </w:rPr>
        <w:t xml:space="preserve"> pentru transportarea datelor în rețeaua sa</w:t>
      </w:r>
      <w:r w:rsidR="00F3749E" w:rsidRPr="00653DB5">
        <w:rPr>
          <w:color w:val="000000" w:themeColor="text1"/>
          <w:sz w:val="26"/>
          <w:szCs w:val="26"/>
        </w:rPr>
        <w:t>, ar putea</w:t>
      </w:r>
      <w:r w:rsidR="00A56978" w:rsidRPr="00653DB5">
        <w:rPr>
          <w:color w:val="000000" w:themeColor="text1"/>
          <w:sz w:val="26"/>
          <w:szCs w:val="26"/>
        </w:rPr>
        <w:t xml:space="preserve"> renunța la serviciile de linii închiriate în</w:t>
      </w:r>
      <w:r w:rsidR="00F3749E" w:rsidRPr="00653DB5">
        <w:rPr>
          <w:color w:val="000000" w:themeColor="text1"/>
          <w:sz w:val="26"/>
          <w:szCs w:val="26"/>
        </w:rPr>
        <w:t xml:space="preserve"> schimb</w:t>
      </w:r>
      <w:r w:rsidR="00A56978" w:rsidRPr="00653DB5">
        <w:rPr>
          <w:color w:val="000000" w:themeColor="text1"/>
          <w:sz w:val="26"/>
          <w:szCs w:val="26"/>
        </w:rPr>
        <w:t>ul</w:t>
      </w:r>
      <w:r w:rsidR="00F3749E" w:rsidRPr="00653DB5">
        <w:rPr>
          <w:color w:val="000000" w:themeColor="text1"/>
          <w:sz w:val="26"/>
          <w:szCs w:val="26"/>
        </w:rPr>
        <w:t xml:space="preserve"> un</w:t>
      </w:r>
      <w:r w:rsidR="00A56978" w:rsidRPr="00653DB5">
        <w:rPr>
          <w:color w:val="000000" w:themeColor="text1"/>
          <w:sz w:val="26"/>
          <w:szCs w:val="26"/>
        </w:rPr>
        <w:t>ui</w:t>
      </w:r>
      <w:r w:rsidR="00F3749E" w:rsidRPr="00653DB5">
        <w:rPr>
          <w:color w:val="000000" w:themeColor="text1"/>
          <w:sz w:val="26"/>
          <w:szCs w:val="26"/>
        </w:rPr>
        <w:t xml:space="preserve"> serviciu </w:t>
      </w:r>
      <w:r w:rsidR="00A56978" w:rsidRPr="00653DB5">
        <w:rPr>
          <w:color w:val="000000" w:themeColor="text1"/>
          <w:sz w:val="26"/>
          <w:szCs w:val="26"/>
        </w:rPr>
        <w:t xml:space="preserve">cu ridicata </w:t>
      </w:r>
      <w:r w:rsidR="00F3749E" w:rsidRPr="00653DB5">
        <w:rPr>
          <w:color w:val="000000" w:themeColor="text1"/>
          <w:sz w:val="26"/>
          <w:szCs w:val="26"/>
        </w:rPr>
        <w:t>de acc</w:t>
      </w:r>
      <w:r w:rsidR="00A56978" w:rsidRPr="00653DB5">
        <w:rPr>
          <w:color w:val="000000" w:themeColor="text1"/>
          <w:sz w:val="26"/>
          <w:szCs w:val="26"/>
        </w:rPr>
        <w:t xml:space="preserve">es la „fibra optica neechipată”. </w:t>
      </w:r>
      <w:r w:rsidR="00F3749E" w:rsidRPr="00653DB5">
        <w:rPr>
          <w:color w:val="000000" w:themeColor="text1"/>
          <w:sz w:val="26"/>
          <w:szCs w:val="26"/>
        </w:rPr>
        <w:t>Pentru a</w:t>
      </w:r>
      <w:r w:rsidR="00A56978" w:rsidRPr="00653DB5">
        <w:rPr>
          <w:color w:val="000000" w:themeColor="text1"/>
          <w:sz w:val="26"/>
          <w:szCs w:val="26"/>
        </w:rPr>
        <w:t>-și</w:t>
      </w:r>
      <w:r w:rsidR="00F3749E" w:rsidRPr="00653DB5">
        <w:rPr>
          <w:color w:val="000000" w:themeColor="text1"/>
          <w:sz w:val="26"/>
          <w:szCs w:val="26"/>
        </w:rPr>
        <w:t xml:space="preserve"> putea </w:t>
      </w:r>
      <w:proofErr w:type="spellStart"/>
      <w:r w:rsidR="00A56978" w:rsidRPr="00653DB5">
        <w:rPr>
          <w:color w:val="000000" w:themeColor="text1"/>
          <w:sz w:val="26"/>
          <w:szCs w:val="26"/>
        </w:rPr>
        <w:t>auto</w:t>
      </w:r>
      <w:r w:rsidR="00F3749E" w:rsidRPr="00653DB5">
        <w:rPr>
          <w:color w:val="000000" w:themeColor="text1"/>
          <w:sz w:val="26"/>
          <w:szCs w:val="26"/>
        </w:rPr>
        <w:t>furniza</w:t>
      </w:r>
      <w:proofErr w:type="spellEnd"/>
      <w:r w:rsidR="00F3749E" w:rsidRPr="00653DB5">
        <w:rPr>
          <w:color w:val="000000" w:themeColor="text1"/>
          <w:sz w:val="26"/>
          <w:szCs w:val="26"/>
        </w:rPr>
        <w:t xml:space="preserve"> servicii</w:t>
      </w:r>
      <w:r w:rsidR="00A56978" w:rsidRPr="00653DB5">
        <w:rPr>
          <w:color w:val="000000" w:themeColor="text1"/>
          <w:sz w:val="26"/>
          <w:szCs w:val="26"/>
        </w:rPr>
        <w:t xml:space="preserve">le </w:t>
      </w:r>
      <w:r w:rsidR="00F3749E" w:rsidRPr="00653DB5">
        <w:rPr>
          <w:color w:val="000000" w:themeColor="text1"/>
          <w:sz w:val="26"/>
          <w:szCs w:val="26"/>
        </w:rPr>
        <w:t xml:space="preserve">de </w:t>
      </w:r>
      <w:r w:rsidR="00A56978" w:rsidRPr="00653DB5">
        <w:rPr>
          <w:color w:val="000000" w:themeColor="text1"/>
          <w:sz w:val="26"/>
          <w:szCs w:val="26"/>
        </w:rPr>
        <w:t xml:space="preserve">capacitate în schimbul celor la care a renunțat, furnizorul-client necesită să investească în echipamentele active de capacități de nivel de rețea 2 sau 3, conform ierarhiei OSI. Totuși, investiția dată nu necesită timp îndelungat în derulare și este incomparabil mai mică decât </w:t>
      </w:r>
      <w:r w:rsidR="001B320A" w:rsidRPr="00653DB5">
        <w:rPr>
          <w:color w:val="000000" w:themeColor="text1"/>
          <w:sz w:val="26"/>
          <w:szCs w:val="26"/>
        </w:rPr>
        <w:t>componentele pasive (fibra opt</w:t>
      </w:r>
      <w:r w:rsidR="00080AAA" w:rsidRPr="00653DB5">
        <w:rPr>
          <w:color w:val="000000" w:themeColor="text1"/>
          <w:sz w:val="26"/>
          <w:szCs w:val="26"/>
        </w:rPr>
        <w:t>ică, infrastructurile de suport</w:t>
      </w:r>
      <w:r w:rsidR="001B320A" w:rsidRPr="00653DB5">
        <w:rPr>
          <w:color w:val="000000" w:themeColor="text1"/>
          <w:sz w:val="26"/>
          <w:szCs w:val="26"/>
        </w:rPr>
        <w:t xml:space="preserve"> etc</w:t>
      </w:r>
      <w:r w:rsidR="00080AAA" w:rsidRPr="00653DB5">
        <w:rPr>
          <w:color w:val="000000" w:themeColor="text1"/>
          <w:sz w:val="26"/>
          <w:szCs w:val="26"/>
        </w:rPr>
        <w:t>.</w:t>
      </w:r>
      <w:r w:rsidR="001B320A" w:rsidRPr="00653DB5">
        <w:rPr>
          <w:color w:val="000000" w:themeColor="text1"/>
          <w:sz w:val="26"/>
          <w:szCs w:val="26"/>
        </w:rPr>
        <w:t xml:space="preserve">). În plus, opțiunea pentru achiziționarea de fibră sură și </w:t>
      </w:r>
      <w:proofErr w:type="spellStart"/>
      <w:r w:rsidR="001B320A" w:rsidRPr="00653DB5">
        <w:rPr>
          <w:color w:val="000000" w:themeColor="text1"/>
          <w:sz w:val="26"/>
          <w:szCs w:val="26"/>
        </w:rPr>
        <w:t>autofurnizarea</w:t>
      </w:r>
      <w:proofErr w:type="spellEnd"/>
      <w:r w:rsidR="001B320A" w:rsidRPr="00653DB5">
        <w:rPr>
          <w:color w:val="000000" w:themeColor="text1"/>
          <w:sz w:val="26"/>
          <w:szCs w:val="26"/>
        </w:rPr>
        <w:t xml:space="preserve"> capacităților permite furnizorului dat să obțină independență operațională și să-și dimensioneze flexibil capacitățile de transport</w:t>
      </w:r>
      <w:r w:rsidR="00ED0EB2" w:rsidRPr="00653DB5">
        <w:rPr>
          <w:color w:val="000000" w:themeColor="text1"/>
          <w:sz w:val="26"/>
          <w:szCs w:val="26"/>
        </w:rPr>
        <w:t xml:space="preserve"> și chiar să devină el însuși furnizor de capacități cu ridicata. Acestea </w:t>
      </w:r>
      <w:r w:rsidR="001B320A" w:rsidRPr="00653DB5">
        <w:rPr>
          <w:color w:val="000000" w:themeColor="text1"/>
          <w:sz w:val="26"/>
          <w:szCs w:val="26"/>
        </w:rPr>
        <w:t xml:space="preserve">sugerează în folosul concluziei de substituibilitate a acestor două servicii. </w:t>
      </w:r>
      <w:r w:rsidR="00F3749E" w:rsidRPr="00653DB5">
        <w:rPr>
          <w:color w:val="000000" w:themeColor="text1"/>
          <w:sz w:val="26"/>
          <w:szCs w:val="26"/>
        </w:rPr>
        <w:t>Prin urmare, cele două servicii sunt substituibile din punctul de vedere al caracteristicilor tehnice şi funcţionale.</w:t>
      </w:r>
    </w:p>
    <w:p w:rsidR="00352544" w:rsidRPr="00653DB5" w:rsidRDefault="00352544" w:rsidP="00025509">
      <w:pPr>
        <w:pStyle w:val="Bodytext100"/>
        <w:shd w:val="clear" w:color="auto" w:fill="auto"/>
        <w:spacing w:before="0" w:after="0" w:line="240" w:lineRule="auto"/>
        <w:ind w:right="20" w:firstLine="567"/>
        <w:rPr>
          <w:color w:val="000000" w:themeColor="text1"/>
          <w:sz w:val="26"/>
          <w:szCs w:val="26"/>
        </w:rPr>
      </w:pPr>
      <w:r w:rsidRPr="00653DB5">
        <w:rPr>
          <w:b/>
          <w:color w:val="000000" w:themeColor="text1"/>
          <w:sz w:val="26"/>
          <w:szCs w:val="26"/>
        </w:rPr>
        <w:t xml:space="preserve">Concluzie: </w:t>
      </w:r>
      <w:r w:rsidRPr="00653DB5">
        <w:rPr>
          <w:color w:val="000000" w:themeColor="text1"/>
          <w:sz w:val="26"/>
          <w:szCs w:val="26"/>
        </w:rPr>
        <w:t>ANRCETI consideră că serviciile de acces la „fibra optică neechipată” şi serviciile de linii închiriate segmente-trunchi fac parte din aceeaşi piaţă relevantă a produsului din punctul de vedere al substituibilităţii cererii şi ofertei, pentru orizontul de timp al analizei.</w:t>
      </w:r>
    </w:p>
    <w:p w:rsidR="00330D83" w:rsidRPr="00653DB5" w:rsidRDefault="00330D83" w:rsidP="00A817B5">
      <w:pPr>
        <w:pStyle w:val="Bodytext100"/>
        <w:shd w:val="clear" w:color="auto" w:fill="auto"/>
        <w:spacing w:before="0" w:after="0" w:line="240" w:lineRule="auto"/>
        <w:ind w:right="20" w:firstLine="567"/>
        <w:rPr>
          <w:color w:val="000000" w:themeColor="text1"/>
          <w:sz w:val="26"/>
          <w:szCs w:val="26"/>
        </w:rPr>
      </w:pPr>
    </w:p>
    <w:p w:rsidR="00790A2F" w:rsidRPr="00653DB5" w:rsidRDefault="00F3749E" w:rsidP="008C6767">
      <w:pPr>
        <w:pStyle w:val="Heading21"/>
        <w:keepNext/>
        <w:keepLines/>
        <w:numPr>
          <w:ilvl w:val="2"/>
          <w:numId w:val="81"/>
        </w:numPr>
        <w:shd w:val="clear" w:color="auto" w:fill="auto"/>
        <w:tabs>
          <w:tab w:val="left" w:pos="1134"/>
        </w:tabs>
        <w:spacing w:before="0" w:after="0" w:line="240" w:lineRule="auto"/>
        <w:ind w:left="0" w:firstLine="567"/>
        <w:jc w:val="left"/>
        <w:rPr>
          <w:color w:val="000000" w:themeColor="text1"/>
          <w:sz w:val="26"/>
          <w:szCs w:val="26"/>
        </w:rPr>
      </w:pPr>
      <w:bookmarkStart w:id="136" w:name="_Toc368664488"/>
      <w:bookmarkStart w:id="137" w:name="_Toc368664674"/>
      <w:bookmarkStart w:id="138" w:name="_Toc368664928"/>
      <w:bookmarkStart w:id="139" w:name="_Toc368665681"/>
      <w:bookmarkStart w:id="140" w:name="_Toc368665809"/>
      <w:bookmarkStart w:id="141" w:name="_Toc368665885"/>
      <w:bookmarkStart w:id="142" w:name="_Toc368665953"/>
      <w:bookmarkStart w:id="143" w:name="_Toc368666035"/>
      <w:bookmarkStart w:id="144" w:name="_Toc368666178"/>
      <w:bookmarkStart w:id="145" w:name="_Toc368666232"/>
      <w:bookmarkStart w:id="146" w:name="_Toc368666287"/>
      <w:bookmarkStart w:id="147" w:name="_Toc368666392"/>
      <w:bookmarkStart w:id="148" w:name="_Toc368666563"/>
      <w:bookmarkStart w:id="149" w:name="_Toc368664489"/>
      <w:bookmarkStart w:id="150" w:name="_Toc368664675"/>
      <w:bookmarkStart w:id="151" w:name="_Toc368664929"/>
      <w:bookmarkStart w:id="152" w:name="_Toc368665682"/>
      <w:bookmarkStart w:id="153" w:name="_Toc368665810"/>
      <w:bookmarkStart w:id="154" w:name="_Toc368665886"/>
      <w:bookmarkStart w:id="155" w:name="_Toc368665954"/>
      <w:bookmarkStart w:id="156" w:name="_Toc368666036"/>
      <w:bookmarkStart w:id="157" w:name="_Toc368666179"/>
      <w:bookmarkStart w:id="158" w:name="_Toc368666233"/>
      <w:bookmarkStart w:id="159" w:name="_Toc368666288"/>
      <w:bookmarkStart w:id="160" w:name="_Toc368666393"/>
      <w:bookmarkStart w:id="161" w:name="_Toc368666564"/>
      <w:bookmarkStart w:id="162" w:name="_Toc368664490"/>
      <w:bookmarkStart w:id="163" w:name="_Toc368664676"/>
      <w:bookmarkStart w:id="164" w:name="_Toc368664930"/>
      <w:bookmarkStart w:id="165" w:name="_Toc368665683"/>
      <w:bookmarkStart w:id="166" w:name="_Toc368665811"/>
      <w:bookmarkStart w:id="167" w:name="_Toc368665887"/>
      <w:bookmarkStart w:id="168" w:name="_Toc368665955"/>
      <w:bookmarkStart w:id="169" w:name="_Toc368666037"/>
      <w:bookmarkStart w:id="170" w:name="_Toc368666180"/>
      <w:bookmarkStart w:id="171" w:name="_Toc368666234"/>
      <w:bookmarkStart w:id="172" w:name="_Toc368666289"/>
      <w:bookmarkStart w:id="173" w:name="_Toc368666394"/>
      <w:bookmarkStart w:id="174" w:name="_Toc368666565"/>
      <w:bookmarkStart w:id="175" w:name="_Toc368664491"/>
      <w:bookmarkStart w:id="176" w:name="_Toc368664677"/>
      <w:bookmarkStart w:id="177" w:name="_Toc368664931"/>
      <w:bookmarkStart w:id="178" w:name="_Toc368665684"/>
      <w:bookmarkStart w:id="179" w:name="_Toc368665812"/>
      <w:bookmarkStart w:id="180" w:name="_Toc368665888"/>
      <w:bookmarkStart w:id="181" w:name="_Toc368665956"/>
      <w:bookmarkStart w:id="182" w:name="_Toc368666038"/>
      <w:bookmarkStart w:id="183" w:name="_Toc368666181"/>
      <w:bookmarkStart w:id="184" w:name="_Toc368666235"/>
      <w:bookmarkStart w:id="185" w:name="_Toc368666290"/>
      <w:bookmarkStart w:id="186" w:name="_Toc368666395"/>
      <w:bookmarkStart w:id="187" w:name="_Toc368666566"/>
      <w:bookmarkStart w:id="188" w:name="_Toc368664492"/>
      <w:bookmarkStart w:id="189" w:name="_Toc368664678"/>
      <w:bookmarkStart w:id="190" w:name="_Toc368664932"/>
      <w:bookmarkStart w:id="191" w:name="_Toc368665685"/>
      <w:bookmarkStart w:id="192" w:name="_Toc368665813"/>
      <w:bookmarkStart w:id="193" w:name="_Toc368665889"/>
      <w:bookmarkStart w:id="194" w:name="_Toc368665957"/>
      <w:bookmarkStart w:id="195" w:name="_Toc368666039"/>
      <w:bookmarkStart w:id="196" w:name="_Toc368666182"/>
      <w:bookmarkStart w:id="197" w:name="_Toc368666236"/>
      <w:bookmarkStart w:id="198" w:name="_Toc368666291"/>
      <w:bookmarkStart w:id="199" w:name="_Toc368666396"/>
      <w:bookmarkStart w:id="200" w:name="_Toc368666567"/>
      <w:bookmarkStart w:id="201" w:name="_Toc368664493"/>
      <w:bookmarkStart w:id="202" w:name="_Toc368664679"/>
      <w:bookmarkStart w:id="203" w:name="_Toc368664933"/>
      <w:bookmarkStart w:id="204" w:name="_Toc368665686"/>
      <w:bookmarkStart w:id="205" w:name="_Toc368665814"/>
      <w:bookmarkStart w:id="206" w:name="_Toc368665890"/>
      <w:bookmarkStart w:id="207" w:name="_Toc368665958"/>
      <w:bookmarkStart w:id="208" w:name="_Toc368666040"/>
      <w:bookmarkStart w:id="209" w:name="_Toc368666183"/>
      <w:bookmarkStart w:id="210" w:name="_Toc368666237"/>
      <w:bookmarkStart w:id="211" w:name="_Toc368666292"/>
      <w:bookmarkStart w:id="212" w:name="_Toc368666397"/>
      <w:bookmarkStart w:id="213" w:name="_Toc368666568"/>
      <w:bookmarkStart w:id="214" w:name="_Toc368664494"/>
      <w:bookmarkStart w:id="215" w:name="_Toc368664680"/>
      <w:bookmarkStart w:id="216" w:name="_Toc368664934"/>
      <w:bookmarkStart w:id="217" w:name="_Toc368665687"/>
      <w:bookmarkStart w:id="218" w:name="_Toc368665815"/>
      <w:bookmarkStart w:id="219" w:name="_Toc368665891"/>
      <w:bookmarkStart w:id="220" w:name="_Toc368665959"/>
      <w:bookmarkStart w:id="221" w:name="_Toc368666041"/>
      <w:bookmarkStart w:id="222" w:name="_Toc368666184"/>
      <w:bookmarkStart w:id="223" w:name="_Toc368666238"/>
      <w:bookmarkStart w:id="224" w:name="_Toc368666293"/>
      <w:bookmarkStart w:id="225" w:name="_Toc368666398"/>
      <w:bookmarkStart w:id="226" w:name="_Toc368666569"/>
      <w:bookmarkStart w:id="227" w:name="_Toc368664495"/>
      <w:bookmarkStart w:id="228" w:name="_Toc368664681"/>
      <w:bookmarkStart w:id="229" w:name="_Toc368664935"/>
      <w:bookmarkStart w:id="230" w:name="_Toc368665688"/>
      <w:bookmarkStart w:id="231" w:name="_Toc368665816"/>
      <w:bookmarkStart w:id="232" w:name="_Toc368665892"/>
      <w:bookmarkStart w:id="233" w:name="_Toc368665960"/>
      <w:bookmarkStart w:id="234" w:name="_Toc368666042"/>
      <w:bookmarkStart w:id="235" w:name="_Toc368666185"/>
      <w:bookmarkStart w:id="236" w:name="_Toc368666239"/>
      <w:bookmarkStart w:id="237" w:name="_Toc368666294"/>
      <w:bookmarkStart w:id="238" w:name="_Toc368666399"/>
      <w:bookmarkStart w:id="239" w:name="_Toc368666570"/>
      <w:bookmarkStart w:id="240" w:name="_Toc368664496"/>
      <w:bookmarkStart w:id="241" w:name="_Toc368664682"/>
      <w:bookmarkStart w:id="242" w:name="_Toc368664936"/>
      <w:bookmarkStart w:id="243" w:name="_Toc368665689"/>
      <w:bookmarkStart w:id="244" w:name="_Toc368665817"/>
      <w:bookmarkStart w:id="245" w:name="_Toc368665893"/>
      <w:bookmarkStart w:id="246" w:name="_Toc368665961"/>
      <w:bookmarkStart w:id="247" w:name="_Toc368666043"/>
      <w:bookmarkStart w:id="248" w:name="_Toc368666186"/>
      <w:bookmarkStart w:id="249" w:name="_Toc368666240"/>
      <w:bookmarkStart w:id="250" w:name="_Toc368666295"/>
      <w:bookmarkStart w:id="251" w:name="_Toc368666400"/>
      <w:bookmarkStart w:id="252" w:name="_Toc368666571"/>
      <w:bookmarkStart w:id="253" w:name="_Toc368664497"/>
      <w:bookmarkStart w:id="254" w:name="_Toc368664683"/>
      <w:bookmarkStart w:id="255" w:name="_Toc368664937"/>
      <w:bookmarkStart w:id="256" w:name="_Toc368665690"/>
      <w:bookmarkStart w:id="257" w:name="_Toc368665818"/>
      <w:bookmarkStart w:id="258" w:name="_Toc368665894"/>
      <w:bookmarkStart w:id="259" w:name="_Toc368665962"/>
      <w:bookmarkStart w:id="260" w:name="_Toc368666044"/>
      <w:bookmarkStart w:id="261" w:name="_Toc368666187"/>
      <w:bookmarkStart w:id="262" w:name="_Toc368666241"/>
      <w:bookmarkStart w:id="263" w:name="_Toc368666296"/>
      <w:bookmarkStart w:id="264" w:name="_Toc368666401"/>
      <w:bookmarkStart w:id="265" w:name="_Toc368666572"/>
      <w:bookmarkStart w:id="266" w:name="_Toc368664498"/>
      <w:bookmarkStart w:id="267" w:name="_Toc368664684"/>
      <w:bookmarkStart w:id="268" w:name="_Toc368664938"/>
      <w:bookmarkStart w:id="269" w:name="_Toc368665691"/>
      <w:bookmarkStart w:id="270" w:name="_Toc368665819"/>
      <w:bookmarkStart w:id="271" w:name="_Toc368665895"/>
      <w:bookmarkStart w:id="272" w:name="_Toc368665963"/>
      <w:bookmarkStart w:id="273" w:name="_Toc368666045"/>
      <w:bookmarkStart w:id="274" w:name="_Toc368666188"/>
      <w:bookmarkStart w:id="275" w:name="_Toc368666242"/>
      <w:bookmarkStart w:id="276" w:name="_Toc368666297"/>
      <w:bookmarkStart w:id="277" w:name="_Toc368666402"/>
      <w:bookmarkStart w:id="278" w:name="_Toc368666573"/>
      <w:bookmarkStart w:id="279" w:name="_Toc368664499"/>
      <w:bookmarkStart w:id="280" w:name="_Toc368664685"/>
      <w:bookmarkStart w:id="281" w:name="_Toc368664939"/>
      <w:bookmarkStart w:id="282" w:name="_Toc368665692"/>
      <w:bookmarkStart w:id="283" w:name="_Toc368665820"/>
      <w:bookmarkStart w:id="284" w:name="_Toc368665896"/>
      <w:bookmarkStart w:id="285" w:name="_Toc368665964"/>
      <w:bookmarkStart w:id="286" w:name="_Toc368666046"/>
      <w:bookmarkStart w:id="287" w:name="_Toc368666189"/>
      <w:bookmarkStart w:id="288" w:name="_Toc368666243"/>
      <w:bookmarkStart w:id="289" w:name="_Toc368666298"/>
      <w:bookmarkStart w:id="290" w:name="_Toc368666403"/>
      <w:bookmarkStart w:id="291" w:name="_Toc368666574"/>
      <w:bookmarkStart w:id="292" w:name="bookmark24"/>
      <w:bookmarkStart w:id="293" w:name="_Toc368666575"/>
      <w:bookmarkStart w:id="294" w:name="_Toc422317017"/>
      <w:bookmarkStart w:id="295" w:name="_Toc422318614"/>
      <w:bookmarkStart w:id="296" w:name="_Toc48563440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53DB5">
        <w:rPr>
          <w:color w:val="000000" w:themeColor="text1"/>
          <w:sz w:val="26"/>
          <w:szCs w:val="26"/>
        </w:rPr>
        <w:lastRenderedPageBreak/>
        <w:t>Sumarul analizei pieţei produsului</w:t>
      </w:r>
      <w:bookmarkEnd w:id="292"/>
      <w:bookmarkEnd w:id="293"/>
      <w:bookmarkEnd w:id="294"/>
      <w:bookmarkEnd w:id="295"/>
      <w:bookmarkEnd w:id="296"/>
    </w:p>
    <w:p w:rsidR="00790A2F" w:rsidRPr="00653DB5" w:rsidRDefault="00F3749E" w:rsidP="008C6767">
      <w:pPr>
        <w:pStyle w:val="Bodytext100"/>
        <w:shd w:val="clear" w:color="auto" w:fill="auto"/>
        <w:tabs>
          <w:tab w:val="left" w:pos="1134"/>
        </w:tabs>
        <w:spacing w:before="0" w:after="0" w:line="240" w:lineRule="auto"/>
        <w:ind w:right="20" w:firstLine="567"/>
        <w:rPr>
          <w:color w:val="000000" w:themeColor="text1"/>
          <w:sz w:val="26"/>
          <w:szCs w:val="26"/>
        </w:rPr>
      </w:pPr>
      <w:r w:rsidRPr="00653DB5">
        <w:rPr>
          <w:color w:val="000000" w:themeColor="text1"/>
          <w:sz w:val="26"/>
          <w:szCs w:val="26"/>
        </w:rPr>
        <w:t>ANRCETI a identificat că produsul focal este serviciul de linii închiriate segmente-trunchi bazat pe tehnologia SDH.</w:t>
      </w:r>
    </w:p>
    <w:p w:rsidR="00790A2F" w:rsidRPr="00653DB5" w:rsidRDefault="00F3749E" w:rsidP="008C6767">
      <w:pPr>
        <w:pStyle w:val="Bodytext100"/>
        <w:shd w:val="clear" w:color="auto" w:fill="auto"/>
        <w:tabs>
          <w:tab w:val="left" w:pos="1134"/>
        </w:tabs>
        <w:spacing w:before="0" w:after="0" w:line="240" w:lineRule="auto"/>
        <w:ind w:right="20" w:firstLine="567"/>
        <w:rPr>
          <w:color w:val="000000" w:themeColor="text1"/>
          <w:sz w:val="26"/>
          <w:szCs w:val="26"/>
        </w:rPr>
      </w:pPr>
      <w:r w:rsidRPr="00653DB5">
        <w:rPr>
          <w:color w:val="000000" w:themeColor="text1"/>
          <w:sz w:val="26"/>
          <w:szCs w:val="26"/>
        </w:rPr>
        <w:t xml:space="preserve">Aplicarea testului monopolistului ipotetic indică asupra faptului, </w:t>
      </w:r>
      <w:r w:rsidR="001A1947" w:rsidRPr="00653DB5">
        <w:rPr>
          <w:color w:val="000000" w:themeColor="text1"/>
          <w:sz w:val="26"/>
          <w:szCs w:val="26"/>
        </w:rPr>
        <w:t>că definirea iniţială a produsului focal urmează a fi extinsă. Prin urmare,</w:t>
      </w:r>
      <w:r w:rsidRPr="00653DB5">
        <w:rPr>
          <w:color w:val="000000" w:themeColor="text1"/>
          <w:sz w:val="26"/>
          <w:szCs w:val="26"/>
        </w:rPr>
        <w:t xml:space="preserve"> există următoarele produse </w:t>
      </w:r>
      <w:r w:rsidR="00EA4D23" w:rsidRPr="00653DB5">
        <w:rPr>
          <w:color w:val="000000" w:themeColor="text1"/>
          <w:sz w:val="26"/>
          <w:szCs w:val="26"/>
        </w:rPr>
        <w:t>substituente</w:t>
      </w:r>
      <w:r w:rsidRPr="00653DB5">
        <w:rPr>
          <w:color w:val="000000" w:themeColor="text1"/>
          <w:sz w:val="26"/>
          <w:szCs w:val="26"/>
        </w:rPr>
        <w:t xml:space="preserve"> produsului focal:</w:t>
      </w:r>
    </w:p>
    <w:p w:rsidR="001A1947" w:rsidRPr="00653DB5" w:rsidRDefault="003552FC" w:rsidP="008C6767">
      <w:pPr>
        <w:pStyle w:val="Bodytext100"/>
        <w:numPr>
          <w:ilvl w:val="0"/>
          <w:numId w:val="68"/>
        </w:numPr>
        <w:shd w:val="clear" w:color="auto" w:fill="auto"/>
        <w:tabs>
          <w:tab w:val="left" w:pos="542"/>
          <w:tab w:val="left" w:pos="993"/>
          <w:tab w:val="left" w:pos="1134"/>
        </w:tabs>
        <w:spacing w:before="0" w:after="0" w:line="240" w:lineRule="auto"/>
        <w:ind w:left="0" w:right="20" w:firstLine="567"/>
        <w:rPr>
          <w:color w:val="000000" w:themeColor="text1"/>
          <w:sz w:val="26"/>
          <w:szCs w:val="26"/>
        </w:rPr>
      </w:pPr>
      <w:r w:rsidRPr="00653DB5">
        <w:rPr>
          <w:color w:val="000000" w:themeColor="text1"/>
          <w:sz w:val="26"/>
          <w:szCs w:val="26"/>
        </w:rPr>
        <w:t>s</w:t>
      </w:r>
      <w:r w:rsidR="00F3749E" w:rsidRPr="00653DB5">
        <w:rPr>
          <w:color w:val="000000" w:themeColor="text1"/>
          <w:sz w:val="26"/>
          <w:szCs w:val="26"/>
        </w:rPr>
        <w:t xml:space="preserve">erviciile de capacităţi de transmitere cu interfeţe alternative (MPLS, </w:t>
      </w:r>
      <w:proofErr w:type="spellStart"/>
      <w:r w:rsidR="00F3749E" w:rsidRPr="00653DB5">
        <w:rPr>
          <w:color w:val="000000" w:themeColor="text1"/>
          <w:sz w:val="26"/>
          <w:szCs w:val="26"/>
        </w:rPr>
        <w:t>Ethernet</w:t>
      </w:r>
      <w:proofErr w:type="spellEnd"/>
      <w:r w:rsidR="00F3749E" w:rsidRPr="00653DB5">
        <w:rPr>
          <w:color w:val="000000" w:themeColor="text1"/>
          <w:sz w:val="26"/>
          <w:szCs w:val="26"/>
        </w:rPr>
        <w:t xml:space="preserve"> şi WDM);</w:t>
      </w:r>
    </w:p>
    <w:p w:rsidR="00790A2F" w:rsidRPr="00653DB5" w:rsidRDefault="003552FC" w:rsidP="008C6767">
      <w:pPr>
        <w:pStyle w:val="Bodytext100"/>
        <w:numPr>
          <w:ilvl w:val="0"/>
          <w:numId w:val="68"/>
        </w:numPr>
        <w:shd w:val="clear" w:color="auto" w:fill="auto"/>
        <w:tabs>
          <w:tab w:val="left" w:pos="542"/>
          <w:tab w:val="left" w:pos="993"/>
          <w:tab w:val="left" w:pos="1134"/>
        </w:tabs>
        <w:spacing w:before="0" w:after="0" w:line="240" w:lineRule="auto"/>
        <w:ind w:left="0" w:right="20" w:firstLine="567"/>
        <w:rPr>
          <w:color w:val="000000" w:themeColor="text1"/>
          <w:sz w:val="26"/>
          <w:szCs w:val="26"/>
        </w:rPr>
      </w:pPr>
      <w:r w:rsidRPr="00653DB5">
        <w:rPr>
          <w:color w:val="000000" w:themeColor="text1"/>
          <w:sz w:val="26"/>
          <w:szCs w:val="26"/>
        </w:rPr>
        <w:t>serviciile</w:t>
      </w:r>
      <w:r w:rsidR="00F3749E" w:rsidRPr="00653DB5">
        <w:rPr>
          <w:color w:val="000000" w:themeColor="text1"/>
          <w:sz w:val="26"/>
          <w:szCs w:val="26"/>
        </w:rPr>
        <w:t xml:space="preserve"> de acces la fibra optică neechipată</w:t>
      </w:r>
      <w:r w:rsidR="00335259" w:rsidRPr="00653DB5">
        <w:rPr>
          <w:color w:val="000000" w:themeColor="text1"/>
          <w:sz w:val="26"/>
          <w:szCs w:val="26"/>
        </w:rPr>
        <w:t>.</w:t>
      </w:r>
    </w:p>
    <w:p w:rsidR="00790A2F" w:rsidRPr="00653DB5" w:rsidRDefault="00F3749E" w:rsidP="008C6767">
      <w:pPr>
        <w:pStyle w:val="Bodytext100"/>
        <w:shd w:val="clear" w:color="auto" w:fill="auto"/>
        <w:tabs>
          <w:tab w:val="left" w:pos="1134"/>
        </w:tabs>
        <w:spacing w:before="0" w:after="0" w:line="240" w:lineRule="auto"/>
        <w:ind w:firstLine="567"/>
        <w:rPr>
          <w:color w:val="000000" w:themeColor="text1"/>
          <w:sz w:val="26"/>
          <w:szCs w:val="26"/>
        </w:rPr>
      </w:pPr>
      <w:r w:rsidRPr="00653DB5">
        <w:rPr>
          <w:color w:val="000000" w:themeColor="text1"/>
          <w:sz w:val="26"/>
          <w:szCs w:val="26"/>
        </w:rPr>
        <w:t>ANRCETI concluzionează că piaţa relevantă a produsului este următoarea:</w:t>
      </w:r>
    </w:p>
    <w:p w:rsidR="00790A2F" w:rsidRPr="00653DB5" w:rsidRDefault="00F3749E" w:rsidP="008C6767">
      <w:pPr>
        <w:pStyle w:val="Bodytext90"/>
        <w:shd w:val="clear" w:color="auto" w:fill="auto"/>
        <w:tabs>
          <w:tab w:val="left" w:pos="1134"/>
        </w:tabs>
        <w:spacing w:before="0" w:after="0" w:line="240" w:lineRule="auto"/>
        <w:ind w:right="20" w:firstLine="567"/>
        <w:jc w:val="both"/>
        <w:rPr>
          <w:i/>
          <w:color w:val="000000" w:themeColor="text1"/>
          <w:sz w:val="26"/>
          <w:szCs w:val="26"/>
        </w:rPr>
      </w:pPr>
      <w:r w:rsidRPr="00653DB5">
        <w:rPr>
          <w:i/>
          <w:color w:val="000000" w:themeColor="text1"/>
          <w:sz w:val="26"/>
          <w:szCs w:val="26"/>
        </w:rPr>
        <w:t xml:space="preserve">Piaţa furnizării cu ridicata a unor segmente-trunchi de linii închiriate, indiferent de tehnologia utilizată pentru punerea la dispoziţie de capacitate închiriată sau rezervată care cuprinde servicii de capacităţi de transmitere cu interfeţe: SDH, MPLS, </w:t>
      </w:r>
      <w:proofErr w:type="spellStart"/>
      <w:r w:rsidRPr="00653DB5">
        <w:rPr>
          <w:i/>
          <w:color w:val="000000" w:themeColor="text1"/>
          <w:sz w:val="26"/>
          <w:szCs w:val="26"/>
        </w:rPr>
        <w:t>Ethernet</w:t>
      </w:r>
      <w:proofErr w:type="spellEnd"/>
      <w:r w:rsidRPr="00653DB5">
        <w:rPr>
          <w:i/>
          <w:color w:val="000000" w:themeColor="text1"/>
          <w:sz w:val="26"/>
          <w:szCs w:val="26"/>
        </w:rPr>
        <w:t xml:space="preserve"> şi WDM şi servicii de acces la fibra optică neechipată.</w:t>
      </w:r>
    </w:p>
    <w:p w:rsidR="00352544" w:rsidRPr="00653DB5" w:rsidRDefault="00352544" w:rsidP="008C6767">
      <w:pPr>
        <w:pStyle w:val="Bodytext90"/>
        <w:shd w:val="clear" w:color="auto" w:fill="auto"/>
        <w:tabs>
          <w:tab w:val="left" w:pos="1134"/>
        </w:tabs>
        <w:spacing w:before="0" w:after="0" w:line="240" w:lineRule="auto"/>
        <w:ind w:right="20" w:firstLine="567"/>
        <w:jc w:val="both"/>
        <w:rPr>
          <w:i/>
          <w:color w:val="000000" w:themeColor="text1"/>
          <w:sz w:val="26"/>
          <w:szCs w:val="26"/>
        </w:rPr>
      </w:pPr>
    </w:p>
    <w:p w:rsidR="00790A2F" w:rsidRPr="00653DB5" w:rsidRDefault="00FB1894" w:rsidP="008C6767">
      <w:pPr>
        <w:pStyle w:val="Heading21"/>
        <w:keepNext/>
        <w:keepLines/>
        <w:numPr>
          <w:ilvl w:val="1"/>
          <w:numId w:val="80"/>
        </w:numPr>
        <w:shd w:val="clear" w:color="auto" w:fill="auto"/>
        <w:tabs>
          <w:tab w:val="left" w:pos="993"/>
          <w:tab w:val="left" w:pos="1460"/>
        </w:tabs>
        <w:spacing w:before="0" w:after="0" w:line="240" w:lineRule="auto"/>
        <w:ind w:left="0" w:firstLine="567"/>
        <w:jc w:val="left"/>
        <w:rPr>
          <w:color w:val="000000" w:themeColor="text1"/>
          <w:sz w:val="26"/>
          <w:szCs w:val="26"/>
        </w:rPr>
      </w:pPr>
      <w:bookmarkStart w:id="297" w:name="bookmark25"/>
      <w:bookmarkStart w:id="298" w:name="_Toc368666576"/>
      <w:bookmarkStart w:id="299" w:name="_Toc422317018"/>
      <w:bookmarkStart w:id="300" w:name="_Toc422318615"/>
      <w:r>
        <w:rPr>
          <w:color w:val="000000" w:themeColor="text1"/>
          <w:sz w:val="26"/>
          <w:szCs w:val="26"/>
        </w:rPr>
        <w:t xml:space="preserve"> </w:t>
      </w:r>
      <w:bookmarkStart w:id="301" w:name="_Toc485634402"/>
      <w:r w:rsidR="00F3749E" w:rsidRPr="00653DB5">
        <w:rPr>
          <w:color w:val="000000" w:themeColor="text1"/>
          <w:sz w:val="26"/>
          <w:szCs w:val="26"/>
        </w:rPr>
        <w:t>Piaţa geografică</w:t>
      </w:r>
      <w:bookmarkEnd w:id="297"/>
      <w:bookmarkEnd w:id="298"/>
      <w:bookmarkEnd w:id="299"/>
      <w:bookmarkEnd w:id="300"/>
      <w:bookmarkEnd w:id="301"/>
    </w:p>
    <w:p w:rsidR="00323627" w:rsidRPr="00653DB5" w:rsidRDefault="00323627" w:rsidP="005D4FC1">
      <w:pPr>
        <w:pStyle w:val="Bodytext100"/>
        <w:tabs>
          <w:tab w:val="left" w:pos="993"/>
        </w:tabs>
        <w:spacing w:before="0" w:after="0" w:line="240" w:lineRule="auto"/>
        <w:ind w:right="23" w:firstLine="567"/>
        <w:rPr>
          <w:color w:val="000000" w:themeColor="text1"/>
          <w:sz w:val="26"/>
          <w:szCs w:val="26"/>
        </w:rPr>
      </w:pPr>
    </w:p>
    <w:p w:rsidR="00491BFD" w:rsidRPr="00653DB5" w:rsidRDefault="00491BFD" w:rsidP="005D4FC1">
      <w:pPr>
        <w:pStyle w:val="Bodytext100"/>
        <w:tabs>
          <w:tab w:val="left" w:pos="993"/>
        </w:tabs>
        <w:spacing w:before="0" w:after="0" w:line="240" w:lineRule="auto"/>
        <w:ind w:right="23" w:firstLine="567"/>
        <w:rPr>
          <w:color w:val="000000" w:themeColor="text1"/>
          <w:sz w:val="26"/>
          <w:szCs w:val="26"/>
        </w:rPr>
      </w:pPr>
      <w:r w:rsidRPr="00653DB5">
        <w:rPr>
          <w:color w:val="000000" w:themeColor="text1"/>
          <w:sz w:val="26"/>
          <w:szCs w:val="26"/>
        </w:rPr>
        <w:t xml:space="preserve">Pentru ca o piaţă să existe şi să existe tranzacţii, este necesar ca obiectivele </w:t>
      </w:r>
      <w:r w:rsidR="003552FC" w:rsidRPr="00653DB5">
        <w:rPr>
          <w:color w:val="000000" w:themeColor="text1"/>
          <w:sz w:val="26"/>
          <w:szCs w:val="26"/>
        </w:rPr>
        <w:t>utilizatorului</w:t>
      </w:r>
      <w:r w:rsidRPr="00653DB5">
        <w:rPr>
          <w:color w:val="000000" w:themeColor="text1"/>
          <w:sz w:val="26"/>
          <w:szCs w:val="26"/>
        </w:rPr>
        <w:t xml:space="preserve">, precum şi serviciile care satisfac aceste obiective să fie disponibile în acelaşi loc. În consecinţă pieţele trebuie să fie definite </w:t>
      </w:r>
      <w:proofErr w:type="spellStart"/>
      <w:r w:rsidRPr="00653DB5">
        <w:rPr>
          <w:color w:val="000000" w:themeColor="text1"/>
          <w:sz w:val="26"/>
          <w:szCs w:val="26"/>
        </w:rPr>
        <w:t>atît</w:t>
      </w:r>
      <w:proofErr w:type="spellEnd"/>
      <w:r w:rsidRPr="00653DB5">
        <w:rPr>
          <w:color w:val="000000" w:themeColor="text1"/>
          <w:sz w:val="26"/>
          <w:szCs w:val="26"/>
        </w:rPr>
        <w:t xml:space="preserve"> din punct de vedere al produselor, </w:t>
      </w:r>
      <w:proofErr w:type="spellStart"/>
      <w:r w:rsidRPr="00653DB5">
        <w:rPr>
          <w:color w:val="000000" w:themeColor="text1"/>
          <w:sz w:val="26"/>
          <w:szCs w:val="26"/>
        </w:rPr>
        <w:t>cît</w:t>
      </w:r>
      <w:proofErr w:type="spellEnd"/>
      <w:r w:rsidRPr="00653DB5">
        <w:rPr>
          <w:color w:val="000000" w:themeColor="text1"/>
          <w:sz w:val="26"/>
          <w:szCs w:val="26"/>
        </w:rPr>
        <w:t xml:space="preserve"> şi din punct de vedere geografic. </w:t>
      </w:r>
    </w:p>
    <w:p w:rsidR="00491BFD" w:rsidRPr="00653DB5" w:rsidRDefault="00491BFD" w:rsidP="005D4FC1">
      <w:pPr>
        <w:pStyle w:val="Bodytext100"/>
        <w:tabs>
          <w:tab w:val="left" w:pos="993"/>
        </w:tabs>
        <w:spacing w:before="0" w:after="0" w:line="240" w:lineRule="auto"/>
        <w:ind w:right="23" w:firstLine="567"/>
        <w:rPr>
          <w:color w:val="000000" w:themeColor="text1"/>
          <w:sz w:val="26"/>
          <w:szCs w:val="26"/>
        </w:rPr>
      </w:pPr>
      <w:r w:rsidRPr="00653DB5">
        <w:rPr>
          <w:color w:val="000000" w:themeColor="text1"/>
          <w:sz w:val="26"/>
          <w:szCs w:val="26"/>
        </w:rPr>
        <w:t>Dimensiunea unei pieţe relevante geografice cuprinde toate zonele unde furnizorii oferă servicii în condiţii similare. Conform Recomandării Comisiei Europene, dimensiunea geografică a unei pieţe relevante este cel mai des determinată în funcţie de acoperirea reţelei şi existenţa unui cadru juridic şi de reglementare identic într-o anumită zonă geografică.</w:t>
      </w:r>
    </w:p>
    <w:p w:rsidR="00491BFD" w:rsidRPr="00653DB5" w:rsidRDefault="00491BFD" w:rsidP="005D4FC1">
      <w:pPr>
        <w:pStyle w:val="Bodytext100"/>
        <w:tabs>
          <w:tab w:val="left" w:pos="993"/>
        </w:tabs>
        <w:spacing w:before="0" w:after="0" w:line="240" w:lineRule="auto"/>
        <w:ind w:right="23" w:firstLine="567"/>
        <w:rPr>
          <w:color w:val="000000" w:themeColor="text1"/>
          <w:sz w:val="26"/>
          <w:szCs w:val="26"/>
        </w:rPr>
      </w:pPr>
      <w:r w:rsidRPr="00653DB5">
        <w:rPr>
          <w:color w:val="000000" w:themeColor="text1"/>
          <w:sz w:val="26"/>
          <w:szCs w:val="26"/>
        </w:rPr>
        <w:t xml:space="preserve">Conform Regulamentului, piaţa relevantă geografică include zonele unde sunt amplasaţi furnizorii de produse </w:t>
      </w:r>
      <w:r w:rsidR="005D4FC1" w:rsidRPr="00653DB5">
        <w:rPr>
          <w:color w:val="000000" w:themeColor="text1"/>
          <w:sz w:val="26"/>
          <w:szCs w:val="26"/>
        </w:rPr>
        <w:t>substituenţi</w:t>
      </w:r>
      <w:r w:rsidRPr="00653DB5">
        <w:rPr>
          <w:color w:val="000000" w:themeColor="text1"/>
          <w:sz w:val="26"/>
          <w:szCs w:val="26"/>
        </w:rPr>
        <w:t xml:space="preserve"> din punct de vedere a cererii şi ofertei (p. 38 şi</w:t>
      </w:r>
      <w:r w:rsidR="00FB1894">
        <w:rPr>
          <w:color w:val="000000" w:themeColor="text1"/>
          <w:sz w:val="26"/>
          <w:szCs w:val="26"/>
        </w:rPr>
        <w:t xml:space="preserve"> </w:t>
      </w:r>
      <w:r w:rsidRPr="00653DB5">
        <w:rPr>
          <w:color w:val="000000" w:themeColor="text1"/>
          <w:sz w:val="26"/>
          <w:szCs w:val="26"/>
        </w:rPr>
        <w:t>40)</w:t>
      </w:r>
      <w:r w:rsidR="00352544" w:rsidRPr="00653DB5">
        <w:rPr>
          <w:color w:val="000000" w:themeColor="text1"/>
          <w:sz w:val="26"/>
          <w:szCs w:val="26"/>
        </w:rPr>
        <w:t>.</w:t>
      </w:r>
      <w:r w:rsidRPr="00653DB5">
        <w:rPr>
          <w:color w:val="000000" w:themeColor="text1"/>
          <w:sz w:val="26"/>
          <w:szCs w:val="26"/>
        </w:rPr>
        <w:t xml:space="preserve"> </w:t>
      </w:r>
    </w:p>
    <w:p w:rsidR="00491BFD" w:rsidRPr="00653DB5" w:rsidRDefault="00491BFD" w:rsidP="005D4FC1">
      <w:pPr>
        <w:pStyle w:val="Bodytext100"/>
        <w:tabs>
          <w:tab w:val="left" w:pos="993"/>
        </w:tabs>
        <w:spacing w:before="0" w:after="0" w:line="240" w:lineRule="auto"/>
        <w:ind w:right="20" w:firstLine="567"/>
        <w:rPr>
          <w:color w:val="000000" w:themeColor="text1"/>
          <w:sz w:val="26"/>
          <w:szCs w:val="26"/>
        </w:rPr>
      </w:pPr>
      <w:r w:rsidRPr="00653DB5">
        <w:rPr>
          <w:color w:val="000000" w:themeColor="text1"/>
          <w:sz w:val="26"/>
          <w:szCs w:val="26"/>
        </w:rPr>
        <w:t>ANRCETI consideră că dimensiunea geografică a pieţei de furnizare cu ridicata a unor segmente</w:t>
      </w:r>
      <w:r w:rsidR="003C6885" w:rsidRPr="00653DB5">
        <w:rPr>
          <w:color w:val="000000" w:themeColor="text1"/>
          <w:sz w:val="26"/>
          <w:szCs w:val="26"/>
        </w:rPr>
        <w:t>-trunchi</w:t>
      </w:r>
      <w:r w:rsidRPr="00653DB5">
        <w:rPr>
          <w:color w:val="000000" w:themeColor="text1"/>
          <w:sz w:val="26"/>
          <w:szCs w:val="26"/>
        </w:rPr>
        <w:t xml:space="preserve"> de linii închiriate, indiferent de tehnologia utilizată pentru punerea la dispoziţie de capacitate închiriată sau rezervată este naţională. </w:t>
      </w:r>
    </w:p>
    <w:p w:rsidR="00491BFD" w:rsidRPr="00653DB5" w:rsidRDefault="00491BFD" w:rsidP="005D4FC1">
      <w:pPr>
        <w:pStyle w:val="Bodytext100"/>
        <w:tabs>
          <w:tab w:val="left" w:pos="993"/>
        </w:tabs>
        <w:spacing w:before="0" w:after="0" w:line="240" w:lineRule="auto"/>
        <w:ind w:right="20" w:firstLine="567"/>
        <w:rPr>
          <w:color w:val="000000" w:themeColor="text1"/>
          <w:sz w:val="26"/>
          <w:szCs w:val="26"/>
        </w:rPr>
      </w:pPr>
      <w:r w:rsidRPr="00653DB5">
        <w:rPr>
          <w:color w:val="000000" w:themeColor="text1"/>
          <w:sz w:val="26"/>
          <w:szCs w:val="26"/>
        </w:rPr>
        <w:t>Evidenţa specifică în sprijinul unei definiţii a pieţei naţionale este că:</w:t>
      </w:r>
    </w:p>
    <w:p w:rsidR="00491BFD" w:rsidRPr="00653DB5" w:rsidRDefault="00491BFD" w:rsidP="005D4FC1">
      <w:pPr>
        <w:pStyle w:val="Bodytext100"/>
        <w:numPr>
          <w:ilvl w:val="0"/>
          <w:numId w:val="70"/>
        </w:numPr>
        <w:shd w:val="clear" w:color="auto" w:fill="auto"/>
        <w:tabs>
          <w:tab w:val="left" w:pos="993"/>
        </w:tabs>
        <w:spacing w:before="0" w:after="0" w:line="240" w:lineRule="auto"/>
        <w:ind w:left="0" w:right="20" w:firstLine="567"/>
        <w:rPr>
          <w:color w:val="000000" w:themeColor="text1"/>
          <w:sz w:val="26"/>
          <w:szCs w:val="26"/>
        </w:rPr>
      </w:pPr>
      <w:r w:rsidRPr="00653DB5">
        <w:rPr>
          <w:color w:val="000000" w:themeColor="text1"/>
          <w:sz w:val="26"/>
          <w:szCs w:val="26"/>
        </w:rPr>
        <w:t>Toate autorizaţiile/licenţele sunt naţionale;</w:t>
      </w:r>
    </w:p>
    <w:p w:rsidR="00491BFD" w:rsidRPr="00653DB5" w:rsidRDefault="00491BFD" w:rsidP="005D4FC1">
      <w:pPr>
        <w:pStyle w:val="Bodytext100"/>
        <w:numPr>
          <w:ilvl w:val="0"/>
          <w:numId w:val="70"/>
        </w:numPr>
        <w:shd w:val="clear" w:color="auto" w:fill="auto"/>
        <w:tabs>
          <w:tab w:val="left" w:pos="993"/>
        </w:tabs>
        <w:spacing w:before="0" w:after="0" w:line="240" w:lineRule="auto"/>
        <w:ind w:left="0" w:right="20" w:firstLine="567"/>
        <w:rPr>
          <w:color w:val="000000" w:themeColor="text1"/>
          <w:sz w:val="26"/>
          <w:szCs w:val="26"/>
        </w:rPr>
      </w:pPr>
      <w:r w:rsidRPr="00653DB5">
        <w:rPr>
          <w:color w:val="000000" w:themeColor="text1"/>
          <w:sz w:val="26"/>
          <w:szCs w:val="26"/>
        </w:rPr>
        <w:t>Cadrul de reglementare aplicabil serviciilor în cauză - cadrul legal şi de reglementare în domeniul comunicaţiilor electronice - este identic pe întreg teritoriul Republicii Moldova;</w:t>
      </w:r>
    </w:p>
    <w:p w:rsidR="00491BFD" w:rsidRPr="00653DB5" w:rsidRDefault="00491BFD" w:rsidP="005D4FC1">
      <w:pPr>
        <w:pStyle w:val="Bodytext100"/>
        <w:numPr>
          <w:ilvl w:val="0"/>
          <w:numId w:val="70"/>
        </w:numPr>
        <w:shd w:val="clear" w:color="auto" w:fill="auto"/>
        <w:tabs>
          <w:tab w:val="left" w:pos="993"/>
        </w:tabs>
        <w:spacing w:before="0" w:after="0" w:line="240" w:lineRule="auto"/>
        <w:ind w:left="0" w:right="20" w:firstLine="567"/>
        <w:rPr>
          <w:color w:val="000000" w:themeColor="text1"/>
          <w:sz w:val="26"/>
          <w:szCs w:val="26"/>
        </w:rPr>
      </w:pPr>
      <w:r w:rsidRPr="00653DB5">
        <w:rPr>
          <w:color w:val="000000" w:themeColor="text1"/>
          <w:sz w:val="26"/>
          <w:szCs w:val="26"/>
        </w:rPr>
        <w:t xml:space="preserve"> Preţurile pentru serviciile de furniz</w:t>
      </w:r>
      <w:r w:rsidR="00D4669C" w:rsidRPr="00653DB5">
        <w:rPr>
          <w:color w:val="000000" w:themeColor="text1"/>
          <w:sz w:val="26"/>
          <w:szCs w:val="26"/>
        </w:rPr>
        <w:t xml:space="preserve">are cu ridicata a unor segmente-trunchi </w:t>
      </w:r>
      <w:r w:rsidRPr="00653DB5">
        <w:rPr>
          <w:color w:val="000000" w:themeColor="text1"/>
          <w:sz w:val="26"/>
          <w:szCs w:val="26"/>
        </w:rPr>
        <w:t>de linii închiriate sunt similare.</w:t>
      </w:r>
    </w:p>
    <w:p w:rsidR="00352544" w:rsidRPr="00653DB5" w:rsidRDefault="00F3749E" w:rsidP="005D4FC1">
      <w:pPr>
        <w:pStyle w:val="Bodytext100"/>
        <w:shd w:val="clear" w:color="auto" w:fill="auto"/>
        <w:tabs>
          <w:tab w:val="left" w:pos="993"/>
        </w:tabs>
        <w:spacing w:before="0" w:after="0" w:line="240" w:lineRule="auto"/>
        <w:ind w:right="20" w:firstLine="567"/>
        <w:rPr>
          <w:color w:val="000000" w:themeColor="text1"/>
          <w:sz w:val="26"/>
          <w:szCs w:val="26"/>
        </w:rPr>
      </w:pPr>
      <w:r w:rsidRPr="00653DB5">
        <w:rPr>
          <w:color w:val="000000" w:themeColor="text1"/>
          <w:sz w:val="26"/>
          <w:szCs w:val="26"/>
        </w:rPr>
        <w:t>Deşi există probabilitatea să apară variaţii ale cererii şi ofertei, asociate, de exemplu, cu anumite grupuri de utilizatori care formează zone mai concentrate din punct de vedere geografic, acestea nu sunt de natură să determine limite clare şi persistente ale unor segmente geografice de piaţă diferite.</w:t>
      </w:r>
    </w:p>
    <w:p w:rsidR="00790A2F" w:rsidRPr="00653DB5" w:rsidRDefault="00352544" w:rsidP="005D4FC1">
      <w:pPr>
        <w:pStyle w:val="Bodytext100"/>
        <w:shd w:val="clear" w:color="auto" w:fill="auto"/>
        <w:tabs>
          <w:tab w:val="left" w:pos="993"/>
        </w:tabs>
        <w:spacing w:before="0" w:after="0" w:line="240" w:lineRule="auto"/>
        <w:ind w:right="20" w:firstLine="567"/>
        <w:rPr>
          <w:color w:val="000000" w:themeColor="text1"/>
          <w:sz w:val="26"/>
          <w:szCs w:val="26"/>
        </w:rPr>
      </w:pPr>
      <w:r w:rsidRPr="00653DB5">
        <w:rPr>
          <w:b/>
          <w:color w:val="000000" w:themeColor="text1"/>
          <w:sz w:val="26"/>
          <w:szCs w:val="26"/>
        </w:rPr>
        <w:t xml:space="preserve">Concluzie: </w:t>
      </w:r>
      <w:r w:rsidRPr="00653DB5">
        <w:rPr>
          <w:color w:val="000000" w:themeColor="text1"/>
          <w:sz w:val="26"/>
          <w:szCs w:val="26"/>
        </w:rPr>
        <w:t xml:space="preserve">ANRCETI consideră, în baza raţionamentelor de mai sus, că limitele </w:t>
      </w:r>
      <w:r w:rsidRPr="00653DB5">
        <w:rPr>
          <w:color w:val="000000" w:themeColor="text1"/>
          <w:sz w:val="26"/>
          <w:szCs w:val="26"/>
        </w:rPr>
        <w:lastRenderedPageBreak/>
        <w:t>geografice ale pieţei de</w:t>
      </w:r>
      <w:r w:rsidRPr="00653DB5">
        <w:rPr>
          <w:rStyle w:val="longtext1"/>
          <w:color w:val="000000" w:themeColor="text1"/>
          <w:sz w:val="26"/>
          <w:szCs w:val="26"/>
          <w:shd w:val="clear" w:color="auto" w:fill="FFFFFF"/>
        </w:rPr>
        <w:t xml:space="preserve"> furnizare cu ridicata a unor segmente-trunchi de linii închiriate, indiferent de tehnologia utilizată pentru punerea la dispoziţie de capacitate închiriată sau rezervată </w:t>
      </w:r>
      <w:r w:rsidRPr="00653DB5">
        <w:rPr>
          <w:color w:val="000000" w:themeColor="text1"/>
          <w:sz w:val="26"/>
          <w:szCs w:val="26"/>
        </w:rPr>
        <w:t>sunt teritoriul naţional. ANRCETI remarcă faptul că această concluzie este conformă practicilor tuturor statelor membre ale UE.</w:t>
      </w:r>
      <w:r w:rsidR="00F3749E" w:rsidRPr="00653DB5">
        <w:rPr>
          <w:color w:val="000000" w:themeColor="text1"/>
          <w:sz w:val="26"/>
          <w:szCs w:val="26"/>
        </w:rPr>
        <w:t xml:space="preserve"> </w:t>
      </w:r>
    </w:p>
    <w:p w:rsidR="00352544" w:rsidRPr="00653DB5" w:rsidRDefault="00352544" w:rsidP="00A817B5">
      <w:pPr>
        <w:pStyle w:val="Bodytext100"/>
        <w:shd w:val="clear" w:color="auto" w:fill="auto"/>
        <w:spacing w:before="0" w:after="0" w:line="240" w:lineRule="auto"/>
        <w:ind w:left="20" w:right="20" w:firstLine="0"/>
        <w:rPr>
          <w:color w:val="000000" w:themeColor="text1"/>
          <w:sz w:val="26"/>
          <w:szCs w:val="26"/>
        </w:rPr>
      </w:pPr>
    </w:p>
    <w:p w:rsidR="00790A2F" w:rsidRPr="00653DB5" w:rsidRDefault="006F522B" w:rsidP="008C6767">
      <w:pPr>
        <w:pStyle w:val="Heading21"/>
        <w:keepNext/>
        <w:keepLines/>
        <w:numPr>
          <w:ilvl w:val="1"/>
          <w:numId w:val="80"/>
        </w:numPr>
        <w:shd w:val="clear" w:color="auto" w:fill="auto"/>
        <w:tabs>
          <w:tab w:val="left" w:pos="993"/>
        </w:tabs>
        <w:spacing w:before="0" w:after="0" w:line="240" w:lineRule="auto"/>
        <w:ind w:left="0" w:firstLine="567"/>
        <w:jc w:val="left"/>
        <w:rPr>
          <w:color w:val="000000" w:themeColor="text1"/>
          <w:sz w:val="26"/>
          <w:szCs w:val="26"/>
        </w:rPr>
      </w:pPr>
      <w:bookmarkStart w:id="302" w:name="bookmark26"/>
      <w:bookmarkStart w:id="303" w:name="_Toc368666577"/>
      <w:bookmarkStart w:id="304" w:name="_Toc422317019"/>
      <w:bookmarkStart w:id="305" w:name="_Toc422318616"/>
      <w:r w:rsidRPr="00653DB5">
        <w:rPr>
          <w:color w:val="000000" w:themeColor="text1"/>
          <w:sz w:val="26"/>
          <w:szCs w:val="26"/>
        </w:rPr>
        <w:t xml:space="preserve"> </w:t>
      </w:r>
      <w:bookmarkStart w:id="306" w:name="_Toc485634403"/>
      <w:r w:rsidR="00F3749E" w:rsidRPr="00653DB5">
        <w:rPr>
          <w:color w:val="000000" w:themeColor="text1"/>
          <w:sz w:val="26"/>
          <w:szCs w:val="26"/>
        </w:rPr>
        <w:t>Aplicarea testului celor trei criterii</w:t>
      </w:r>
      <w:bookmarkEnd w:id="302"/>
      <w:bookmarkEnd w:id="303"/>
      <w:bookmarkEnd w:id="304"/>
      <w:bookmarkEnd w:id="305"/>
      <w:bookmarkEnd w:id="306"/>
    </w:p>
    <w:p w:rsidR="009F337F" w:rsidRPr="00653DB5" w:rsidRDefault="009F337F" w:rsidP="008C6767">
      <w:pPr>
        <w:pStyle w:val="Bodytext100"/>
        <w:shd w:val="clear" w:color="auto" w:fill="auto"/>
        <w:tabs>
          <w:tab w:val="left" w:pos="851"/>
        </w:tabs>
        <w:spacing w:before="0" w:after="0" w:line="240" w:lineRule="auto"/>
        <w:ind w:right="20" w:firstLine="567"/>
        <w:rPr>
          <w:color w:val="000000" w:themeColor="text1"/>
          <w:sz w:val="26"/>
          <w:szCs w:val="26"/>
        </w:rPr>
      </w:pPr>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 xml:space="preserve">În conformitate cu Legea </w:t>
      </w:r>
      <w:r w:rsidR="003552FC" w:rsidRPr="00653DB5">
        <w:rPr>
          <w:color w:val="000000" w:themeColor="text1"/>
          <w:sz w:val="26"/>
          <w:szCs w:val="26"/>
        </w:rPr>
        <w:t>nr. 241/2007</w:t>
      </w:r>
      <w:r w:rsidRPr="00653DB5">
        <w:rPr>
          <w:color w:val="000000" w:themeColor="text1"/>
          <w:sz w:val="26"/>
          <w:szCs w:val="26"/>
        </w:rPr>
        <w:t>, pentru ca o piaţă să fie relevantă reglementării preventive de către ANRCETI, este important ca aceasta să întrunească caracteristici care să justifice impunerea obligaţiilor speciale preventive (Art.51 (1), lit.</w:t>
      </w:r>
      <w:r w:rsidR="003552FC" w:rsidRPr="00653DB5">
        <w:rPr>
          <w:color w:val="000000" w:themeColor="text1"/>
          <w:sz w:val="26"/>
          <w:szCs w:val="26"/>
        </w:rPr>
        <w:t xml:space="preserve"> </w:t>
      </w:r>
      <w:r w:rsidRPr="00653DB5">
        <w:rPr>
          <w:color w:val="000000" w:themeColor="text1"/>
          <w:sz w:val="26"/>
          <w:szCs w:val="26"/>
        </w:rPr>
        <w:t>a)).</w:t>
      </w:r>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ANRCETI a stabilit în Regulament</w:t>
      </w:r>
      <w:r w:rsidR="003552FC" w:rsidRPr="00653DB5">
        <w:rPr>
          <w:color w:val="000000" w:themeColor="text1"/>
          <w:sz w:val="26"/>
          <w:szCs w:val="26"/>
        </w:rPr>
        <w:t>ul nr. 55/2008</w:t>
      </w:r>
      <w:hyperlink w:anchor="bookmark2" w:tooltip="Current Document">
        <w:r w:rsidRPr="00653DB5">
          <w:rPr>
            <w:color w:val="000000" w:themeColor="text1"/>
            <w:sz w:val="26"/>
            <w:szCs w:val="26"/>
            <w:vertAlign w:val="superscript"/>
          </w:rPr>
          <w:footnoteReference w:id="3"/>
        </w:r>
        <w:r w:rsidRPr="00653DB5">
          <w:rPr>
            <w:color w:val="000000" w:themeColor="text1"/>
            <w:sz w:val="26"/>
            <w:szCs w:val="26"/>
          </w:rPr>
          <w:t xml:space="preserve"> </w:t>
        </w:r>
      </w:hyperlink>
      <w:r w:rsidRPr="00653DB5">
        <w:rPr>
          <w:color w:val="000000" w:themeColor="text1"/>
          <w:sz w:val="26"/>
          <w:szCs w:val="26"/>
        </w:rPr>
        <w:t>că pentru determinarea faptului dacă o piaţă a produsului este relevantă este necesar ca ea să întrunească respectarea a trei criterii (exerciţiu numit Testul celor trei criterii)</w:t>
      </w:r>
    </w:p>
    <w:p w:rsidR="00790A2F" w:rsidRPr="00653DB5" w:rsidRDefault="00F3749E" w:rsidP="008C6767">
      <w:pPr>
        <w:pStyle w:val="Bodytext100"/>
        <w:shd w:val="clear" w:color="auto" w:fill="auto"/>
        <w:tabs>
          <w:tab w:val="left" w:pos="851"/>
        </w:tabs>
        <w:spacing w:before="0" w:after="0" w:line="240" w:lineRule="auto"/>
        <w:ind w:firstLine="567"/>
        <w:rPr>
          <w:color w:val="000000" w:themeColor="text1"/>
          <w:sz w:val="26"/>
          <w:szCs w:val="26"/>
        </w:rPr>
      </w:pPr>
      <w:r w:rsidRPr="00653DB5">
        <w:rPr>
          <w:color w:val="000000" w:themeColor="text1"/>
          <w:sz w:val="26"/>
          <w:szCs w:val="26"/>
        </w:rPr>
        <w:t>Cele trei criterii sunt:</w:t>
      </w:r>
    </w:p>
    <w:p w:rsidR="00790A2F" w:rsidRPr="00653DB5" w:rsidRDefault="00F3749E" w:rsidP="008C6767">
      <w:pPr>
        <w:pStyle w:val="Bodytext100"/>
        <w:numPr>
          <w:ilvl w:val="0"/>
          <w:numId w:val="9"/>
        </w:numPr>
        <w:shd w:val="clear" w:color="auto" w:fill="auto"/>
        <w:tabs>
          <w:tab w:val="left" w:pos="851"/>
        </w:tabs>
        <w:spacing w:before="0" w:after="0" w:line="240" w:lineRule="auto"/>
        <w:ind w:firstLine="567"/>
        <w:rPr>
          <w:color w:val="000000" w:themeColor="text1"/>
          <w:sz w:val="26"/>
          <w:szCs w:val="26"/>
        </w:rPr>
      </w:pPr>
      <w:r w:rsidRPr="00653DB5">
        <w:rPr>
          <w:color w:val="000000" w:themeColor="text1"/>
          <w:sz w:val="26"/>
          <w:szCs w:val="26"/>
        </w:rPr>
        <w:t>dacă piaţa de comunicaţii electronice este caracterizată prin existenţa unor bariere înalte la</w:t>
      </w:r>
      <w:r w:rsidR="00F268AF" w:rsidRPr="00653DB5">
        <w:rPr>
          <w:color w:val="000000" w:themeColor="text1"/>
          <w:sz w:val="26"/>
          <w:szCs w:val="26"/>
        </w:rPr>
        <w:t xml:space="preserve"> </w:t>
      </w:r>
      <w:r w:rsidRPr="00653DB5">
        <w:rPr>
          <w:color w:val="000000" w:themeColor="text1"/>
          <w:sz w:val="26"/>
          <w:szCs w:val="26"/>
        </w:rPr>
        <w:t>intrare;</w:t>
      </w:r>
    </w:p>
    <w:p w:rsidR="00790A2F" w:rsidRPr="00653DB5" w:rsidRDefault="00F3749E" w:rsidP="008C6767">
      <w:pPr>
        <w:pStyle w:val="Bodytext100"/>
        <w:numPr>
          <w:ilvl w:val="0"/>
          <w:numId w:val="9"/>
        </w:numPr>
        <w:shd w:val="clear" w:color="auto" w:fill="auto"/>
        <w:tabs>
          <w:tab w:val="left" w:pos="851"/>
          <w:tab w:val="left" w:pos="1004"/>
        </w:tabs>
        <w:spacing w:before="0" w:after="0" w:line="240" w:lineRule="auto"/>
        <w:ind w:right="20" w:firstLine="567"/>
        <w:rPr>
          <w:color w:val="000000" w:themeColor="text1"/>
          <w:sz w:val="26"/>
          <w:szCs w:val="26"/>
        </w:rPr>
      </w:pPr>
      <w:r w:rsidRPr="00653DB5">
        <w:rPr>
          <w:color w:val="000000" w:themeColor="text1"/>
          <w:sz w:val="26"/>
          <w:szCs w:val="26"/>
        </w:rPr>
        <w:t>dacă piaţa de comunicaţii electronice în cauză ar tinde pe termen scurt sau mediu, spre o concurenţă suficientă pentru a proteja interesele consumatorilor, chiar şi fără intervenţii de reglementare; şi</w:t>
      </w:r>
    </w:p>
    <w:p w:rsidR="00790A2F" w:rsidRPr="00653DB5" w:rsidRDefault="00F268AF" w:rsidP="008C6767">
      <w:pPr>
        <w:pStyle w:val="Bodytext100"/>
        <w:numPr>
          <w:ilvl w:val="0"/>
          <w:numId w:val="9"/>
        </w:numPr>
        <w:shd w:val="clear" w:color="auto" w:fill="auto"/>
        <w:tabs>
          <w:tab w:val="left" w:pos="851"/>
          <w:tab w:val="left" w:pos="1014"/>
        </w:tabs>
        <w:spacing w:before="0" w:after="0" w:line="240" w:lineRule="auto"/>
        <w:ind w:right="23" w:firstLine="567"/>
        <w:rPr>
          <w:color w:val="000000" w:themeColor="text1"/>
          <w:sz w:val="26"/>
          <w:szCs w:val="26"/>
        </w:rPr>
      </w:pPr>
      <w:r w:rsidRPr="00653DB5">
        <w:rPr>
          <w:color w:val="000000" w:themeColor="text1"/>
          <w:sz w:val="26"/>
          <w:szCs w:val="26"/>
        </w:rPr>
        <w:t>d</w:t>
      </w:r>
      <w:r w:rsidR="00F3749E" w:rsidRPr="00653DB5">
        <w:rPr>
          <w:color w:val="000000" w:themeColor="text1"/>
          <w:sz w:val="26"/>
          <w:szCs w:val="26"/>
        </w:rPr>
        <w:t xml:space="preserve">acă măsurile </w:t>
      </w:r>
      <w:r w:rsidR="00F3749E" w:rsidRPr="00653DB5">
        <w:rPr>
          <w:rStyle w:val="Bodytext10Italic"/>
          <w:color w:val="000000" w:themeColor="text1"/>
          <w:sz w:val="26"/>
          <w:szCs w:val="26"/>
        </w:rPr>
        <w:t>ex post,</w:t>
      </w:r>
      <w:r w:rsidR="00F3749E" w:rsidRPr="00653DB5">
        <w:rPr>
          <w:color w:val="000000" w:themeColor="text1"/>
          <w:sz w:val="26"/>
          <w:szCs w:val="26"/>
        </w:rPr>
        <w:t xml:space="preserve"> în absenţa unor măsuri </w:t>
      </w:r>
      <w:r w:rsidR="00F3749E" w:rsidRPr="00653DB5">
        <w:rPr>
          <w:rStyle w:val="Bodytext10Italic"/>
          <w:color w:val="000000" w:themeColor="text1"/>
          <w:sz w:val="26"/>
          <w:szCs w:val="26"/>
        </w:rPr>
        <w:t>ex-ante</w:t>
      </w:r>
      <w:r w:rsidR="00F3749E" w:rsidRPr="00653DB5">
        <w:rPr>
          <w:color w:val="000000" w:themeColor="text1"/>
          <w:sz w:val="26"/>
          <w:szCs w:val="26"/>
        </w:rPr>
        <w:t xml:space="preserve"> impuse pe această piaţă, ar fi suficiente pentru a remedia îngrijorările legate de existenţa unei poziţii dominante pe piaţă.</w:t>
      </w:r>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Este necesar de menţionat că aplicarea acestui test pentru aprecierea relevanţei pieţelor pentru reglementarea preventivă a fost elaborat de Comisia Europeană şi recomandat regulatorilor naţionali pentru exerciţiul de identificare a pieţelor.</w:t>
      </w:r>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 xml:space="preserve">Toate aceste criterii trebuie să fie îndeplinite împreună. În cazul în care, barierele la intrare nu sunt de durată, sau în cazul în care există dovezi recente de concurenţă sporită şi de o concurenţă care tinde spre creştere continuă pe termen scurt şi mediu, sau în cazul în care există anumite motive să se creadă că intervenţia </w:t>
      </w:r>
      <w:r w:rsidRPr="00653DB5">
        <w:rPr>
          <w:rStyle w:val="Bodytext10Italic"/>
          <w:color w:val="000000" w:themeColor="text1"/>
          <w:sz w:val="26"/>
          <w:szCs w:val="26"/>
        </w:rPr>
        <w:t>ex-post</w:t>
      </w:r>
      <w:r w:rsidRPr="00653DB5">
        <w:rPr>
          <w:color w:val="000000" w:themeColor="text1"/>
          <w:sz w:val="26"/>
          <w:szCs w:val="26"/>
        </w:rPr>
        <w:t xml:space="preserve"> de către regulator ar putea fi eficientă, atunci este rezonabil ca regulatorul să se abţină de la impunerea măsurilor preventive în sarcina furnizorului cu putere semnificativă.</w:t>
      </w:r>
    </w:p>
    <w:p w:rsidR="00790A2F" w:rsidRPr="00653DB5" w:rsidRDefault="00F3749E" w:rsidP="008C6767">
      <w:pPr>
        <w:pStyle w:val="Bodytext100"/>
        <w:shd w:val="clear" w:color="auto" w:fill="auto"/>
        <w:tabs>
          <w:tab w:val="left" w:pos="851"/>
        </w:tabs>
        <w:spacing w:before="0" w:after="0" w:line="240" w:lineRule="auto"/>
        <w:ind w:right="23" w:firstLine="567"/>
        <w:rPr>
          <w:color w:val="000000" w:themeColor="text1"/>
          <w:sz w:val="26"/>
          <w:szCs w:val="26"/>
        </w:rPr>
      </w:pPr>
      <w:r w:rsidRPr="00653DB5">
        <w:rPr>
          <w:color w:val="000000" w:themeColor="text1"/>
          <w:sz w:val="26"/>
          <w:szCs w:val="26"/>
        </w:rPr>
        <w:t xml:space="preserve">În cazul în care toate criteriile sunt îndeplinite, atunci ar fi justificată o analiză deplină de piaţă pentru a determina ce furnizor are putere semnificativă pe piaţă şi a stabili remediile </w:t>
      </w:r>
      <w:r w:rsidRPr="00653DB5">
        <w:rPr>
          <w:rStyle w:val="Bodytext10Italic"/>
          <w:color w:val="000000" w:themeColor="text1"/>
          <w:sz w:val="26"/>
          <w:szCs w:val="26"/>
        </w:rPr>
        <w:t xml:space="preserve">preventive </w:t>
      </w:r>
      <w:r w:rsidRPr="00653DB5">
        <w:rPr>
          <w:color w:val="000000" w:themeColor="text1"/>
          <w:sz w:val="26"/>
          <w:szCs w:val="26"/>
        </w:rPr>
        <w:t>aplicate acestor furnizori.</w:t>
      </w:r>
    </w:p>
    <w:p w:rsidR="00DE61DE"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 xml:space="preserve">Capitolul de mai jos aplică fiecare dintre aceste criterii la piaţa </w:t>
      </w:r>
      <w:r w:rsidR="008748D6" w:rsidRPr="00653DB5">
        <w:rPr>
          <w:color w:val="000000" w:themeColor="text1"/>
          <w:sz w:val="26"/>
          <w:szCs w:val="26"/>
        </w:rPr>
        <w:t>furnizării cu ridicata a unor segmente-trunchi de linii închiriate, indiferent de tehnologia utilizată pentru punerea la dispoziţie de capacitate închiriată sau rezervată.</w:t>
      </w:r>
    </w:p>
    <w:p w:rsidR="008C6767" w:rsidRPr="00653DB5" w:rsidRDefault="008C6767" w:rsidP="008C6767">
      <w:pPr>
        <w:pStyle w:val="Bodytext100"/>
        <w:shd w:val="clear" w:color="auto" w:fill="auto"/>
        <w:tabs>
          <w:tab w:val="left" w:pos="851"/>
        </w:tabs>
        <w:spacing w:before="0" w:after="0" w:line="240" w:lineRule="auto"/>
        <w:ind w:right="20" w:firstLine="567"/>
        <w:rPr>
          <w:color w:val="000000" w:themeColor="text1"/>
          <w:sz w:val="26"/>
          <w:szCs w:val="26"/>
        </w:rPr>
      </w:pPr>
    </w:p>
    <w:p w:rsidR="00790A2F" w:rsidRPr="00653DB5" w:rsidRDefault="00F3749E" w:rsidP="008C6767">
      <w:pPr>
        <w:pStyle w:val="Bodytext90"/>
        <w:numPr>
          <w:ilvl w:val="0"/>
          <w:numId w:val="10"/>
        </w:numPr>
        <w:shd w:val="clear" w:color="auto" w:fill="auto"/>
        <w:tabs>
          <w:tab w:val="left" w:pos="1276"/>
        </w:tabs>
        <w:spacing w:before="0" w:after="0" w:line="240" w:lineRule="auto"/>
        <w:ind w:firstLine="567"/>
        <w:jc w:val="both"/>
        <w:outlineLvl w:val="1"/>
        <w:rPr>
          <w:color w:val="000000" w:themeColor="text1"/>
          <w:sz w:val="26"/>
          <w:szCs w:val="26"/>
        </w:rPr>
      </w:pPr>
      <w:bookmarkStart w:id="307" w:name="bookmark27"/>
      <w:bookmarkStart w:id="308" w:name="_Toc368666578"/>
      <w:bookmarkStart w:id="309" w:name="_Toc422317020"/>
      <w:bookmarkStart w:id="310" w:name="_Toc422318617"/>
      <w:bookmarkStart w:id="311" w:name="_Toc485634404"/>
      <w:r w:rsidRPr="00653DB5">
        <w:rPr>
          <w:color w:val="000000" w:themeColor="text1"/>
          <w:sz w:val="26"/>
          <w:szCs w:val="26"/>
        </w:rPr>
        <w:t>Barierele de intrare şi ieşire</w:t>
      </w:r>
      <w:bookmarkEnd w:id="307"/>
      <w:bookmarkEnd w:id="308"/>
      <w:bookmarkEnd w:id="309"/>
      <w:bookmarkEnd w:id="310"/>
      <w:bookmarkEnd w:id="311"/>
    </w:p>
    <w:p w:rsidR="00790A2F" w:rsidRPr="00653DB5" w:rsidRDefault="00F3749E" w:rsidP="008C6767">
      <w:pPr>
        <w:pStyle w:val="Bodytext100"/>
        <w:shd w:val="clear" w:color="auto" w:fill="auto"/>
        <w:tabs>
          <w:tab w:val="left" w:pos="851"/>
        </w:tabs>
        <w:spacing w:before="0" w:after="0" w:line="240" w:lineRule="auto"/>
        <w:ind w:firstLine="567"/>
        <w:rPr>
          <w:color w:val="000000" w:themeColor="text1"/>
          <w:sz w:val="26"/>
          <w:szCs w:val="26"/>
        </w:rPr>
      </w:pPr>
      <w:r w:rsidRPr="00653DB5">
        <w:rPr>
          <w:color w:val="000000" w:themeColor="text1"/>
          <w:sz w:val="26"/>
          <w:szCs w:val="26"/>
        </w:rPr>
        <w:t>Barierele pentru intrarea pe sau ieşirea de pe piaţă pot fi de două tipuri:</w:t>
      </w:r>
    </w:p>
    <w:p w:rsidR="00790A2F" w:rsidRPr="00653DB5" w:rsidRDefault="00FB1894" w:rsidP="008C6767">
      <w:pPr>
        <w:pStyle w:val="Bodytext100"/>
        <w:numPr>
          <w:ilvl w:val="0"/>
          <w:numId w:val="27"/>
        </w:numPr>
        <w:shd w:val="clear" w:color="auto" w:fill="auto"/>
        <w:tabs>
          <w:tab w:val="left" w:pos="750"/>
          <w:tab w:val="left" w:pos="851"/>
        </w:tabs>
        <w:spacing w:before="0" w:after="0" w:line="240" w:lineRule="auto"/>
        <w:ind w:right="7" w:firstLine="567"/>
        <w:rPr>
          <w:color w:val="000000" w:themeColor="text1"/>
          <w:sz w:val="26"/>
          <w:szCs w:val="26"/>
        </w:rPr>
      </w:pPr>
      <w:r>
        <w:rPr>
          <w:b/>
          <w:color w:val="000000" w:themeColor="text1"/>
          <w:sz w:val="26"/>
          <w:szCs w:val="26"/>
        </w:rPr>
        <w:t xml:space="preserve"> </w:t>
      </w:r>
      <w:r w:rsidR="00F3749E" w:rsidRPr="00653DB5">
        <w:rPr>
          <w:b/>
          <w:color w:val="000000" w:themeColor="text1"/>
          <w:sz w:val="26"/>
          <w:szCs w:val="26"/>
        </w:rPr>
        <w:t>structurale:</w:t>
      </w:r>
      <w:r w:rsidR="00F3749E" w:rsidRPr="00653DB5">
        <w:rPr>
          <w:color w:val="000000" w:themeColor="text1"/>
          <w:sz w:val="26"/>
          <w:szCs w:val="26"/>
        </w:rPr>
        <w:t xml:space="preserve"> bazate pe economii de scară şi gamă, costuri irecuperabile şi constrângeri</w:t>
      </w:r>
      <w:r w:rsidR="008D1E51" w:rsidRPr="00653DB5">
        <w:rPr>
          <w:color w:val="000000" w:themeColor="text1"/>
          <w:sz w:val="26"/>
          <w:szCs w:val="26"/>
        </w:rPr>
        <w:t xml:space="preserve"> </w:t>
      </w:r>
      <w:r w:rsidR="00F3749E" w:rsidRPr="00653DB5">
        <w:rPr>
          <w:color w:val="000000" w:themeColor="text1"/>
          <w:sz w:val="26"/>
          <w:szCs w:val="26"/>
        </w:rPr>
        <w:t>tehnice;</w:t>
      </w:r>
    </w:p>
    <w:p w:rsidR="00790A2F" w:rsidRPr="00653DB5" w:rsidRDefault="00F3749E" w:rsidP="008C6767">
      <w:pPr>
        <w:pStyle w:val="Bodytext100"/>
        <w:numPr>
          <w:ilvl w:val="0"/>
          <w:numId w:val="27"/>
        </w:numPr>
        <w:shd w:val="clear" w:color="auto" w:fill="auto"/>
        <w:tabs>
          <w:tab w:val="left" w:pos="851"/>
        </w:tabs>
        <w:spacing w:before="0" w:after="0" w:line="240" w:lineRule="auto"/>
        <w:ind w:right="7" w:firstLine="567"/>
        <w:rPr>
          <w:color w:val="000000" w:themeColor="text1"/>
          <w:sz w:val="26"/>
          <w:szCs w:val="26"/>
        </w:rPr>
      </w:pPr>
      <w:r w:rsidRPr="00653DB5">
        <w:rPr>
          <w:b/>
          <w:color w:val="000000" w:themeColor="text1"/>
          <w:sz w:val="26"/>
          <w:szCs w:val="26"/>
        </w:rPr>
        <w:lastRenderedPageBreak/>
        <w:t>legale:</w:t>
      </w:r>
      <w:r w:rsidRPr="00653DB5">
        <w:rPr>
          <w:color w:val="000000" w:themeColor="text1"/>
          <w:sz w:val="26"/>
          <w:szCs w:val="26"/>
        </w:rPr>
        <w:t xml:space="preserve"> bazate pe politici cum ar fi acordarea licenţelor, drepturi de trecere şi alocarea</w:t>
      </w:r>
      <w:r w:rsidR="008D1E51" w:rsidRPr="00653DB5">
        <w:rPr>
          <w:color w:val="000000" w:themeColor="text1"/>
          <w:sz w:val="26"/>
          <w:szCs w:val="26"/>
        </w:rPr>
        <w:t xml:space="preserve"> </w:t>
      </w:r>
      <w:r w:rsidRPr="00653DB5">
        <w:rPr>
          <w:color w:val="000000" w:themeColor="text1"/>
          <w:sz w:val="26"/>
          <w:szCs w:val="26"/>
        </w:rPr>
        <w:t>spectrului de frecvenţe.</w:t>
      </w:r>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Barierele structurale există la intrarea pe piaţă atunci când nivelul tehnologiei, structura costurilor asociate acesteia şi nivelul cererii sunt în măsură să creeze condiţii neechilibrate între furnizorii existenţi şi concurenţii potenţiali, capabile să conducă la împiedicarea sau la întârzierea intrării pe piaţa relevantă a acestora din urmă. De exemplu, barierele structurale pot consta în existenţa pe piaţă a unor avantaje absolute de cost, economii substanţiale de scară şi densitate, constrângeri legate de capacitate, precum şi a unor costuri fixe irecuperabile ridicate pe care le presupune intrarea pe piaţă. Prin urmare, ANRCETI va analiza existenţa barierelor structurale din următoarele puncte de vedere:</w:t>
      </w:r>
    </w:p>
    <w:p w:rsidR="00790A2F" w:rsidRPr="00653DB5" w:rsidRDefault="00F3749E" w:rsidP="008C6767">
      <w:pPr>
        <w:pStyle w:val="Bodytext100"/>
        <w:numPr>
          <w:ilvl w:val="0"/>
          <w:numId w:val="28"/>
        </w:numPr>
        <w:shd w:val="clear" w:color="auto" w:fill="auto"/>
        <w:tabs>
          <w:tab w:val="left" w:pos="709"/>
          <w:tab w:val="left" w:pos="851"/>
        </w:tabs>
        <w:spacing w:before="0" w:after="0" w:line="240" w:lineRule="auto"/>
        <w:ind w:firstLine="567"/>
        <w:rPr>
          <w:color w:val="000000" w:themeColor="text1"/>
          <w:sz w:val="26"/>
          <w:szCs w:val="26"/>
        </w:rPr>
      </w:pPr>
      <w:r w:rsidRPr="00653DB5">
        <w:rPr>
          <w:color w:val="000000" w:themeColor="text1"/>
          <w:sz w:val="26"/>
          <w:szCs w:val="26"/>
        </w:rPr>
        <w:t>nivelul costurilor fixe irecuperabile la intrarea pe piaţă;</w:t>
      </w:r>
    </w:p>
    <w:p w:rsidR="00790A2F" w:rsidRPr="00653DB5" w:rsidRDefault="00F3749E" w:rsidP="008C6767">
      <w:pPr>
        <w:pStyle w:val="Bodytext100"/>
        <w:numPr>
          <w:ilvl w:val="0"/>
          <w:numId w:val="28"/>
        </w:numPr>
        <w:shd w:val="clear" w:color="auto" w:fill="auto"/>
        <w:tabs>
          <w:tab w:val="left" w:pos="709"/>
          <w:tab w:val="left" w:pos="851"/>
        </w:tabs>
        <w:spacing w:before="0" w:after="0" w:line="240" w:lineRule="auto"/>
        <w:ind w:firstLine="567"/>
        <w:rPr>
          <w:color w:val="000000" w:themeColor="text1"/>
          <w:sz w:val="26"/>
          <w:szCs w:val="26"/>
        </w:rPr>
      </w:pPr>
      <w:r w:rsidRPr="00653DB5">
        <w:rPr>
          <w:color w:val="000000" w:themeColor="text1"/>
          <w:sz w:val="26"/>
          <w:szCs w:val="26"/>
        </w:rPr>
        <w:t>economiile de scară şi de densitate;</w:t>
      </w:r>
    </w:p>
    <w:p w:rsidR="00790A2F" w:rsidRPr="00653DB5" w:rsidRDefault="00F3749E" w:rsidP="008C6767">
      <w:pPr>
        <w:pStyle w:val="Bodytext100"/>
        <w:numPr>
          <w:ilvl w:val="0"/>
          <w:numId w:val="28"/>
        </w:numPr>
        <w:shd w:val="clear" w:color="auto" w:fill="auto"/>
        <w:tabs>
          <w:tab w:val="left" w:pos="709"/>
          <w:tab w:val="left" w:pos="851"/>
          <w:tab w:val="left" w:pos="879"/>
        </w:tabs>
        <w:spacing w:before="0" w:after="0" w:line="240" w:lineRule="auto"/>
        <w:ind w:firstLine="567"/>
        <w:rPr>
          <w:color w:val="000000" w:themeColor="text1"/>
          <w:sz w:val="26"/>
          <w:szCs w:val="26"/>
        </w:rPr>
      </w:pPr>
      <w:r w:rsidRPr="00653DB5">
        <w:rPr>
          <w:color w:val="000000" w:themeColor="text1"/>
          <w:sz w:val="26"/>
          <w:szCs w:val="26"/>
        </w:rPr>
        <w:t>controlul unei infrastructuri greu de duplicat;</w:t>
      </w:r>
    </w:p>
    <w:p w:rsidR="00790A2F" w:rsidRPr="00653DB5" w:rsidRDefault="00F3749E" w:rsidP="008C6767">
      <w:pPr>
        <w:pStyle w:val="Bodytext100"/>
        <w:numPr>
          <w:ilvl w:val="0"/>
          <w:numId w:val="28"/>
        </w:numPr>
        <w:shd w:val="clear" w:color="auto" w:fill="auto"/>
        <w:tabs>
          <w:tab w:val="left" w:pos="709"/>
          <w:tab w:val="left" w:pos="851"/>
          <w:tab w:val="left" w:pos="879"/>
        </w:tabs>
        <w:spacing w:before="0" w:after="0" w:line="240" w:lineRule="auto"/>
        <w:ind w:firstLine="567"/>
        <w:rPr>
          <w:color w:val="000000" w:themeColor="text1"/>
          <w:sz w:val="26"/>
          <w:szCs w:val="26"/>
        </w:rPr>
      </w:pPr>
      <w:r w:rsidRPr="00653DB5">
        <w:rPr>
          <w:color w:val="000000" w:themeColor="text1"/>
          <w:sz w:val="26"/>
          <w:szCs w:val="26"/>
        </w:rPr>
        <w:t>avantajul tehnologic;</w:t>
      </w:r>
    </w:p>
    <w:p w:rsidR="00790A2F" w:rsidRPr="00653DB5" w:rsidRDefault="00F3749E" w:rsidP="008C6767">
      <w:pPr>
        <w:pStyle w:val="Bodytext100"/>
        <w:numPr>
          <w:ilvl w:val="0"/>
          <w:numId w:val="28"/>
        </w:numPr>
        <w:shd w:val="clear" w:color="auto" w:fill="auto"/>
        <w:tabs>
          <w:tab w:val="left" w:pos="709"/>
          <w:tab w:val="left" w:pos="851"/>
        </w:tabs>
        <w:spacing w:before="0" w:after="0" w:line="240" w:lineRule="auto"/>
        <w:ind w:firstLine="567"/>
        <w:rPr>
          <w:color w:val="000000" w:themeColor="text1"/>
          <w:sz w:val="26"/>
          <w:szCs w:val="26"/>
        </w:rPr>
      </w:pPr>
      <w:r w:rsidRPr="00653DB5">
        <w:rPr>
          <w:color w:val="000000" w:themeColor="text1"/>
          <w:sz w:val="26"/>
          <w:szCs w:val="26"/>
        </w:rPr>
        <w:t>integrarea pe verticală;</w:t>
      </w:r>
    </w:p>
    <w:p w:rsidR="00790A2F" w:rsidRPr="00653DB5" w:rsidRDefault="00F3749E" w:rsidP="008C6767">
      <w:pPr>
        <w:pStyle w:val="Bodytext100"/>
        <w:numPr>
          <w:ilvl w:val="0"/>
          <w:numId w:val="13"/>
        </w:numPr>
        <w:shd w:val="clear" w:color="auto" w:fill="auto"/>
        <w:tabs>
          <w:tab w:val="left" w:pos="426"/>
          <w:tab w:val="left" w:pos="851"/>
        </w:tabs>
        <w:spacing w:before="0" w:after="0" w:line="240" w:lineRule="auto"/>
        <w:ind w:firstLine="567"/>
        <w:jc w:val="left"/>
        <w:rPr>
          <w:b/>
          <w:color w:val="000000" w:themeColor="text1"/>
          <w:sz w:val="26"/>
          <w:szCs w:val="26"/>
        </w:rPr>
      </w:pPr>
      <w:bookmarkStart w:id="312" w:name="bookmark28"/>
      <w:r w:rsidRPr="00653DB5">
        <w:rPr>
          <w:b/>
          <w:color w:val="000000" w:themeColor="text1"/>
          <w:sz w:val="26"/>
          <w:szCs w:val="26"/>
        </w:rPr>
        <w:t>Costurile fixe irecuperabile, economiile de scară şi de scop</w:t>
      </w:r>
      <w:bookmarkEnd w:id="312"/>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Intrarea pe piaţa serviciilor de linii închiriate segmente-trunchi este asociată cu costuri irecuperabile substanţiale. Pentru a intra pe această piaţă, un furnizor trebuie să îşi extindă reţeaua la nivel naţional, astfel încât să poată furniza servicii de linii închiriate segmente-trunchi.</w:t>
      </w:r>
    </w:p>
    <w:p w:rsidR="00CD2AFC"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 xml:space="preserve">Respectiv </w:t>
      </w:r>
      <w:r w:rsidR="007D5EF0" w:rsidRPr="00653DB5">
        <w:rPr>
          <w:color w:val="000000" w:themeColor="text1"/>
          <w:sz w:val="26"/>
          <w:szCs w:val="26"/>
        </w:rPr>
        <w:t xml:space="preserve">furnizorii </w:t>
      </w:r>
      <w:r w:rsidRPr="00653DB5">
        <w:rPr>
          <w:color w:val="000000" w:themeColor="text1"/>
          <w:sz w:val="26"/>
          <w:szCs w:val="26"/>
        </w:rPr>
        <w:t xml:space="preserve">alternativi care vor să intre pe această piaţă trebuie să suporte costuri fixe considerabile (dezvoltarea infrastructurii de canalizare, costul cablurilor de fibră optică, costurile de instalare a cablurilor de fibră optică) care se transformă într-un avantaj concurenţial pentru </w:t>
      </w:r>
      <w:r w:rsidR="003552FC" w:rsidRPr="00653DB5">
        <w:rPr>
          <w:color w:val="000000" w:themeColor="text1"/>
          <w:sz w:val="26"/>
          <w:szCs w:val="26"/>
        </w:rPr>
        <w:t xml:space="preserve">furnizorul </w:t>
      </w:r>
      <w:r w:rsidRPr="00653DB5">
        <w:rPr>
          <w:color w:val="000000" w:themeColor="text1"/>
          <w:sz w:val="26"/>
          <w:szCs w:val="26"/>
        </w:rPr>
        <w:t xml:space="preserve">istoric. </w:t>
      </w:r>
    </w:p>
    <w:p w:rsidR="00CD2AFC" w:rsidRPr="00653DB5" w:rsidRDefault="00CD2AFC"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F</w:t>
      </w:r>
      <w:r w:rsidR="003552FC" w:rsidRPr="00653DB5">
        <w:rPr>
          <w:color w:val="000000" w:themeColor="text1"/>
          <w:sz w:val="26"/>
          <w:szCs w:val="26"/>
        </w:rPr>
        <w:t>urnizorii</w:t>
      </w:r>
      <w:r w:rsidR="00F3749E" w:rsidRPr="00653DB5">
        <w:rPr>
          <w:color w:val="000000" w:themeColor="text1"/>
          <w:sz w:val="26"/>
          <w:szCs w:val="26"/>
        </w:rPr>
        <w:t xml:space="preserve"> alternativi</w:t>
      </w:r>
      <w:r w:rsidRPr="00653DB5">
        <w:rPr>
          <w:color w:val="000000" w:themeColor="text1"/>
          <w:sz w:val="26"/>
          <w:szCs w:val="26"/>
        </w:rPr>
        <w:t>, în special cei care furnizează servicii de telefonie mobilă au dezvoltat infrastructuri care le permite utilizarea propriilor segmente</w:t>
      </w:r>
      <w:r w:rsidR="006F54F8" w:rsidRPr="00653DB5">
        <w:rPr>
          <w:color w:val="000000" w:themeColor="text1"/>
          <w:sz w:val="26"/>
          <w:szCs w:val="26"/>
        </w:rPr>
        <w:t>-</w:t>
      </w:r>
      <w:r w:rsidRPr="00653DB5">
        <w:rPr>
          <w:color w:val="000000" w:themeColor="text1"/>
          <w:sz w:val="26"/>
          <w:szCs w:val="26"/>
        </w:rPr>
        <w:t xml:space="preserve">trunchi de linii închiriate nu doar pentru </w:t>
      </w:r>
      <w:proofErr w:type="spellStart"/>
      <w:r w:rsidRPr="00653DB5">
        <w:rPr>
          <w:color w:val="000000" w:themeColor="text1"/>
          <w:sz w:val="26"/>
          <w:szCs w:val="26"/>
        </w:rPr>
        <w:t>autofurnizări</w:t>
      </w:r>
      <w:proofErr w:type="spellEnd"/>
      <w:r w:rsidRPr="00653DB5">
        <w:rPr>
          <w:color w:val="000000" w:themeColor="text1"/>
          <w:sz w:val="26"/>
          <w:szCs w:val="26"/>
        </w:rPr>
        <w:t xml:space="preserve">, dar și pentru oferirea </w:t>
      </w:r>
      <w:r w:rsidR="0000309E" w:rsidRPr="00653DB5">
        <w:rPr>
          <w:color w:val="000000" w:themeColor="text1"/>
          <w:sz w:val="26"/>
          <w:szCs w:val="26"/>
        </w:rPr>
        <w:t xml:space="preserve">pe piața cu ridicata a </w:t>
      </w:r>
      <w:r w:rsidRPr="00653DB5">
        <w:rPr>
          <w:color w:val="000000" w:themeColor="text1"/>
          <w:sz w:val="26"/>
          <w:szCs w:val="26"/>
        </w:rPr>
        <w:t xml:space="preserve">serviciului de linii închiriate segmente-trunchi. Astfel, aceștia dispun și oferă capacități trunchi SDH, WDM, MPLS, </w:t>
      </w:r>
      <w:proofErr w:type="spellStart"/>
      <w:r w:rsidRPr="00653DB5">
        <w:rPr>
          <w:color w:val="000000" w:themeColor="text1"/>
          <w:sz w:val="26"/>
          <w:szCs w:val="26"/>
        </w:rPr>
        <w:t>Ethernet</w:t>
      </w:r>
      <w:proofErr w:type="spellEnd"/>
      <w:r w:rsidRPr="00653DB5">
        <w:rPr>
          <w:color w:val="000000" w:themeColor="text1"/>
          <w:sz w:val="26"/>
          <w:szCs w:val="26"/>
        </w:rPr>
        <w:t xml:space="preserve"> peste fibră, </w:t>
      </w:r>
      <w:proofErr w:type="spellStart"/>
      <w:r w:rsidRPr="00653DB5">
        <w:rPr>
          <w:color w:val="000000" w:themeColor="text1"/>
          <w:sz w:val="26"/>
          <w:szCs w:val="26"/>
        </w:rPr>
        <w:t>Ethernet</w:t>
      </w:r>
      <w:proofErr w:type="spellEnd"/>
      <w:r w:rsidRPr="00653DB5">
        <w:rPr>
          <w:color w:val="000000" w:themeColor="text1"/>
          <w:sz w:val="26"/>
          <w:szCs w:val="26"/>
        </w:rPr>
        <w:t xml:space="preserve"> prin radio și SDH prin radio.</w:t>
      </w:r>
      <w:r w:rsidR="004A75B9" w:rsidRPr="00653DB5">
        <w:rPr>
          <w:color w:val="000000" w:themeColor="text1"/>
          <w:sz w:val="26"/>
          <w:szCs w:val="26"/>
        </w:rPr>
        <w:t xml:space="preserve"> </w:t>
      </w:r>
    </w:p>
    <w:p w:rsidR="004A75B9" w:rsidRPr="00653DB5" w:rsidRDefault="004A75B9"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Cu toate acestea, majoritatea furnizorilor noi-intrați pe piață, nu vor avea capacitatea financiară necesară dezvoltării propriei infrastructuri, care le-ar permite furnizarea serviciului cu ridicata de linii închiriate segmente-trunchi.</w:t>
      </w:r>
    </w:p>
    <w:p w:rsidR="00790A2F" w:rsidRPr="00653DB5" w:rsidRDefault="00F3749E" w:rsidP="008C6767">
      <w:pPr>
        <w:pStyle w:val="Bodytext100"/>
        <w:numPr>
          <w:ilvl w:val="0"/>
          <w:numId w:val="13"/>
        </w:numPr>
        <w:shd w:val="clear" w:color="auto" w:fill="auto"/>
        <w:tabs>
          <w:tab w:val="left" w:pos="426"/>
          <w:tab w:val="left" w:pos="851"/>
        </w:tabs>
        <w:spacing w:before="0" w:after="0" w:line="240" w:lineRule="auto"/>
        <w:ind w:firstLine="567"/>
        <w:jc w:val="left"/>
        <w:rPr>
          <w:b/>
          <w:color w:val="000000" w:themeColor="text1"/>
          <w:sz w:val="26"/>
          <w:szCs w:val="26"/>
        </w:rPr>
      </w:pPr>
      <w:bookmarkStart w:id="313" w:name="bookmark29"/>
      <w:r w:rsidRPr="00653DB5">
        <w:rPr>
          <w:b/>
          <w:color w:val="000000" w:themeColor="text1"/>
          <w:sz w:val="26"/>
          <w:szCs w:val="26"/>
        </w:rPr>
        <w:t>Economiile de scară</w:t>
      </w:r>
      <w:r w:rsidR="000D38FF" w:rsidRPr="00653DB5">
        <w:rPr>
          <w:b/>
          <w:color w:val="000000" w:themeColor="text1"/>
          <w:sz w:val="26"/>
          <w:szCs w:val="26"/>
        </w:rPr>
        <w:t xml:space="preserve"> și </w:t>
      </w:r>
      <w:r w:rsidRPr="00653DB5">
        <w:rPr>
          <w:b/>
          <w:color w:val="000000" w:themeColor="text1"/>
          <w:sz w:val="26"/>
          <w:szCs w:val="26"/>
        </w:rPr>
        <w:t xml:space="preserve">gamă de servicii </w:t>
      </w:r>
      <w:bookmarkEnd w:id="313"/>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Economiile de scară sunt determinate de scăderea costurilor fixe pe unitatea de produs ca urmare a creşterii volumului vânzărilor. Economiile de gamă apar ca urmare a avantajului de cost pe care îl are un furnizor care furnizează două sau mai multe produse sau servicii, utilizând aceleaşi mijloace, faţă de cei care furnizează un singur produs sau serviciu.</w:t>
      </w:r>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Furnizarea de servicii de linii închiriate segmente-trunchi se caracterizează prin economii de scară şi de gamă semnificative.</w:t>
      </w:r>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 xml:space="preserve">Furnizarea serviciilor de linii închiriate segmente-trunchi către terţi este asociată cu economii de scară, deoarece costurile cu echipamentele din nodurile de transmisiuni sau din locaţiile altor </w:t>
      </w:r>
      <w:r w:rsidR="003552FC" w:rsidRPr="00653DB5">
        <w:rPr>
          <w:color w:val="000000" w:themeColor="text1"/>
          <w:sz w:val="26"/>
          <w:szCs w:val="26"/>
        </w:rPr>
        <w:t>furnizori</w:t>
      </w:r>
      <w:r w:rsidRPr="00653DB5">
        <w:rPr>
          <w:color w:val="000000" w:themeColor="text1"/>
          <w:sz w:val="26"/>
          <w:szCs w:val="26"/>
        </w:rPr>
        <w:t xml:space="preserve"> nu cresc semnificativ în funcţie de capacitate. Economiile de gamă rezultă din faptul că infrastructura asociată poate fi folosită pentru a furniza mai multe </w:t>
      </w:r>
      <w:r w:rsidRPr="00653DB5">
        <w:rPr>
          <w:color w:val="000000" w:themeColor="text1"/>
          <w:sz w:val="26"/>
          <w:szCs w:val="26"/>
        </w:rPr>
        <w:lastRenderedPageBreak/>
        <w:t>servicii, precum furnizare de capacităţi de transport pentru reţeaua de telefonie fixă, reţeaua de telefonie mobilă, reţeaua de acces la Internet etc.</w:t>
      </w:r>
    </w:p>
    <w:p w:rsidR="00320409" w:rsidRPr="00653DB5" w:rsidRDefault="00320409"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În Republica Moldova, printre furnizorii care se bucură de economiile de scară și de gamă, urmare a deținerii infra</w:t>
      </w:r>
      <w:r w:rsidR="00EA4D23" w:rsidRPr="00653DB5">
        <w:rPr>
          <w:color w:val="000000" w:themeColor="text1"/>
          <w:sz w:val="26"/>
          <w:szCs w:val="26"/>
        </w:rPr>
        <w:t>s</w:t>
      </w:r>
      <w:r w:rsidRPr="00653DB5">
        <w:rPr>
          <w:color w:val="000000" w:themeColor="text1"/>
          <w:sz w:val="26"/>
          <w:szCs w:val="26"/>
        </w:rPr>
        <w:t>tructurii relevante și a furnizării serviciilor de linii închiriate segmente-trunchi sunt: S.A.„Moldtelecom”, S.A.„Orange Moldova”</w:t>
      </w:r>
      <w:r w:rsidR="0000309E" w:rsidRPr="00653DB5">
        <w:rPr>
          <w:color w:val="000000" w:themeColor="text1"/>
          <w:sz w:val="26"/>
          <w:szCs w:val="26"/>
        </w:rPr>
        <w:t xml:space="preserve"> și</w:t>
      </w:r>
      <w:r w:rsidRPr="00653DB5">
        <w:rPr>
          <w:color w:val="000000" w:themeColor="text1"/>
          <w:sz w:val="26"/>
          <w:szCs w:val="26"/>
        </w:rPr>
        <w:t xml:space="preserve"> S.A.„</w:t>
      </w:r>
      <w:proofErr w:type="spellStart"/>
      <w:r w:rsidRPr="00653DB5">
        <w:rPr>
          <w:color w:val="000000" w:themeColor="text1"/>
          <w:sz w:val="26"/>
          <w:szCs w:val="26"/>
        </w:rPr>
        <w:t>Moldcell</w:t>
      </w:r>
      <w:proofErr w:type="spellEnd"/>
      <w:r w:rsidRPr="00653DB5">
        <w:rPr>
          <w:color w:val="000000" w:themeColor="text1"/>
          <w:sz w:val="26"/>
          <w:szCs w:val="26"/>
        </w:rPr>
        <w:t>.</w:t>
      </w:r>
    </w:p>
    <w:p w:rsidR="00790A2F" w:rsidRPr="00653DB5" w:rsidRDefault="00F3749E" w:rsidP="008C6767">
      <w:pPr>
        <w:pStyle w:val="Bodytext100"/>
        <w:numPr>
          <w:ilvl w:val="0"/>
          <w:numId w:val="13"/>
        </w:numPr>
        <w:shd w:val="clear" w:color="auto" w:fill="auto"/>
        <w:tabs>
          <w:tab w:val="left" w:pos="426"/>
          <w:tab w:val="left" w:pos="851"/>
        </w:tabs>
        <w:spacing w:before="0" w:after="0" w:line="240" w:lineRule="auto"/>
        <w:ind w:firstLine="567"/>
        <w:jc w:val="left"/>
        <w:rPr>
          <w:b/>
          <w:color w:val="000000" w:themeColor="text1"/>
          <w:sz w:val="26"/>
          <w:szCs w:val="26"/>
        </w:rPr>
      </w:pPr>
      <w:bookmarkStart w:id="314" w:name="bookmark30"/>
      <w:r w:rsidRPr="00653DB5">
        <w:rPr>
          <w:b/>
          <w:color w:val="000000" w:themeColor="text1"/>
          <w:sz w:val="26"/>
          <w:szCs w:val="26"/>
        </w:rPr>
        <w:t>Controlul unei infrastructuri greu de duplicat</w:t>
      </w:r>
      <w:bookmarkEnd w:id="314"/>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Practic barierele structurale au un impact negativ asupra posibilităţilo</w:t>
      </w:r>
      <w:r w:rsidR="003552FC" w:rsidRPr="00653DB5">
        <w:rPr>
          <w:color w:val="000000" w:themeColor="text1"/>
          <w:sz w:val="26"/>
          <w:szCs w:val="26"/>
        </w:rPr>
        <w:t>r de intrare pe piaţă a noilor furnizor</w:t>
      </w:r>
      <w:r w:rsidRPr="00653DB5">
        <w:rPr>
          <w:color w:val="000000" w:themeColor="text1"/>
          <w:sz w:val="26"/>
          <w:szCs w:val="26"/>
        </w:rPr>
        <w:t>i. Construirea unei infrastructuri noi de linii închiriate ar implica costuri irecuperabile ridicate.</w:t>
      </w:r>
    </w:p>
    <w:p w:rsidR="00485D09" w:rsidRPr="00653DB5" w:rsidRDefault="00485D09" w:rsidP="00485D09">
      <w:pPr>
        <w:widowControl/>
        <w:tabs>
          <w:tab w:val="left" w:pos="1276"/>
        </w:tabs>
        <w:ind w:firstLine="567"/>
        <w:jc w:val="both"/>
        <w:rPr>
          <w:rFonts w:ascii="Times New Roman" w:eastAsia="Times New Roman" w:hAnsi="Times New Roman" w:cs="Times New Roman"/>
          <w:color w:val="000000" w:themeColor="text1"/>
          <w:sz w:val="26"/>
          <w:szCs w:val="26"/>
          <w:shd w:val="clear" w:color="auto" w:fill="FFFFFF"/>
        </w:rPr>
      </w:pPr>
      <w:r w:rsidRPr="00653DB5">
        <w:rPr>
          <w:rFonts w:ascii="Times New Roman" w:eastAsia="Times New Roman" w:hAnsi="Times New Roman" w:cs="Times New Roman"/>
          <w:color w:val="000000" w:themeColor="text1"/>
          <w:sz w:val="26"/>
          <w:szCs w:val="26"/>
          <w:shd w:val="clear" w:color="auto" w:fill="FFFFFF"/>
        </w:rPr>
        <w:t>Aşa cum se precizează în Instrucţiunile Comisiei Europene</w:t>
      </w:r>
      <w:r w:rsidRPr="00653DB5">
        <w:rPr>
          <w:rFonts w:ascii="Times New Roman" w:eastAsia="Times New Roman" w:hAnsi="Times New Roman" w:cs="Times New Roman"/>
          <w:color w:val="000000" w:themeColor="text1"/>
          <w:sz w:val="26"/>
          <w:szCs w:val="26"/>
          <w:shd w:val="clear" w:color="auto" w:fill="FFFFFF"/>
          <w:vertAlign w:val="superscript"/>
        </w:rPr>
        <w:footnoteReference w:id="4"/>
      </w:r>
      <w:r w:rsidRPr="00653DB5">
        <w:rPr>
          <w:rFonts w:ascii="Times New Roman" w:eastAsia="Times New Roman" w:hAnsi="Times New Roman" w:cs="Times New Roman"/>
          <w:color w:val="000000" w:themeColor="text1"/>
          <w:sz w:val="26"/>
          <w:szCs w:val="26"/>
          <w:shd w:val="clear" w:color="auto" w:fill="FFFFFF"/>
        </w:rPr>
        <w:t xml:space="preserve">, </w:t>
      </w:r>
      <w:r w:rsidRPr="00653DB5">
        <w:rPr>
          <w:rFonts w:ascii="Times New Roman" w:eastAsia="Times New Roman" w:hAnsi="Times New Roman" w:cs="Times New Roman"/>
          <w:i/>
          <w:color w:val="000000" w:themeColor="text1"/>
          <w:sz w:val="26"/>
          <w:szCs w:val="26"/>
          <w:shd w:val="clear" w:color="auto" w:fill="FFFFFF"/>
        </w:rPr>
        <w:t>un furnizor poate deţine o poziţie dominantă pe piaţă în cazul în care mărimea sau importanţa reţelei îi conferă posibilitatea manifestării unui comportament independent de ceilalţi furnizori</w:t>
      </w:r>
      <w:r w:rsidRPr="00653DB5">
        <w:rPr>
          <w:rFonts w:ascii="Times New Roman" w:eastAsia="Times New Roman" w:hAnsi="Times New Roman" w:cs="Times New Roman"/>
          <w:color w:val="000000" w:themeColor="text1"/>
          <w:sz w:val="26"/>
          <w:szCs w:val="26"/>
          <w:shd w:val="clear" w:color="auto" w:fill="FFFFFF"/>
        </w:rPr>
        <w:t>. Deţinerea unei infrastructuri semnificative poate conferi un avantaj absolut de cost furnizorului fost monopolist, iar costurile şi perioada de timp implicate în duplicarea unei astfel de infrastructuri pot constitui bariere semnificative la intrarea pe piaţă.</w:t>
      </w:r>
    </w:p>
    <w:p w:rsidR="00485D09" w:rsidRPr="00653DB5" w:rsidRDefault="00485D09" w:rsidP="00485D09">
      <w:pPr>
        <w:widowControl/>
        <w:tabs>
          <w:tab w:val="left" w:pos="1276"/>
        </w:tabs>
        <w:ind w:firstLine="567"/>
        <w:jc w:val="both"/>
        <w:rPr>
          <w:rFonts w:ascii="Times New Roman" w:eastAsia="Times New Roman" w:hAnsi="Times New Roman" w:cs="Times New Roman"/>
          <w:color w:val="000000" w:themeColor="text1"/>
          <w:sz w:val="26"/>
          <w:szCs w:val="26"/>
          <w:shd w:val="clear" w:color="auto" w:fill="FFFFFF"/>
        </w:rPr>
      </w:pPr>
      <w:r w:rsidRPr="00653DB5">
        <w:rPr>
          <w:rFonts w:ascii="Times New Roman" w:eastAsia="Times New Roman" w:hAnsi="Times New Roman" w:cs="Times New Roman"/>
          <w:color w:val="000000" w:themeColor="text1"/>
          <w:sz w:val="26"/>
          <w:szCs w:val="26"/>
          <w:shd w:val="clear" w:color="auto" w:fill="FFFFFF"/>
        </w:rPr>
        <w:t>Efectuarea unei analize în acest sens a fost posibilă datorită datelor raportate de furnizori în baza chestionarelor privind infrastructura relevantă reţelelor de</w:t>
      </w:r>
      <w:r w:rsidR="00D7786C" w:rsidRPr="00653DB5">
        <w:rPr>
          <w:rFonts w:ascii="Times New Roman" w:eastAsia="Times New Roman" w:hAnsi="Times New Roman" w:cs="Times New Roman"/>
          <w:color w:val="000000" w:themeColor="text1"/>
          <w:sz w:val="26"/>
          <w:szCs w:val="26"/>
          <w:shd w:val="clear" w:color="auto" w:fill="FFFFFF"/>
        </w:rPr>
        <w:t xml:space="preserve"> segmente-trunchi de</w:t>
      </w:r>
      <w:r w:rsidRPr="00653DB5">
        <w:rPr>
          <w:rFonts w:ascii="Times New Roman" w:eastAsia="Times New Roman" w:hAnsi="Times New Roman" w:cs="Times New Roman"/>
          <w:color w:val="000000" w:themeColor="text1"/>
          <w:sz w:val="26"/>
          <w:szCs w:val="26"/>
          <w:shd w:val="clear" w:color="auto" w:fill="FFFFFF"/>
        </w:rPr>
        <w:t xml:space="preserve"> linii închiriate. Informaţia dată este prezentată în tabelul nr. </w:t>
      </w:r>
      <w:r w:rsidR="00D7786C" w:rsidRPr="00653DB5">
        <w:rPr>
          <w:rFonts w:ascii="Times New Roman" w:eastAsia="Times New Roman" w:hAnsi="Times New Roman" w:cs="Times New Roman"/>
          <w:color w:val="000000" w:themeColor="text1"/>
          <w:sz w:val="26"/>
          <w:szCs w:val="26"/>
          <w:shd w:val="clear" w:color="auto" w:fill="FFFFFF"/>
        </w:rPr>
        <w:t>1</w:t>
      </w:r>
      <w:r w:rsidRPr="00653DB5">
        <w:rPr>
          <w:rFonts w:ascii="Times New Roman" w:eastAsia="Times New Roman" w:hAnsi="Times New Roman" w:cs="Times New Roman"/>
          <w:color w:val="000000" w:themeColor="text1"/>
          <w:sz w:val="26"/>
          <w:szCs w:val="26"/>
          <w:shd w:val="clear" w:color="auto" w:fill="FFFFFF"/>
        </w:rPr>
        <w:t>.</w:t>
      </w:r>
    </w:p>
    <w:p w:rsidR="00485D09" w:rsidRPr="00653DB5" w:rsidRDefault="00485D09" w:rsidP="00485D09">
      <w:pPr>
        <w:widowControl/>
        <w:jc w:val="both"/>
        <w:rPr>
          <w:rFonts w:ascii="Times New Roman" w:eastAsia="Times New Roman" w:hAnsi="Times New Roman" w:cs="Times New Roman"/>
          <w:color w:val="000000" w:themeColor="text1"/>
          <w:sz w:val="26"/>
          <w:szCs w:val="26"/>
          <w:shd w:val="clear" w:color="auto" w:fill="FFFFFF"/>
        </w:rPr>
      </w:pPr>
    </w:p>
    <w:p w:rsidR="00485D09" w:rsidRPr="00653DB5" w:rsidRDefault="00485D09" w:rsidP="00047108">
      <w:pPr>
        <w:widowControl/>
        <w:jc w:val="both"/>
        <w:rPr>
          <w:rFonts w:ascii="Times New Roman" w:eastAsia="Times New Roman" w:hAnsi="Times New Roman" w:cs="Times New Roman"/>
          <w:b/>
          <w:color w:val="000000" w:themeColor="text1"/>
          <w:sz w:val="26"/>
          <w:szCs w:val="26"/>
          <w:shd w:val="clear" w:color="auto" w:fill="FFFFFF"/>
        </w:rPr>
      </w:pPr>
      <w:r w:rsidRPr="00653DB5">
        <w:rPr>
          <w:rFonts w:ascii="Times New Roman" w:eastAsia="Times New Roman" w:hAnsi="Times New Roman" w:cs="Times New Roman"/>
          <w:b/>
          <w:color w:val="000000" w:themeColor="text1"/>
          <w:sz w:val="26"/>
          <w:szCs w:val="26"/>
          <w:shd w:val="clear" w:color="auto" w:fill="FFFFFF"/>
        </w:rPr>
        <w:t xml:space="preserve">Tabelul nr. 1: Cota de piaţă în funcţie de lungimea infrastructurii relevante pentru </w:t>
      </w:r>
    </w:p>
    <w:p w:rsidR="00485D09" w:rsidRPr="00653DB5" w:rsidRDefault="00485D09" w:rsidP="00047108">
      <w:pPr>
        <w:widowControl/>
        <w:jc w:val="both"/>
        <w:rPr>
          <w:rFonts w:ascii="Times New Roman" w:eastAsia="Times New Roman" w:hAnsi="Times New Roman" w:cs="Times New Roman"/>
          <w:b/>
          <w:color w:val="000000" w:themeColor="text1"/>
          <w:sz w:val="26"/>
          <w:szCs w:val="26"/>
          <w:shd w:val="clear" w:color="auto" w:fill="FFFFFF"/>
        </w:rPr>
      </w:pPr>
      <w:r w:rsidRPr="00653DB5">
        <w:rPr>
          <w:rFonts w:ascii="Times New Roman" w:eastAsia="Times New Roman" w:hAnsi="Times New Roman" w:cs="Times New Roman"/>
          <w:b/>
          <w:color w:val="000000" w:themeColor="text1"/>
          <w:sz w:val="26"/>
          <w:szCs w:val="26"/>
          <w:shd w:val="clear" w:color="auto" w:fill="FFFFFF"/>
        </w:rPr>
        <w:t>furnizarea de servicii de linii închiriate segmente-trunchi</w:t>
      </w:r>
    </w:p>
    <w:p w:rsidR="00485D09" w:rsidRPr="00653DB5" w:rsidRDefault="00485D09" w:rsidP="00485D09">
      <w:pPr>
        <w:widowControl/>
        <w:jc w:val="center"/>
        <w:rPr>
          <w:rFonts w:ascii="Times New Roman" w:eastAsia="Times New Roman" w:hAnsi="Times New Roman" w:cs="Times New Roman"/>
          <w:b/>
          <w:color w:val="000000" w:themeColor="text1"/>
          <w:sz w:val="26"/>
          <w:szCs w:val="26"/>
          <w:shd w:val="clear" w:color="auto" w:fill="FFFFFF"/>
        </w:rPr>
      </w:pPr>
      <w:r w:rsidRPr="00653DB5">
        <w:rPr>
          <w:rFonts w:ascii="Times New Roman" w:eastAsia="Times New Roman" w:hAnsi="Times New Roman" w:cs="Times New Roman"/>
          <w:b/>
          <w:color w:val="000000" w:themeColor="text1"/>
          <w:sz w:val="26"/>
          <w:szCs w:val="26"/>
          <w:shd w:val="clear" w:color="auto" w:fill="FFFFFF"/>
        </w:rPr>
        <w:t xml:space="preserve"> </w:t>
      </w:r>
    </w:p>
    <w:tbl>
      <w:tblPr>
        <w:tblW w:w="8893" w:type="dxa"/>
        <w:jc w:val="center"/>
        <w:tblInd w:w="-1667"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3979"/>
        <w:gridCol w:w="1417"/>
        <w:gridCol w:w="1102"/>
        <w:gridCol w:w="1018"/>
        <w:gridCol w:w="1377"/>
      </w:tblGrid>
      <w:tr w:rsidR="00791F3A" w:rsidRPr="00653DB5" w:rsidTr="00CB6948">
        <w:trPr>
          <w:trHeight w:val="510"/>
          <w:jc w:val="center"/>
        </w:trPr>
        <w:tc>
          <w:tcPr>
            <w:tcW w:w="3979" w:type="dxa"/>
            <w:shd w:val="clear" w:color="auto" w:fill="auto"/>
            <w:noWrap/>
            <w:vAlign w:val="center"/>
            <w:hideMark/>
          </w:tcPr>
          <w:p w:rsidR="00791F3A" w:rsidRPr="00653DB5" w:rsidRDefault="00730932" w:rsidP="00265CB7">
            <w:pPr>
              <w:widowControl/>
              <w:jc w:val="center"/>
              <w:rPr>
                <w:rFonts w:ascii="Times New Roman" w:eastAsia="Times New Roman" w:hAnsi="Times New Roman" w:cs="Times New Roman"/>
                <w:b/>
                <w:color w:val="000000" w:themeColor="text1"/>
                <w:sz w:val="26"/>
                <w:szCs w:val="26"/>
              </w:rPr>
            </w:pPr>
            <w:r w:rsidRPr="00653DB5">
              <w:rPr>
                <w:rFonts w:ascii="Times New Roman" w:eastAsia="Times New Roman" w:hAnsi="Times New Roman" w:cs="Times New Roman"/>
                <w:b/>
                <w:color w:val="000000" w:themeColor="text1"/>
                <w:sz w:val="26"/>
                <w:szCs w:val="26"/>
              </w:rPr>
              <w:t>Furnizor</w:t>
            </w:r>
          </w:p>
        </w:tc>
        <w:tc>
          <w:tcPr>
            <w:tcW w:w="1417" w:type="dxa"/>
            <w:tcBorders>
              <w:right w:val="single" w:sz="4" w:space="0" w:color="auto"/>
            </w:tcBorders>
            <w:shd w:val="clear" w:color="auto" w:fill="auto"/>
            <w:vAlign w:val="center"/>
          </w:tcPr>
          <w:p w:rsidR="00791F3A" w:rsidRPr="00653DB5" w:rsidRDefault="00791F3A">
            <w:pPr>
              <w:widowControl/>
              <w:jc w:val="center"/>
              <w:rPr>
                <w:rFonts w:ascii="Times New Roman" w:eastAsia="Times New Roman" w:hAnsi="Times New Roman" w:cs="Times New Roman"/>
                <w:b/>
                <w:bCs/>
                <w:color w:val="000000" w:themeColor="text1"/>
                <w:sz w:val="26"/>
                <w:szCs w:val="26"/>
              </w:rPr>
            </w:pPr>
            <w:r w:rsidRPr="00653DB5">
              <w:rPr>
                <w:rFonts w:ascii="Times New Roman" w:eastAsia="Times New Roman" w:hAnsi="Times New Roman" w:cs="Times New Roman"/>
                <w:b/>
                <w:bCs/>
                <w:color w:val="000000" w:themeColor="text1"/>
                <w:sz w:val="26"/>
                <w:szCs w:val="26"/>
              </w:rPr>
              <w:t>2013</w:t>
            </w:r>
          </w:p>
        </w:tc>
        <w:tc>
          <w:tcPr>
            <w:tcW w:w="1102" w:type="dxa"/>
            <w:shd w:val="clear" w:color="auto" w:fill="auto"/>
            <w:vAlign w:val="center"/>
          </w:tcPr>
          <w:p w:rsidR="00791F3A" w:rsidRPr="00653DB5" w:rsidRDefault="00791F3A">
            <w:pPr>
              <w:widowControl/>
              <w:jc w:val="center"/>
              <w:rPr>
                <w:rFonts w:ascii="Times New Roman" w:eastAsia="Times New Roman" w:hAnsi="Times New Roman" w:cs="Times New Roman"/>
                <w:b/>
                <w:bCs/>
                <w:color w:val="000000" w:themeColor="text1"/>
                <w:sz w:val="26"/>
                <w:szCs w:val="26"/>
              </w:rPr>
            </w:pPr>
            <w:r w:rsidRPr="00653DB5">
              <w:rPr>
                <w:rFonts w:ascii="Times New Roman" w:eastAsia="Times New Roman" w:hAnsi="Times New Roman" w:cs="Times New Roman"/>
                <w:b/>
                <w:bCs/>
                <w:color w:val="000000" w:themeColor="text1"/>
                <w:sz w:val="26"/>
                <w:szCs w:val="26"/>
              </w:rPr>
              <w:t>2014</w:t>
            </w:r>
          </w:p>
        </w:tc>
        <w:tc>
          <w:tcPr>
            <w:tcW w:w="1018" w:type="dxa"/>
            <w:tcBorders>
              <w:left w:val="single" w:sz="4" w:space="0" w:color="auto"/>
            </w:tcBorders>
            <w:vAlign w:val="center"/>
          </w:tcPr>
          <w:p w:rsidR="00791F3A" w:rsidRPr="00653DB5" w:rsidRDefault="003D1D7E">
            <w:pPr>
              <w:widowControl/>
              <w:jc w:val="center"/>
              <w:rPr>
                <w:rFonts w:ascii="Times New Roman" w:eastAsia="Times New Roman" w:hAnsi="Times New Roman" w:cs="Times New Roman"/>
                <w:b/>
                <w:bCs/>
                <w:color w:val="000000" w:themeColor="text1"/>
                <w:sz w:val="26"/>
                <w:szCs w:val="26"/>
              </w:rPr>
            </w:pPr>
            <w:r w:rsidRPr="00653DB5">
              <w:rPr>
                <w:rFonts w:ascii="Times New Roman" w:eastAsia="Times New Roman" w:hAnsi="Times New Roman" w:cs="Times New Roman"/>
                <w:b/>
                <w:bCs/>
                <w:color w:val="000000" w:themeColor="text1"/>
                <w:sz w:val="26"/>
                <w:szCs w:val="26"/>
              </w:rPr>
              <w:t>2015</w:t>
            </w:r>
          </w:p>
        </w:tc>
        <w:tc>
          <w:tcPr>
            <w:tcW w:w="1377" w:type="dxa"/>
            <w:tcBorders>
              <w:left w:val="single" w:sz="4" w:space="0" w:color="auto"/>
            </w:tcBorders>
            <w:vAlign w:val="center"/>
          </w:tcPr>
          <w:p w:rsidR="00791F3A" w:rsidRPr="00653DB5" w:rsidRDefault="003D1D7E">
            <w:pPr>
              <w:widowControl/>
              <w:jc w:val="center"/>
              <w:rPr>
                <w:rFonts w:ascii="Times New Roman" w:eastAsia="Times New Roman" w:hAnsi="Times New Roman" w:cs="Times New Roman"/>
                <w:b/>
                <w:bCs/>
                <w:color w:val="000000" w:themeColor="text1"/>
                <w:sz w:val="26"/>
                <w:szCs w:val="26"/>
              </w:rPr>
            </w:pPr>
            <w:r w:rsidRPr="00653DB5">
              <w:rPr>
                <w:rFonts w:ascii="Times New Roman" w:eastAsia="Times New Roman" w:hAnsi="Times New Roman" w:cs="Times New Roman"/>
                <w:b/>
                <w:bCs/>
                <w:color w:val="000000" w:themeColor="text1"/>
                <w:sz w:val="26"/>
                <w:szCs w:val="26"/>
              </w:rPr>
              <w:t>2016</w:t>
            </w:r>
          </w:p>
        </w:tc>
      </w:tr>
      <w:tr w:rsidR="003D1D7E" w:rsidRPr="00653DB5" w:rsidTr="00CB6948">
        <w:trPr>
          <w:trHeight w:val="315"/>
          <w:jc w:val="center"/>
        </w:trPr>
        <w:tc>
          <w:tcPr>
            <w:tcW w:w="3979" w:type="dxa"/>
            <w:shd w:val="clear" w:color="auto" w:fill="auto"/>
            <w:noWrap/>
            <w:vAlign w:val="center"/>
            <w:hideMark/>
          </w:tcPr>
          <w:p w:rsidR="003D1D7E" w:rsidRPr="00653DB5" w:rsidRDefault="003D1D7E" w:rsidP="00730932">
            <w:pPr>
              <w:widowControl/>
              <w:rPr>
                <w:rFonts w:ascii="Times New Roman" w:eastAsia="Times New Roman" w:hAnsi="Times New Roman" w:cs="Times New Roman"/>
                <w:b/>
                <w:bCs/>
                <w:color w:val="000000" w:themeColor="text1"/>
                <w:sz w:val="26"/>
                <w:szCs w:val="26"/>
              </w:rPr>
            </w:pPr>
            <w:r w:rsidRPr="00653DB5">
              <w:rPr>
                <w:rFonts w:ascii="Times New Roman" w:eastAsia="Times New Roman" w:hAnsi="Times New Roman" w:cs="Times New Roman"/>
                <w:b/>
                <w:bCs/>
                <w:color w:val="000000" w:themeColor="text1"/>
                <w:sz w:val="26"/>
                <w:szCs w:val="26"/>
              </w:rPr>
              <w:t>Moldtelecom</w:t>
            </w:r>
          </w:p>
        </w:tc>
        <w:tc>
          <w:tcPr>
            <w:tcW w:w="1417" w:type="dxa"/>
            <w:tcBorders>
              <w:right w:val="single" w:sz="4" w:space="0" w:color="auto"/>
            </w:tcBorders>
            <w:shd w:val="clear" w:color="auto" w:fill="auto"/>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63.27%</w:t>
            </w:r>
          </w:p>
        </w:tc>
        <w:tc>
          <w:tcPr>
            <w:tcW w:w="1102" w:type="dxa"/>
            <w:shd w:val="clear" w:color="auto" w:fill="auto"/>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58.59%</w:t>
            </w:r>
          </w:p>
        </w:tc>
        <w:tc>
          <w:tcPr>
            <w:tcW w:w="1018" w:type="dxa"/>
            <w:tcBorders>
              <w:left w:val="single" w:sz="4" w:space="0" w:color="auto"/>
            </w:tcBorders>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48.17%</w:t>
            </w:r>
          </w:p>
        </w:tc>
        <w:tc>
          <w:tcPr>
            <w:tcW w:w="1377" w:type="dxa"/>
            <w:tcBorders>
              <w:left w:val="single" w:sz="4" w:space="0" w:color="auto"/>
            </w:tcBorders>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51.70%</w:t>
            </w:r>
          </w:p>
        </w:tc>
      </w:tr>
      <w:tr w:rsidR="003D1D7E" w:rsidRPr="00653DB5" w:rsidTr="00CB6948">
        <w:trPr>
          <w:trHeight w:val="315"/>
          <w:jc w:val="center"/>
        </w:trPr>
        <w:tc>
          <w:tcPr>
            <w:tcW w:w="3979" w:type="dxa"/>
            <w:shd w:val="clear" w:color="auto" w:fill="auto"/>
            <w:noWrap/>
            <w:vAlign w:val="center"/>
            <w:hideMark/>
          </w:tcPr>
          <w:p w:rsidR="003D1D7E" w:rsidRPr="00653DB5" w:rsidRDefault="003D1D7E" w:rsidP="00730932">
            <w:pPr>
              <w:widowControl/>
              <w:rPr>
                <w:rFonts w:ascii="Times New Roman" w:eastAsia="Times New Roman" w:hAnsi="Times New Roman" w:cs="Times New Roman"/>
                <w:b/>
                <w:bCs/>
                <w:color w:val="000000" w:themeColor="text1"/>
                <w:sz w:val="26"/>
                <w:szCs w:val="26"/>
              </w:rPr>
            </w:pPr>
            <w:proofErr w:type="spellStart"/>
            <w:r w:rsidRPr="00653DB5">
              <w:rPr>
                <w:rFonts w:ascii="Times New Roman" w:eastAsia="Times New Roman" w:hAnsi="Times New Roman" w:cs="Times New Roman"/>
                <w:b/>
                <w:bCs/>
                <w:color w:val="000000" w:themeColor="text1"/>
                <w:sz w:val="26"/>
                <w:szCs w:val="26"/>
              </w:rPr>
              <w:t>Arax</w:t>
            </w:r>
            <w:proofErr w:type="spellEnd"/>
            <w:r w:rsidRPr="00653DB5">
              <w:rPr>
                <w:rFonts w:ascii="Times New Roman" w:eastAsia="Times New Roman" w:hAnsi="Times New Roman" w:cs="Times New Roman"/>
                <w:b/>
                <w:bCs/>
                <w:color w:val="000000" w:themeColor="text1"/>
                <w:sz w:val="26"/>
                <w:szCs w:val="26"/>
              </w:rPr>
              <w:t xml:space="preserve"> Impex</w:t>
            </w:r>
          </w:p>
        </w:tc>
        <w:tc>
          <w:tcPr>
            <w:tcW w:w="1417" w:type="dxa"/>
            <w:tcBorders>
              <w:right w:val="single" w:sz="4" w:space="0" w:color="auto"/>
            </w:tcBorders>
            <w:shd w:val="clear" w:color="auto" w:fill="auto"/>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0.61%</w:t>
            </w:r>
          </w:p>
        </w:tc>
        <w:tc>
          <w:tcPr>
            <w:tcW w:w="1102" w:type="dxa"/>
            <w:shd w:val="clear" w:color="auto" w:fill="auto"/>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0.61%</w:t>
            </w:r>
          </w:p>
        </w:tc>
        <w:tc>
          <w:tcPr>
            <w:tcW w:w="1018" w:type="dxa"/>
            <w:tcBorders>
              <w:left w:val="single" w:sz="4" w:space="0" w:color="auto"/>
            </w:tcBorders>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0.61%</w:t>
            </w:r>
          </w:p>
        </w:tc>
        <w:tc>
          <w:tcPr>
            <w:tcW w:w="1377" w:type="dxa"/>
            <w:tcBorders>
              <w:left w:val="single" w:sz="4" w:space="0" w:color="auto"/>
            </w:tcBorders>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0.57%</w:t>
            </w:r>
          </w:p>
        </w:tc>
      </w:tr>
      <w:tr w:rsidR="003D1D7E" w:rsidRPr="00653DB5" w:rsidTr="00CB6948">
        <w:trPr>
          <w:trHeight w:val="315"/>
          <w:jc w:val="center"/>
        </w:trPr>
        <w:tc>
          <w:tcPr>
            <w:tcW w:w="3979" w:type="dxa"/>
            <w:shd w:val="clear" w:color="auto" w:fill="auto"/>
            <w:noWrap/>
            <w:vAlign w:val="center"/>
            <w:hideMark/>
          </w:tcPr>
          <w:p w:rsidR="003D1D7E" w:rsidRPr="00653DB5" w:rsidRDefault="003D1D7E" w:rsidP="00730932">
            <w:pPr>
              <w:widowControl/>
              <w:rPr>
                <w:rFonts w:ascii="Times New Roman" w:eastAsia="Times New Roman" w:hAnsi="Times New Roman" w:cs="Times New Roman"/>
                <w:b/>
                <w:bCs/>
                <w:color w:val="000000" w:themeColor="text1"/>
                <w:sz w:val="26"/>
                <w:szCs w:val="26"/>
              </w:rPr>
            </w:pPr>
            <w:r w:rsidRPr="00653DB5">
              <w:rPr>
                <w:rFonts w:ascii="Times New Roman" w:eastAsia="Times New Roman" w:hAnsi="Times New Roman" w:cs="Times New Roman"/>
                <w:b/>
                <w:bCs/>
                <w:color w:val="000000" w:themeColor="text1"/>
                <w:sz w:val="26"/>
                <w:szCs w:val="26"/>
              </w:rPr>
              <w:t>Orange Moldova</w:t>
            </w:r>
          </w:p>
        </w:tc>
        <w:tc>
          <w:tcPr>
            <w:tcW w:w="1417" w:type="dxa"/>
            <w:tcBorders>
              <w:right w:val="single" w:sz="4" w:space="0" w:color="auto"/>
            </w:tcBorders>
            <w:shd w:val="clear" w:color="auto" w:fill="auto"/>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19.83%</w:t>
            </w:r>
          </w:p>
        </w:tc>
        <w:tc>
          <w:tcPr>
            <w:tcW w:w="1102" w:type="dxa"/>
            <w:shd w:val="clear" w:color="auto" w:fill="auto"/>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23.91%</w:t>
            </w:r>
          </w:p>
        </w:tc>
        <w:tc>
          <w:tcPr>
            <w:tcW w:w="1018" w:type="dxa"/>
            <w:tcBorders>
              <w:left w:val="single" w:sz="4" w:space="0" w:color="auto"/>
            </w:tcBorders>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23.50%</w:t>
            </w:r>
          </w:p>
        </w:tc>
        <w:tc>
          <w:tcPr>
            <w:tcW w:w="1377" w:type="dxa"/>
            <w:tcBorders>
              <w:left w:val="single" w:sz="4" w:space="0" w:color="auto"/>
            </w:tcBorders>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20.22%</w:t>
            </w:r>
          </w:p>
        </w:tc>
      </w:tr>
      <w:tr w:rsidR="003D1D7E" w:rsidRPr="00653DB5" w:rsidTr="00CB6948">
        <w:trPr>
          <w:trHeight w:val="315"/>
          <w:jc w:val="center"/>
        </w:trPr>
        <w:tc>
          <w:tcPr>
            <w:tcW w:w="3979" w:type="dxa"/>
            <w:shd w:val="clear" w:color="auto" w:fill="auto"/>
            <w:noWrap/>
            <w:vAlign w:val="center"/>
            <w:hideMark/>
          </w:tcPr>
          <w:p w:rsidR="003D1D7E" w:rsidRPr="00653DB5" w:rsidRDefault="00A17EC7" w:rsidP="00730932">
            <w:pPr>
              <w:widowControl/>
              <w:rPr>
                <w:rFonts w:ascii="Times New Roman" w:eastAsia="Times New Roman" w:hAnsi="Times New Roman" w:cs="Times New Roman"/>
                <w:b/>
                <w:bCs/>
                <w:color w:val="000000" w:themeColor="text1"/>
                <w:sz w:val="26"/>
                <w:szCs w:val="26"/>
              </w:rPr>
            </w:pPr>
            <w:proofErr w:type="spellStart"/>
            <w:r w:rsidRPr="00653DB5">
              <w:rPr>
                <w:rFonts w:ascii="Times New Roman" w:eastAsia="Times New Roman" w:hAnsi="Times New Roman" w:cs="Times New Roman"/>
                <w:b/>
                <w:bCs/>
                <w:color w:val="000000" w:themeColor="text1"/>
                <w:sz w:val="26"/>
                <w:szCs w:val="26"/>
              </w:rPr>
              <w:t>Moldcell</w:t>
            </w:r>
            <w:proofErr w:type="spellEnd"/>
          </w:p>
        </w:tc>
        <w:tc>
          <w:tcPr>
            <w:tcW w:w="1417" w:type="dxa"/>
            <w:tcBorders>
              <w:right w:val="single" w:sz="4" w:space="0" w:color="auto"/>
            </w:tcBorders>
            <w:shd w:val="clear" w:color="auto" w:fill="auto"/>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14.90%</w:t>
            </w:r>
          </w:p>
        </w:tc>
        <w:tc>
          <w:tcPr>
            <w:tcW w:w="1102" w:type="dxa"/>
            <w:shd w:val="clear" w:color="auto" w:fill="auto"/>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15.28%</w:t>
            </w:r>
          </w:p>
        </w:tc>
        <w:tc>
          <w:tcPr>
            <w:tcW w:w="1018" w:type="dxa"/>
            <w:tcBorders>
              <w:left w:val="single" w:sz="4" w:space="0" w:color="auto"/>
            </w:tcBorders>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21.02%</w:t>
            </w:r>
          </w:p>
        </w:tc>
        <w:tc>
          <w:tcPr>
            <w:tcW w:w="1377" w:type="dxa"/>
            <w:tcBorders>
              <w:left w:val="single" w:sz="4" w:space="0" w:color="auto"/>
            </w:tcBorders>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19.66%</w:t>
            </w:r>
          </w:p>
        </w:tc>
      </w:tr>
      <w:tr w:rsidR="003D1D7E" w:rsidRPr="00653DB5" w:rsidTr="00CB6948">
        <w:trPr>
          <w:trHeight w:val="330"/>
          <w:jc w:val="center"/>
        </w:trPr>
        <w:tc>
          <w:tcPr>
            <w:tcW w:w="3979" w:type="dxa"/>
            <w:shd w:val="clear" w:color="auto" w:fill="auto"/>
            <w:noWrap/>
            <w:vAlign w:val="center"/>
          </w:tcPr>
          <w:p w:rsidR="003D1D7E" w:rsidRPr="00653DB5" w:rsidRDefault="003D1D7E" w:rsidP="00730932">
            <w:pPr>
              <w:widowControl/>
              <w:rPr>
                <w:rFonts w:ascii="Times New Roman" w:eastAsia="Times New Roman" w:hAnsi="Times New Roman" w:cs="Times New Roman"/>
                <w:b/>
                <w:bCs/>
                <w:color w:val="000000" w:themeColor="text1"/>
                <w:sz w:val="26"/>
                <w:szCs w:val="26"/>
              </w:rPr>
            </w:pPr>
            <w:proofErr w:type="spellStart"/>
            <w:r w:rsidRPr="00653DB5">
              <w:rPr>
                <w:rFonts w:ascii="Times New Roman" w:eastAsia="Times New Roman" w:hAnsi="Times New Roman" w:cs="Times New Roman"/>
                <w:b/>
                <w:bCs/>
                <w:color w:val="000000" w:themeColor="text1"/>
                <w:sz w:val="26"/>
                <w:szCs w:val="26"/>
              </w:rPr>
              <w:t>Starnet</w:t>
            </w:r>
            <w:proofErr w:type="spellEnd"/>
            <w:r w:rsidRPr="00653DB5">
              <w:rPr>
                <w:rFonts w:ascii="Times New Roman" w:eastAsia="Times New Roman" w:hAnsi="Times New Roman" w:cs="Times New Roman"/>
                <w:b/>
                <w:bCs/>
                <w:color w:val="000000" w:themeColor="text1"/>
                <w:sz w:val="26"/>
                <w:szCs w:val="26"/>
              </w:rPr>
              <w:t xml:space="preserve"> Servicii</w:t>
            </w:r>
          </w:p>
        </w:tc>
        <w:tc>
          <w:tcPr>
            <w:tcW w:w="1417" w:type="dxa"/>
            <w:tcBorders>
              <w:right w:val="single" w:sz="4" w:space="0" w:color="auto"/>
            </w:tcBorders>
            <w:shd w:val="clear" w:color="auto" w:fill="auto"/>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p>
        </w:tc>
        <w:tc>
          <w:tcPr>
            <w:tcW w:w="1102" w:type="dxa"/>
            <w:shd w:val="clear" w:color="auto" w:fill="auto"/>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p>
        </w:tc>
        <w:tc>
          <w:tcPr>
            <w:tcW w:w="1018" w:type="dxa"/>
            <w:tcBorders>
              <w:left w:val="single" w:sz="4" w:space="0" w:color="auto"/>
            </w:tcBorders>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4.64%</w:t>
            </w:r>
          </w:p>
        </w:tc>
        <w:tc>
          <w:tcPr>
            <w:tcW w:w="1377" w:type="dxa"/>
            <w:tcBorders>
              <w:left w:val="single" w:sz="4" w:space="0" w:color="auto"/>
            </w:tcBorders>
            <w:vAlign w:val="bottom"/>
          </w:tcPr>
          <w:p w:rsidR="003D1D7E"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hAnsi="Times New Roman" w:cs="Times New Roman"/>
                <w:sz w:val="26"/>
                <w:szCs w:val="26"/>
              </w:rPr>
              <w:t>5.76%</w:t>
            </w:r>
          </w:p>
        </w:tc>
      </w:tr>
      <w:tr w:rsidR="00791F3A" w:rsidRPr="00653DB5" w:rsidTr="00CB6948">
        <w:trPr>
          <w:trHeight w:val="330"/>
          <w:jc w:val="center"/>
        </w:trPr>
        <w:tc>
          <w:tcPr>
            <w:tcW w:w="3979" w:type="dxa"/>
            <w:shd w:val="clear" w:color="auto" w:fill="auto"/>
            <w:noWrap/>
            <w:vAlign w:val="center"/>
            <w:hideMark/>
          </w:tcPr>
          <w:p w:rsidR="00791F3A" w:rsidRPr="00653DB5" w:rsidRDefault="00791F3A" w:rsidP="00730932">
            <w:pPr>
              <w:widowControl/>
              <w:rPr>
                <w:rFonts w:ascii="Times New Roman" w:eastAsia="Times New Roman" w:hAnsi="Times New Roman" w:cs="Times New Roman"/>
                <w:b/>
                <w:bCs/>
                <w:color w:val="000000" w:themeColor="text1"/>
                <w:sz w:val="26"/>
                <w:szCs w:val="26"/>
              </w:rPr>
            </w:pPr>
            <w:r w:rsidRPr="00653DB5">
              <w:rPr>
                <w:rFonts w:ascii="Times New Roman" w:eastAsia="Times New Roman" w:hAnsi="Times New Roman" w:cs="Times New Roman"/>
                <w:b/>
                <w:bCs/>
                <w:color w:val="000000" w:themeColor="text1"/>
                <w:sz w:val="26"/>
                <w:szCs w:val="26"/>
              </w:rPr>
              <w:t>Alţi furnizori</w:t>
            </w:r>
          </w:p>
        </w:tc>
        <w:tc>
          <w:tcPr>
            <w:tcW w:w="1417" w:type="dxa"/>
            <w:tcBorders>
              <w:right w:val="single" w:sz="4" w:space="0" w:color="auto"/>
            </w:tcBorders>
            <w:shd w:val="clear" w:color="auto" w:fill="auto"/>
          </w:tcPr>
          <w:p w:rsidR="00791F3A"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eastAsia="Times New Roman" w:hAnsi="Times New Roman" w:cs="Times New Roman"/>
                <w:bCs/>
                <w:color w:val="000000" w:themeColor="text1"/>
                <w:sz w:val="26"/>
                <w:szCs w:val="26"/>
              </w:rPr>
              <w:t>1,39%</w:t>
            </w:r>
          </w:p>
        </w:tc>
        <w:tc>
          <w:tcPr>
            <w:tcW w:w="1102" w:type="dxa"/>
            <w:shd w:val="clear" w:color="auto" w:fill="auto"/>
          </w:tcPr>
          <w:p w:rsidR="00791F3A" w:rsidRPr="00653DB5" w:rsidRDefault="003D1D7E"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eastAsia="Times New Roman" w:hAnsi="Times New Roman" w:cs="Times New Roman"/>
                <w:bCs/>
                <w:color w:val="000000" w:themeColor="text1"/>
                <w:sz w:val="26"/>
                <w:szCs w:val="26"/>
              </w:rPr>
              <w:t>1,61%</w:t>
            </w:r>
          </w:p>
        </w:tc>
        <w:tc>
          <w:tcPr>
            <w:tcW w:w="1018" w:type="dxa"/>
            <w:tcBorders>
              <w:left w:val="single" w:sz="4" w:space="0" w:color="auto"/>
            </w:tcBorders>
            <w:vAlign w:val="bottom"/>
          </w:tcPr>
          <w:p w:rsidR="00791F3A" w:rsidRPr="00653DB5" w:rsidRDefault="00791F3A"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eastAsia="Times New Roman" w:hAnsi="Times New Roman" w:cs="Times New Roman"/>
                <w:bCs/>
                <w:color w:val="000000" w:themeColor="text1"/>
                <w:sz w:val="26"/>
                <w:szCs w:val="26"/>
              </w:rPr>
              <w:t>2,</w:t>
            </w:r>
            <w:r w:rsidR="003D1D7E" w:rsidRPr="00653DB5">
              <w:rPr>
                <w:rFonts w:ascii="Times New Roman" w:eastAsia="Times New Roman" w:hAnsi="Times New Roman" w:cs="Times New Roman"/>
                <w:bCs/>
                <w:color w:val="000000" w:themeColor="text1"/>
                <w:sz w:val="26"/>
                <w:szCs w:val="26"/>
              </w:rPr>
              <w:t>07</w:t>
            </w:r>
            <w:r w:rsidRPr="00653DB5">
              <w:rPr>
                <w:rFonts w:ascii="Times New Roman" w:eastAsia="Times New Roman" w:hAnsi="Times New Roman" w:cs="Times New Roman"/>
                <w:bCs/>
                <w:color w:val="000000" w:themeColor="text1"/>
                <w:sz w:val="26"/>
                <w:szCs w:val="26"/>
              </w:rPr>
              <w:t>%</w:t>
            </w:r>
          </w:p>
        </w:tc>
        <w:tc>
          <w:tcPr>
            <w:tcW w:w="1377" w:type="dxa"/>
            <w:tcBorders>
              <w:left w:val="single" w:sz="4" w:space="0" w:color="auto"/>
            </w:tcBorders>
            <w:vAlign w:val="bottom"/>
          </w:tcPr>
          <w:p w:rsidR="00791F3A" w:rsidRPr="00653DB5" w:rsidRDefault="00791F3A" w:rsidP="00CB6948">
            <w:pPr>
              <w:widowControl/>
              <w:jc w:val="right"/>
              <w:rPr>
                <w:rFonts w:ascii="Times New Roman" w:eastAsia="Times New Roman" w:hAnsi="Times New Roman" w:cs="Times New Roman"/>
                <w:bCs/>
                <w:color w:val="000000" w:themeColor="text1"/>
                <w:sz w:val="26"/>
                <w:szCs w:val="26"/>
              </w:rPr>
            </w:pPr>
            <w:r w:rsidRPr="00653DB5">
              <w:rPr>
                <w:rFonts w:ascii="Times New Roman" w:eastAsia="Times New Roman" w:hAnsi="Times New Roman" w:cs="Times New Roman"/>
                <w:bCs/>
                <w:color w:val="000000" w:themeColor="text1"/>
                <w:sz w:val="26"/>
                <w:szCs w:val="26"/>
              </w:rPr>
              <w:t>2,</w:t>
            </w:r>
            <w:r w:rsidR="003D1D7E" w:rsidRPr="00653DB5">
              <w:rPr>
                <w:rFonts w:ascii="Times New Roman" w:eastAsia="Times New Roman" w:hAnsi="Times New Roman" w:cs="Times New Roman"/>
                <w:bCs/>
                <w:color w:val="000000" w:themeColor="text1"/>
                <w:sz w:val="26"/>
                <w:szCs w:val="26"/>
              </w:rPr>
              <w:t>03</w:t>
            </w:r>
            <w:r w:rsidRPr="00653DB5">
              <w:rPr>
                <w:rFonts w:ascii="Times New Roman" w:eastAsia="Times New Roman" w:hAnsi="Times New Roman" w:cs="Times New Roman"/>
                <w:bCs/>
                <w:color w:val="000000" w:themeColor="text1"/>
                <w:sz w:val="26"/>
                <w:szCs w:val="26"/>
              </w:rPr>
              <w:t>%</w:t>
            </w:r>
          </w:p>
        </w:tc>
      </w:tr>
    </w:tbl>
    <w:p w:rsidR="00485D09" w:rsidRPr="00653DB5" w:rsidRDefault="00FB1894" w:rsidP="00485D09">
      <w:pPr>
        <w:widowControl/>
        <w:jc w:val="both"/>
        <w:rPr>
          <w:rFonts w:ascii="Times New Roman" w:eastAsia="Times New Roman" w:hAnsi="Times New Roman" w:cs="Times New Roman"/>
          <w:i/>
          <w:color w:val="000000" w:themeColor="text1"/>
          <w:sz w:val="26"/>
          <w:szCs w:val="26"/>
          <w:shd w:val="clear" w:color="auto" w:fill="FFFFFF"/>
        </w:rPr>
      </w:pPr>
      <w:r>
        <w:rPr>
          <w:rFonts w:ascii="Times New Roman" w:eastAsia="Times New Roman" w:hAnsi="Times New Roman" w:cs="Times New Roman"/>
          <w:color w:val="000000" w:themeColor="text1"/>
          <w:sz w:val="26"/>
          <w:szCs w:val="26"/>
          <w:lang w:eastAsia="ru-RU"/>
        </w:rPr>
        <w:t xml:space="preserve">   </w:t>
      </w:r>
      <w:r w:rsidR="00485D09" w:rsidRPr="00653DB5">
        <w:rPr>
          <w:rFonts w:ascii="Times New Roman" w:eastAsia="Times New Roman" w:hAnsi="Times New Roman" w:cs="Times New Roman"/>
          <w:i/>
          <w:color w:val="000000" w:themeColor="text1"/>
          <w:sz w:val="26"/>
          <w:szCs w:val="26"/>
          <w:lang w:eastAsia="ru-RU"/>
        </w:rPr>
        <w:t>Sursa: ANRCETI, pe baza datelor</w:t>
      </w:r>
      <w:r>
        <w:rPr>
          <w:rFonts w:ascii="Times New Roman" w:eastAsia="Times New Roman" w:hAnsi="Times New Roman" w:cs="Times New Roman"/>
          <w:i/>
          <w:color w:val="000000" w:themeColor="text1"/>
          <w:sz w:val="26"/>
          <w:szCs w:val="26"/>
          <w:lang w:eastAsia="ru-RU"/>
        </w:rPr>
        <w:t xml:space="preserve"> </w:t>
      </w:r>
      <w:r w:rsidR="00485D09" w:rsidRPr="00653DB5">
        <w:rPr>
          <w:rFonts w:ascii="Times New Roman" w:eastAsia="Times New Roman" w:hAnsi="Times New Roman" w:cs="Times New Roman"/>
          <w:i/>
          <w:color w:val="000000" w:themeColor="text1"/>
          <w:sz w:val="26"/>
          <w:szCs w:val="26"/>
          <w:lang w:eastAsia="ru-RU"/>
        </w:rPr>
        <w:t>raportate de furnizori</w:t>
      </w:r>
    </w:p>
    <w:p w:rsidR="00485D09" w:rsidRPr="00653DB5" w:rsidRDefault="00485D09" w:rsidP="00485D09">
      <w:pPr>
        <w:widowControl/>
        <w:tabs>
          <w:tab w:val="left" w:pos="1276"/>
        </w:tabs>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p>
    <w:p w:rsidR="00485D09" w:rsidRPr="00653DB5" w:rsidRDefault="00485D09" w:rsidP="00485D09">
      <w:pPr>
        <w:widowControl/>
        <w:tabs>
          <w:tab w:val="left" w:pos="1276"/>
        </w:tabs>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color w:val="000000" w:themeColor="text1"/>
          <w:sz w:val="26"/>
          <w:szCs w:val="26"/>
          <w:lang w:eastAsia="ru-RU"/>
        </w:rPr>
        <w:t xml:space="preserve">Conform datelor prezentate, S.A.„Moldtelecom” deţine controlul asupra infrastructurii cu cea mai mare acoperire la nivel de teritoriu, care poate fi utilizată pentru furnizare de servicii de linii închiriate sau poate servi drept substituent pentru servicii de linii închiriate. Conform tabelului nr. </w:t>
      </w:r>
      <w:r w:rsidR="00D7786C" w:rsidRPr="00653DB5">
        <w:rPr>
          <w:rFonts w:ascii="Times New Roman" w:eastAsia="Times New Roman" w:hAnsi="Times New Roman" w:cs="Times New Roman"/>
          <w:color w:val="000000" w:themeColor="text1"/>
          <w:sz w:val="26"/>
          <w:szCs w:val="26"/>
          <w:lang w:eastAsia="ru-RU"/>
        </w:rPr>
        <w:t>1</w:t>
      </w:r>
      <w:r w:rsidRPr="00653DB5">
        <w:rPr>
          <w:rFonts w:ascii="Times New Roman" w:eastAsia="Times New Roman" w:hAnsi="Times New Roman" w:cs="Times New Roman"/>
          <w:color w:val="000000" w:themeColor="text1"/>
          <w:sz w:val="26"/>
          <w:szCs w:val="26"/>
          <w:lang w:eastAsia="ru-RU"/>
        </w:rPr>
        <w:t xml:space="preserve"> aceasta </w:t>
      </w:r>
      <w:r w:rsidR="00C36024">
        <w:rPr>
          <w:rFonts w:ascii="Times New Roman" w:eastAsia="Times New Roman" w:hAnsi="Times New Roman" w:cs="Times New Roman"/>
          <w:color w:val="000000" w:themeColor="text1"/>
          <w:sz w:val="26"/>
          <w:szCs w:val="26"/>
          <w:lang w:eastAsia="ru-RU"/>
        </w:rPr>
        <w:t>în 2016 s-a situat</w:t>
      </w:r>
      <w:r w:rsidRPr="00653DB5">
        <w:rPr>
          <w:rFonts w:ascii="Times New Roman" w:eastAsia="Times New Roman" w:hAnsi="Times New Roman" w:cs="Times New Roman"/>
          <w:color w:val="000000" w:themeColor="text1"/>
          <w:sz w:val="26"/>
          <w:szCs w:val="26"/>
          <w:lang w:eastAsia="ru-RU"/>
        </w:rPr>
        <w:t xml:space="preserve"> la nivel de </w:t>
      </w:r>
      <w:r w:rsidR="00C350D1" w:rsidRPr="00653DB5">
        <w:rPr>
          <w:rFonts w:ascii="Times New Roman" w:eastAsia="Times New Roman" w:hAnsi="Times New Roman" w:cs="Times New Roman"/>
          <w:color w:val="000000" w:themeColor="text1"/>
          <w:sz w:val="26"/>
          <w:szCs w:val="26"/>
          <w:lang w:eastAsia="ru-RU"/>
        </w:rPr>
        <w:t>51</w:t>
      </w:r>
      <w:r w:rsidRPr="00653DB5">
        <w:rPr>
          <w:rFonts w:ascii="Times New Roman" w:eastAsia="Times New Roman" w:hAnsi="Times New Roman" w:cs="Times New Roman"/>
          <w:color w:val="000000" w:themeColor="text1"/>
          <w:sz w:val="26"/>
          <w:szCs w:val="26"/>
          <w:lang w:eastAsia="ru-RU"/>
        </w:rPr>
        <w:t>,</w:t>
      </w:r>
      <w:r w:rsidR="00C350D1" w:rsidRPr="00653DB5">
        <w:rPr>
          <w:rFonts w:ascii="Times New Roman" w:eastAsia="Times New Roman" w:hAnsi="Times New Roman" w:cs="Times New Roman"/>
          <w:color w:val="000000" w:themeColor="text1"/>
          <w:sz w:val="26"/>
          <w:szCs w:val="26"/>
          <w:lang w:eastAsia="ru-RU"/>
        </w:rPr>
        <w:t>7</w:t>
      </w:r>
      <w:r w:rsidR="00D7786C" w:rsidRPr="00653DB5">
        <w:rPr>
          <w:rFonts w:ascii="Times New Roman" w:eastAsia="Times New Roman" w:hAnsi="Times New Roman" w:cs="Times New Roman"/>
          <w:color w:val="000000" w:themeColor="text1"/>
          <w:sz w:val="26"/>
          <w:szCs w:val="26"/>
          <w:lang w:eastAsia="ru-RU"/>
        </w:rPr>
        <w:t>0</w:t>
      </w:r>
      <w:r w:rsidRPr="00653DB5">
        <w:rPr>
          <w:rFonts w:ascii="Times New Roman" w:eastAsia="Times New Roman" w:hAnsi="Times New Roman" w:cs="Times New Roman"/>
          <w:color w:val="000000" w:themeColor="text1"/>
          <w:sz w:val="26"/>
          <w:szCs w:val="26"/>
          <w:lang w:eastAsia="ru-RU"/>
        </w:rPr>
        <w:t xml:space="preserve">%. </w:t>
      </w:r>
    </w:p>
    <w:p w:rsidR="00410366" w:rsidRPr="00653DB5" w:rsidRDefault="00853851" w:rsidP="00853851">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Totodată, prezența furnizorilor serviciilor de telefonie mobilă se face simțită pe piața furnizării serviciilor de linii închiriate segmente-trunchi. Aceștia au investit în dezvoltarea propriei infrastructuri la nivel național, devenind astfel</w:t>
      </w:r>
      <w:r w:rsidR="00B35BC9" w:rsidRPr="00653DB5">
        <w:rPr>
          <w:rFonts w:ascii="Times New Roman" w:hAnsi="Times New Roman" w:cs="Times New Roman"/>
          <w:color w:val="000000" w:themeColor="text1"/>
          <w:sz w:val="26"/>
          <w:szCs w:val="26"/>
        </w:rPr>
        <w:t xml:space="preserve"> </w:t>
      </w:r>
      <w:r w:rsidR="00485D09" w:rsidRPr="00653DB5">
        <w:rPr>
          <w:rFonts w:ascii="Times New Roman" w:hAnsi="Times New Roman" w:cs="Times New Roman"/>
          <w:color w:val="000000" w:themeColor="text1"/>
          <w:sz w:val="26"/>
          <w:szCs w:val="26"/>
        </w:rPr>
        <w:t xml:space="preserve">furnizori </w:t>
      </w:r>
      <w:r w:rsidR="0000309E" w:rsidRPr="00653DB5">
        <w:rPr>
          <w:rFonts w:ascii="Times New Roman" w:hAnsi="Times New Roman" w:cs="Times New Roman"/>
          <w:color w:val="000000" w:themeColor="text1"/>
          <w:sz w:val="26"/>
          <w:szCs w:val="26"/>
        </w:rPr>
        <w:t xml:space="preserve">efectivi sau </w:t>
      </w:r>
      <w:r w:rsidR="00485D09" w:rsidRPr="00653DB5">
        <w:rPr>
          <w:rFonts w:ascii="Times New Roman" w:hAnsi="Times New Roman" w:cs="Times New Roman"/>
          <w:color w:val="000000" w:themeColor="text1"/>
          <w:sz w:val="26"/>
          <w:szCs w:val="26"/>
        </w:rPr>
        <w:t>potenţiali de servicii de linii închiriate</w:t>
      </w:r>
      <w:r w:rsidR="001246BE" w:rsidRPr="00653DB5">
        <w:rPr>
          <w:rFonts w:ascii="Times New Roman" w:hAnsi="Times New Roman" w:cs="Times New Roman"/>
          <w:color w:val="000000" w:themeColor="text1"/>
          <w:sz w:val="26"/>
          <w:szCs w:val="26"/>
        </w:rPr>
        <w:t xml:space="preserve"> segmente-trunchi</w:t>
      </w:r>
      <w:r w:rsidR="00485D09" w:rsidRPr="00653DB5">
        <w:rPr>
          <w:rFonts w:ascii="Times New Roman" w:hAnsi="Times New Roman" w:cs="Times New Roman"/>
          <w:color w:val="000000" w:themeColor="text1"/>
          <w:sz w:val="26"/>
          <w:szCs w:val="26"/>
        </w:rPr>
        <w:t>.</w:t>
      </w:r>
    </w:p>
    <w:p w:rsidR="00410366" w:rsidRPr="00653DB5" w:rsidRDefault="00B35BC9" w:rsidP="00853851">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rPr>
      </w:pPr>
      <w:r w:rsidRPr="00653DB5">
        <w:rPr>
          <w:rFonts w:ascii="Times New Roman" w:eastAsia="Times New Roman" w:hAnsi="Times New Roman" w:cs="Times New Roman"/>
          <w:color w:val="000000" w:themeColor="text1"/>
          <w:sz w:val="26"/>
          <w:szCs w:val="26"/>
          <w:lang w:eastAsia="ru-RU"/>
        </w:rPr>
        <w:lastRenderedPageBreak/>
        <w:t>Aria de acoperire a reţele</w:t>
      </w:r>
      <w:r w:rsidR="00663C52" w:rsidRPr="00653DB5">
        <w:rPr>
          <w:rFonts w:ascii="Times New Roman" w:eastAsia="Times New Roman" w:hAnsi="Times New Roman" w:cs="Times New Roman"/>
          <w:color w:val="000000" w:themeColor="text1"/>
          <w:sz w:val="26"/>
          <w:szCs w:val="26"/>
          <w:lang w:eastAsia="ru-RU"/>
        </w:rPr>
        <w:t>lor</w:t>
      </w:r>
      <w:r w:rsidRPr="00653DB5">
        <w:rPr>
          <w:rFonts w:ascii="Times New Roman" w:eastAsia="Times New Roman" w:hAnsi="Times New Roman" w:cs="Times New Roman"/>
          <w:color w:val="000000" w:themeColor="text1"/>
          <w:sz w:val="26"/>
          <w:szCs w:val="26"/>
          <w:lang w:eastAsia="ru-RU"/>
        </w:rPr>
        <w:t xml:space="preserve"> S.A.„Moldtelecom”, S.A.„Orange Moldova” și S.A.„</w:t>
      </w:r>
      <w:proofErr w:type="spellStart"/>
      <w:r w:rsidRPr="00653DB5">
        <w:rPr>
          <w:rFonts w:ascii="Times New Roman" w:eastAsia="Times New Roman" w:hAnsi="Times New Roman" w:cs="Times New Roman"/>
          <w:color w:val="000000" w:themeColor="text1"/>
          <w:sz w:val="26"/>
          <w:szCs w:val="26"/>
          <w:lang w:eastAsia="ru-RU"/>
        </w:rPr>
        <w:t>Moldcell</w:t>
      </w:r>
      <w:proofErr w:type="spellEnd"/>
      <w:r w:rsidRPr="00653DB5">
        <w:rPr>
          <w:rFonts w:ascii="Times New Roman" w:eastAsia="Times New Roman" w:hAnsi="Times New Roman" w:cs="Times New Roman"/>
          <w:color w:val="000000" w:themeColor="text1"/>
          <w:sz w:val="26"/>
          <w:szCs w:val="26"/>
          <w:lang w:eastAsia="ru-RU"/>
        </w:rPr>
        <w:t>” permit acestor furnizori să suporte costuri incrementale relativ scăzute în momentul instalării de capacităţi</w:t>
      </w:r>
      <w:r w:rsidR="00FB1894">
        <w:rPr>
          <w:rFonts w:ascii="Times New Roman" w:eastAsia="Times New Roman" w:hAnsi="Times New Roman" w:cs="Times New Roman"/>
          <w:color w:val="000000" w:themeColor="text1"/>
          <w:sz w:val="26"/>
          <w:szCs w:val="26"/>
          <w:lang w:eastAsia="ru-RU"/>
        </w:rPr>
        <w:t xml:space="preserve"> </w:t>
      </w:r>
      <w:r w:rsidRPr="00653DB5">
        <w:rPr>
          <w:rFonts w:ascii="Times New Roman" w:eastAsia="Times New Roman" w:hAnsi="Times New Roman" w:cs="Times New Roman"/>
          <w:color w:val="000000" w:themeColor="text1"/>
          <w:sz w:val="26"/>
          <w:szCs w:val="26"/>
          <w:lang w:eastAsia="ru-RU"/>
        </w:rPr>
        <w:t>ce pot fi utilizate pentru a furniza servicii de linii închiriate segmente-trunchi.</w:t>
      </w:r>
    </w:p>
    <w:p w:rsidR="00BD534C" w:rsidRPr="00653DB5" w:rsidRDefault="00E609DD" w:rsidP="00485D09">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 xml:space="preserve"> În compartimentul ce urmează</w:t>
      </w:r>
      <w:r w:rsidR="00A17EC7" w:rsidRPr="00653DB5">
        <w:rPr>
          <w:rFonts w:ascii="Times New Roman" w:hAnsi="Times New Roman" w:cs="Times New Roman"/>
          <w:color w:val="000000" w:themeColor="text1"/>
          <w:sz w:val="26"/>
          <w:szCs w:val="26"/>
        </w:rPr>
        <w:t>,</w:t>
      </w:r>
      <w:r w:rsidRPr="00653DB5">
        <w:rPr>
          <w:rFonts w:ascii="Times New Roman" w:hAnsi="Times New Roman" w:cs="Times New Roman"/>
          <w:color w:val="000000" w:themeColor="text1"/>
          <w:sz w:val="26"/>
          <w:szCs w:val="26"/>
        </w:rPr>
        <w:t xml:space="preserve"> „Tendințe spre o concurență efectivă”</w:t>
      </w:r>
      <w:r w:rsidR="00A17EC7" w:rsidRPr="00653DB5">
        <w:rPr>
          <w:rFonts w:ascii="Times New Roman" w:hAnsi="Times New Roman" w:cs="Times New Roman"/>
          <w:color w:val="000000" w:themeColor="text1"/>
          <w:sz w:val="26"/>
          <w:szCs w:val="26"/>
        </w:rPr>
        <w:t>,</w:t>
      </w:r>
      <w:r w:rsidRPr="00653DB5">
        <w:rPr>
          <w:rFonts w:ascii="Times New Roman" w:hAnsi="Times New Roman" w:cs="Times New Roman"/>
          <w:color w:val="000000" w:themeColor="text1"/>
          <w:sz w:val="26"/>
          <w:szCs w:val="26"/>
        </w:rPr>
        <w:t xml:space="preserve"> sunt analizate cotele de piață a furnizorilor de servicii de linii închiriate segmente-trunchi</w:t>
      </w:r>
      <w:r w:rsidR="002B074B" w:rsidRPr="00653DB5">
        <w:rPr>
          <w:rFonts w:ascii="Times New Roman" w:hAnsi="Times New Roman" w:cs="Times New Roman"/>
          <w:color w:val="000000" w:themeColor="text1"/>
          <w:sz w:val="26"/>
          <w:szCs w:val="26"/>
        </w:rPr>
        <w:t>, care arată că</w:t>
      </w:r>
      <w:r w:rsidR="00A17EC7" w:rsidRPr="00653DB5">
        <w:rPr>
          <w:rFonts w:ascii="Times New Roman" w:hAnsi="Times New Roman" w:cs="Times New Roman"/>
          <w:color w:val="000000" w:themeColor="text1"/>
          <w:sz w:val="26"/>
          <w:szCs w:val="26"/>
        </w:rPr>
        <w:t xml:space="preserve"> în pofida deținerii co</w:t>
      </w:r>
      <w:r w:rsidR="00EA4D23" w:rsidRPr="00653DB5">
        <w:rPr>
          <w:rFonts w:ascii="Times New Roman" w:hAnsi="Times New Roman" w:cs="Times New Roman"/>
          <w:color w:val="000000" w:themeColor="text1"/>
          <w:sz w:val="26"/>
          <w:szCs w:val="26"/>
        </w:rPr>
        <w:t>n</w:t>
      </w:r>
      <w:r w:rsidR="00A17EC7" w:rsidRPr="00653DB5">
        <w:rPr>
          <w:rFonts w:ascii="Times New Roman" w:hAnsi="Times New Roman" w:cs="Times New Roman"/>
          <w:color w:val="000000" w:themeColor="text1"/>
          <w:sz w:val="26"/>
          <w:szCs w:val="26"/>
        </w:rPr>
        <w:t>trolului asupra celei mai dezvoltate infrastructuri,</w:t>
      </w:r>
      <w:r w:rsidR="002B074B" w:rsidRPr="00653DB5">
        <w:rPr>
          <w:rFonts w:ascii="Times New Roman" w:hAnsi="Times New Roman" w:cs="Times New Roman"/>
          <w:color w:val="000000" w:themeColor="text1"/>
          <w:sz w:val="26"/>
          <w:szCs w:val="26"/>
        </w:rPr>
        <w:t xml:space="preserve"> S.A.„Moldtelecom” </w:t>
      </w:r>
      <w:r w:rsidR="00A17EC7" w:rsidRPr="00653DB5">
        <w:rPr>
          <w:rFonts w:ascii="Times New Roman" w:hAnsi="Times New Roman" w:cs="Times New Roman"/>
          <w:color w:val="000000" w:themeColor="text1"/>
          <w:sz w:val="26"/>
          <w:szCs w:val="26"/>
        </w:rPr>
        <w:t>înregistrează o cotă de piață de</w:t>
      </w:r>
      <w:r w:rsidR="002B074B" w:rsidRPr="00653DB5">
        <w:rPr>
          <w:rFonts w:ascii="Times New Roman" w:hAnsi="Times New Roman" w:cs="Times New Roman"/>
          <w:color w:val="000000" w:themeColor="text1"/>
          <w:sz w:val="26"/>
          <w:szCs w:val="26"/>
        </w:rPr>
        <w:t xml:space="preserve"> </w:t>
      </w:r>
      <w:r w:rsidR="00A17EC7" w:rsidRPr="00653DB5">
        <w:rPr>
          <w:rFonts w:ascii="Times New Roman" w:hAnsi="Times New Roman" w:cs="Times New Roman"/>
          <w:color w:val="000000" w:themeColor="text1"/>
          <w:sz w:val="26"/>
          <w:szCs w:val="26"/>
        </w:rPr>
        <w:t>39</w:t>
      </w:r>
      <w:r w:rsidR="002B074B" w:rsidRPr="00653DB5">
        <w:rPr>
          <w:rFonts w:ascii="Times New Roman" w:hAnsi="Times New Roman" w:cs="Times New Roman"/>
          <w:color w:val="000000" w:themeColor="text1"/>
          <w:sz w:val="26"/>
          <w:szCs w:val="26"/>
        </w:rPr>
        <w:t>,</w:t>
      </w:r>
      <w:r w:rsidR="00A17EC7" w:rsidRPr="00653DB5">
        <w:rPr>
          <w:rFonts w:ascii="Times New Roman" w:hAnsi="Times New Roman" w:cs="Times New Roman"/>
          <w:color w:val="000000" w:themeColor="text1"/>
          <w:sz w:val="26"/>
          <w:szCs w:val="26"/>
        </w:rPr>
        <w:t>86</w:t>
      </w:r>
      <w:r w:rsidR="002B074B" w:rsidRPr="00653DB5">
        <w:rPr>
          <w:rFonts w:ascii="Times New Roman" w:hAnsi="Times New Roman" w:cs="Times New Roman"/>
          <w:color w:val="000000" w:themeColor="text1"/>
          <w:sz w:val="26"/>
          <w:szCs w:val="26"/>
        </w:rPr>
        <w:t>% în funcție de numărul circuitelor furnizate de linii închiriate segmente-trunchi și 3</w:t>
      </w:r>
      <w:r w:rsidR="00A17EC7" w:rsidRPr="00653DB5">
        <w:rPr>
          <w:rFonts w:ascii="Times New Roman" w:hAnsi="Times New Roman" w:cs="Times New Roman"/>
          <w:color w:val="000000" w:themeColor="text1"/>
          <w:sz w:val="26"/>
          <w:szCs w:val="26"/>
        </w:rPr>
        <w:t>7</w:t>
      </w:r>
      <w:r w:rsidR="002B074B" w:rsidRPr="00653DB5">
        <w:rPr>
          <w:rFonts w:ascii="Times New Roman" w:hAnsi="Times New Roman" w:cs="Times New Roman"/>
          <w:color w:val="000000" w:themeColor="text1"/>
          <w:sz w:val="26"/>
          <w:szCs w:val="26"/>
        </w:rPr>
        <w:t>,7</w:t>
      </w:r>
      <w:r w:rsidR="00A17EC7" w:rsidRPr="00653DB5">
        <w:rPr>
          <w:rFonts w:ascii="Times New Roman" w:hAnsi="Times New Roman" w:cs="Times New Roman"/>
          <w:color w:val="000000" w:themeColor="text1"/>
          <w:sz w:val="26"/>
          <w:szCs w:val="26"/>
        </w:rPr>
        <w:t>4</w:t>
      </w:r>
      <w:r w:rsidR="002B074B" w:rsidRPr="00653DB5">
        <w:rPr>
          <w:rFonts w:ascii="Times New Roman" w:hAnsi="Times New Roman" w:cs="Times New Roman"/>
          <w:color w:val="000000" w:themeColor="text1"/>
          <w:sz w:val="26"/>
          <w:szCs w:val="26"/>
        </w:rPr>
        <w:t>% cota de piață în funcție de venitul obținut din furnizarea liniilor închiriate segmente-trunchi.</w:t>
      </w:r>
      <w:r w:rsidR="00A17EC7" w:rsidRPr="00653DB5">
        <w:rPr>
          <w:rFonts w:ascii="Times New Roman" w:hAnsi="Times New Roman" w:cs="Times New Roman"/>
          <w:color w:val="000000" w:themeColor="text1"/>
          <w:sz w:val="26"/>
          <w:szCs w:val="26"/>
        </w:rPr>
        <w:t xml:space="preserve"> Această situație relevă faptul că f</w:t>
      </w:r>
      <w:r w:rsidR="002B074B" w:rsidRPr="00653DB5">
        <w:rPr>
          <w:rFonts w:ascii="Times New Roman" w:hAnsi="Times New Roman" w:cs="Times New Roman"/>
          <w:color w:val="000000" w:themeColor="text1"/>
          <w:sz w:val="26"/>
          <w:szCs w:val="26"/>
        </w:rPr>
        <w:t xml:space="preserve">urnizorii alternativi utilizează propria infrastructură nu doar </w:t>
      </w:r>
      <w:r w:rsidR="00162EC1" w:rsidRPr="00653DB5">
        <w:rPr>
          <w:rFonts w:ascii="Times New Roman" w:hAnsi="Times New Roman" w:cs="Times New Roman"/>
          <w:color w:val="000000" w:themeColor="text1"/>
          <w:sz w:val="26"/>
          <w:szCs w:val="26"/>
        </w:rPr>
        <w:t xml:space="preserve">pentru </w:t>
      </w:r>
      <w:proofErr w:type="spellStart"/>
      <w:r w:rsidR="00162EC1" w:rsidRPr="00653DB5">
        <w:rPr>
          <w:rFonts w:ascii="Times New Roman" w:hAnsi="Times New Roman" w:cs="Times New Roman"/>
          <w:color w:val="000000" w:themeColor="text1"/>
          <w:sz w:val="26"/>
          <w:szCs w:val="26"/>
        </w:rPr>
        <w:t>autofurnizări</w:t>
      </w:r>
      <w:proofErr w:type="spellEnd"/>
      <w:r w:rsidR="00162EC1" w:rsidRPr="00653DB5">
        <w:rPr>
          <w:rFonts w:ascii="Times New Roman" w:hAnsi="Times New Roman" w:cs="Times New Roman"/>
          <w:color w:val="000000" w:themeColor="text1"/>
          <w:sz w:val="26"/>
          <w:szCs w:val="26"/>
        </w:rPr>
        <w:t xml:space="preserve"> către propriile activităţi</w:t>
      </w:r>
      <w:r w:rsidR="002B074B" w:rsidRPr="00653DB5">
        <w:rPr>
          <w:rFonts w:ascii="Times New Roman" w:hAnsi="Times New Roman" w:cs="Times New Roman"/>
          <w:color w:val="000000" w:themeColor="text1"/>
          <w:sz w:val="26"/>
          <w:szCs w:val="26"/>
        </w:rPr>
        <w:t>, dar și pentru furnizarea cu ridicata a unor segmente-trunchi de linii închiriate.</w:t>
      </w:r>
    </w:p>
    <w:p w:rsidR="002B074B" w:rsidRPr="00653DB5" w:rsidRDefault="00BD534C" w:rsidP="00485D09">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Totodată, conform datelor raportate de furnizori, ponderea ocupării fibrelor optice indică asupra disponibilității capacităților de linii închiriate segmente-trunchi ce pot eventual fi furnizate.</w:t>
      </w:r>
      <w:r w:rsidR="00FB1894">
        <w:rPr>
          <w:rFonts w:ascii="Times New Roman" w:hAnsi="Times New Roman" w:cs="Times New Roman"/>
          <w:color w:val="000000" w:themeColor="text1"/>
          <w:sz w:val="26"/>
          <w:szCs w:val="26"/>
        </w:rPr>
        <w:t xml:space="preserve"> </w:t>
      </w:r>
    </w:p>
    <w:p w:rsidR="007274E8" w:rsidRPr="00653DB5" w:rsidRDefault="00C826A4" w:rsidP="00485D09">
      <w:pPr>
        <w:widowControl/>
        <w:tabs>
          <w:tab w:val="left" w:pos="1276"/>
        </w:tabs>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r w:rsidRPr="00653DB5">
        <w:rPr>
          <w:rFonts w:ascii="Times New Roman" w:hAnsi="Times New Roman" w:cs="Times New Roman"/>
          <w:color w:val="000000" w:themeColor="text1"/>
          <w:sz w:val="26"/>
          <w:szCs w:val="26"/>
        </w:rPr>
        <w:t>Prin urmare, concluzia ANRCETI este</w:t>
      </w:r>
      <w:r w:rsidR="007274E8" w:rsidRPr="00653DB5">
        <w:rPr>
          <w:rFonts w:ascii="Times New Roman" w:hAnsi="Times New Roman" w:cs="Times New Roman"/>
          <w:color w:val="000000" w:themeColor="text1"/>
          <w:sz w:val="26"/>
          <w:szCs w:val="26"/>
        </w:rPr>
        <w:t xml:space="preserve"> următoarea: cu toate</w:t>
      </w:r>
      <w:r w:rsidRPr="00653DB5">
        <w:rPr>
          <w:rFonts w:ascii="Times New Roman" w:hAnsi="Times New Roman" w:cs="Times New Roman"/>
          <w:color w:val="000000" w:themeColor="text1"/>
          <w:sz w:val="26"/>
          <w:szCs w:val="26"/>
        </w:rPr>
        <w:t xml:space="preserve"> că S.A.„Moldtelecom”</w:t>
      </w:r>
      <w:r w:rsidR="003E54F6" w:rsidRPr="00653DB5">
        <w:rPr>
          <w:rFonts w:ascii="Times New Roman" w:hAnsi="Times New Roman" w:cs="Times New Roman"/>
          <w:color w:val="000000" w:themeColor="text1"/>
          <w:sz w:val="26"/>
          <w:szCs w:val="26"/>
        </w:rPr>
        <w:t xml:space="preserve"> continuă să</w:t>
      </w:r>
      <w:r w:rsidRPr="00653DB5">
        <w:rPr>
          <w:rFonts w:ascii="Times New Roman" w:hAnsi="Times New Roman" w:cs="Times New Roman"/>
          <w:color w:val="000000" w:themeColor="text1"/>
          <w:sz w:val="26"/>
          <w:szCs w:val="26"/>
        </w:rPr>
        <w:t xml:space="preserve"> </w:t>
      </w:r>
      <w:r w:rsidRPr="00653DB5">
        <w:rPr>
          <w:rFonts w:ascii="Times New Roman" w:eastAsia="Times New Roman" w:hAnsi="Times New Roman" w:cs="Times New Roman"/>
          <w:color w:val="000000" w:themeColor="text1"/>
          <w:sz w:val="26"/>
          <w:szCs w:val="26"/>
          <w:lang w:eastAsia="ru-RU"/>
        </w:rPr>
        <w:t>deţin</w:t>
      </w:r>
      <w:r w:rsidR="003E54F6" w:rsidRPr="00653DB5">
        <w:rPr>
          <w:rFonts w:ascii="Times New Roman" w:eastAsia="Times New Roman" w:hAnsi="Times New Roman" w:cs="Times New Roman"/>
          <w:color w:val="000000" w:themeColor="text1"/>
          <w:sz w:val="26"/>
          <w:szCs w:val="26"/>
          <w:lang w:eastAsia="ru-RU"/>
        </w:rPr>
        <w:t>ă</w:t>
      </w:r>
      <w:r w:rsidRPr="00653DB5">
        <w:rPr>
          <w:rFonts w:ascii="Times New Roman" w:eastAsia="Times New Roman" w:hAnsi="Times New Roman" w:cs="Times New Roman"/>
          <w:color w:val="000000" w:themeColor="text1"/>
          <w:sz w:val="26"/>
          <w:szCs w:val="26"/>
          <w:lang w:eastAsia="ru-RU"/>
        </w:rPr>
        <w:t xml:space="preserve"> controlul asupra celei mai dezvoltate infrastructuri</w:t>
      </w:r>
      <w:r w:rsidR="007274E8" w:rsidRPr="00653DB5">
        <w:rPr>
          <w:rFonts w:ascii="Times New Roman" w:eastAsia="Times New Roman" w:hAnsi="Times New Roman" w:cs="Times New Roman"/>
          <w:color w:val="000000" w:themeColor="text1"/>
          <w:sz w:val="26"/>
          <w:szCs w:val="26"/>
          <w:lang w:eastAsia="ru-RU"/>
        </w:rPr>
        <w:t xml:space="preserve"> care permite furnizarea</w:t>
      </w:r>
      <w:r w:rsidRPr="00653DB5">
        <w:rPr>
          <w:rFonts w:ascii="Times New Roman" w:eastAsia="Times New Roman" w:hAnsi="Times New Roman" w:cs="Times New Roman"/>
          <w:color w:val="000000" w:themeColor="text1"/>
          <w:sz w:val="26"/>
          <w:szCs w:val="26"/>
          <w:lang w:eastAsia="ru-RU"/>
        </w:rPr>
        <w:t xml:space="preserve"> de linii închiriate</w:t>
      </w:r>
      <w:r w:rsidR="007274E8" w:rsidRPr="00653DB5">
        <w:rPr>
          <w:rFonts w:ascii="Times New Roman" w:eastAsia="Times New Roman" w:hAnsi="Times New Roman" w:cs="Times New Roman"/>
          <w:color w:val="000000" w:themeColor="text1"/>
          <w:sz w:val="26"/>
          <w:szCs w:val="26"/>
          <w:lang w:eastAsia="ru-RU"/>
        </w:rPr>
        <w:t xml:space="preserve"> segmente-trunchi</w:t>
      </w:r>
      <w:r w:rsidR="002E0699" w:rsidRPr="00653DB5">
        <w:rPr>
          <w:rFonts w:ascii="Times New Roman" w:eastAsia="Times New Roman" w:hAnsi="Times New Roman" w:cs="Times New Roman"/>
          <w:color w:val="000000" w:themeColor="text1"/>
          <w:sz w:val="26"/>
          <w:szCs w:val="26"/>
          <w:lang w:eastAsia="ru-RU"/>
        </w:rPr>
        <w:t>,</w:t>
      </w:r>
      <w:r w:rsidR="007274E8" w:rsidRPr="00653DB5">
        <w:rPr>
          <w:rFonts w:ascii="Times New Roman" w:eastAsia="Times New Roman" w:hAnsi="Times New Roman" w:cs="Times New Roman"/>
          <w:color w:val="000000" w:themeColor="text1"/>
          <w:sz w:val="26"/>
          <w:szCs w:val="26"/>
          <w:lang w:eastAsia="ru-RU"/>
        </w:rPr>
        <w:t xml:space="preserve"> acest serviciu poate fi solicitat</w:t>
      </w:r>
      <w:r w:rsidR="00ED7559" w:rsidRPr="00653DB5">
        <w:rPr>
          <w:rFonts w:ascii="Times New Roman" w:eastAsia="Times New Roman" w:hAnsi="Times New Roman" w:cs="Times New Roman"/>
          <w:color w:val="000000" w:themeColor="text1"/>
          <w:sz w:val="26"/>
          <w:szCs w:val="26"/>
          <w:lang w:eastAsia="ru-RU"/>
        </w:rPr>
        <w:t xml:space="preserve"> </w:t>
      </w:r>
      <w:r w:rsidR="007274E8" w:rsidRPr="00653DB5">
        <w:rPr>
          <w:rFonts w:ascii="Times New Roman" w:eastAsia="Times New Roman" w:hAnsi="Times New Roman" w:cs="Times New Roman"/>
          <w:color w:val="000000" w:themeColor="text1"/>
          <w:sz w:val="26"/>
          <w:szCs w:val="26"/>
          <w:lang w:eastAsia="ru-RU"/>
        </w:rPr>
        <w:t xml:space="preserve">în </w:t>
      </w:r>
      <w:r w:rsidR="00ED7559" w:rsidRPr="00653DB5">
        <w:rPr>
          <w:rFonts w:ascii="Times New Roman" w:eastAsia="Times New Roman" w:hAnsi="Times New Roman" w:cs="Times New Roman"/>
          <w:color w:val="000000" w:themeColor="text1"/>
          <w:sz w:val="26"/>
          <w:szCs w:val="26"/>
          <w:lang w:eastAsia="ru-RU"/>
        </w:rPr>
        <w:t xml:space="preserve">anumite </w:t>
      </w:r>
      <w:r w:rsidR="007274E8" w:rsidRPr="00653DB5">
        <w:rPr>
          <w:rFonts w:ascii="Times New Roman" w:eastAsia="Times New Roman" w:hAnsi="Times New Roman" w:cs="Times New Roman"/>
          <w:color w:val="000000" w:themeColor="text1"/>
          <w:sz w:val="26"/>
          <w:szCs w:val="26"/>
          <w:lang w:eastAsia="ru-RU"/>
        </w:rPr>
        <w:t>limit</w:t>
      </w:r>
      <w:r w:rsidR="00ED7559" w:rsidRPr="00653DB5">
        <w:rPr>
          <w:rFonts w:ascii="Times New Roman" w:eastAsia="Times New Roman" w:hAnsi="Times New Roman" w:cs="Times New Roman"/>
          <w:color w:val="000000" w:themeColor="text1"/>
          <w:sz w:val="26"/>
          <w:szCs w:val="26"/>
          <w:lang w:eastAsia="ru-RU"/>
        </w:rPr>
        <w:t xml:space="preserve">e și </w:t>
      </w:r>
      <w:r w:rsidR="007274E8" w:rsidRPr="00653DB5">
        <w:rPr>
          <w:rFonts w:ascii="Times New Roman" w:eastAsia="Times New Roman" w:hAnsi="Times New Roman" w:cs="Times New Roman"/>
          <w:color w:val="000000" w:themeColor="text1"/>
          <w:sz w:val="26"/>
          <w:szCs w:val="26"/>
          <w:lang w:eastAsia="ru-RU"/>
        </w:rPr>
        <w:t>de la furnizori alternativi.</w:t>
      </w:r>
    </w:p>
    <w:p w:rsidR="00790A2F" w:rsidRPr="00653DB5" w:rsidRDefault="00F3749E" w:rsidP="008C6767">
      <w:pPr>
        <w:pStyle w:val="Bodytext100"/>
        <w:numPr>
          <w:ilvl w:val="0"/>
          <w:numId w:val="13"/>
        </w:numPr>
        <w:shd w:val="clear" w:color="auto" w:fill="auto"/>
        <w:tabs>
          <w:tab w:val="left" w:pos="426"/>
          <w:tab w:val="left" w:pos="851"/>
        </w:tabs>
        <w:spacing w:before="0" w:after="0" w:line="240" w:lineRule="auto"/>
        <w:ind w:firstLine="567"/>
        <w:jc w:val="left"/>
        <w:rPr>
          <w:b/>
          <w:color w:val="000000" w:themeColor="text1"/>
          <w:sz w:val="26"/>
          <w:szCs w:val="26"/>
        </w:rPr>
      </w:pPr>
      <w:bookmarkStart w:id="315" w:name="bookmark31"/>
      <w:r w:rsidRPr="00653DB5">
        <w:rPr>
          <w:b/>
          <w:color w:val="000000" w:themeColor="text1"/>
          <w:sz w:val="26"/>
          <w:szCs w:val="26"/>
        </w:rPr>
        <w:t>Integrarea pe verticală</w:t>
      </w:r>
      <w:bookmarkEnd w:id="315"/>
    </w:p>
    <w:p w:rsidR="00790A2F" w:rsidRPr="00653DB5" w:rsidRDefault="00F3749E" w:rsidP="008C6767">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Furnizorii</w:t>
      </w:r>
      <w:r w:rsidR="00DF218B" w:rsidRPr="00653DB5">
        <w:rPr>
          <w:color w:val="000000" w:themeColor="text1"/>
          <w:sz w:val="26"/>
          <w:szCs w:val="26"/>
        </w:rPr>
        <w:t>,</w:t>
      </w:r>
      <w:r w:rsidRPr="00653DB5">
        <w:rPr>
          <w:color w:val="000000" w:themeColor="text1"/>
          <w:sz w:val="26"/>
          <w:szCs w:val="26"/>
        </w:rPr>
        <w:t xml:space="preserve"> a căror activitate este integrată pe verticală</w:t>
      </w:r>
      <w:r w:rsidR="00DF218B" w:rsidRPr="00653DB5">
        <w:rPr>
          <w:color w:val="000000" w:themeColor="text1"/>
          <w:sz w:val="26"/>
          <w:szCs w:val="26"/>
        </w:rPr>
        <w:t>,</w:t>
      </w:r>
      <w:r w:rsidRPr="00653DB5">
        <w:rPr>
          <w:color w:val="000000" w:themeColor="text1"/>
          <w:sz w:val="26"/>
          <w:szCs w:val="26"/>
        </w:rPr>
        <w:t xml:space="preserve"> controlează anumite resurse de pe piaţa cu ridicata necesare unui furnizor nou-intrat pentru ca acesta să poată oferi servicii pe pieţele cu amănuntul. În general, un furnizor integrat pe verticală are tendinţa să furnizeze servicii la nivelul pieţelor cu ridicata în condiţii discriminatorii (în cazul în care nu sunt impuse măsuri de reglementare </w:t>
      </w:r>
      <w:r w:rsidRPr="00653DB5">
        <w:rPr>
          <w:rStyle w:val="Bodytext10Italic"/>
          <w:color w:val="000000" w:themeColor="text1"/>
          <w:sz w:val="26"/>
          <w:szCs w:val="26"/>
        </w:rPr>
        <w:t>ex ante</w:t>
      </w:r>
      <w:r w:rsidRPr="00653DB5">
        <w:rPr>
          <w:color w:val="000000" w:themeColor="text1"/>
          <w:sz w:val="26"/>
          <w:szCs w:val="26"/>
        </w:rPr>
        <w:t xml:space="preserve"> care să prevină astfel de practici), în favoarea propriilor activităţi cu amănuntul. În aceste condiţii, există posibilitatea de a utiliza poziţia deţinută pe piaţa cu ridicata în vederea influenţării concurenţei pe piaţa cu amănuntul, prin refuzul de a furniza altor furnizori accesul la reţeaua proprie.</w:t>
      </w:r>
    </w:p>
    <w:p w:rsidR="000D38FF" w:rsidRPr="00653DB5" w:rsidRDefault="00A24C39" w:rsidP="008C6767">
      <w:pPr>
        <w:pStyle w:val="Bodytext100"/>
        <w:shd w:val="clear" w:color="auto" w:fill="auto"/>
        <w:tabs>
          <w:tab w:val="left" w:pos="851"/>
        </w:tabs>
        <w:spacing w:before="0" w:after="0" w:line="240" w:lineRule="auto"/>
        <w:ind w:right="20" w:firstLine="567"/>
        <w:rPr>
          <w:b/>
          <w:color w:val="000000" w:themeColor="text1"/>
          <w:sz w:val="26"/>
          <w:szCs w:val="26"/>
        </w:rPr>
      </w:pPr>
      <w:r w:rsidRPr="00653DB5">
        <w:rPr>
          <w:color w:val="000000" w:themeColor="text1"/>
          <w:sz w:val="26"/>
          <w:szCs w:val="26"/>
        </w:rPr>
        <w:t>S.A.”Moldtelecom”</w:t>
      </w:r>
      <w:r w:rsidR="007274E8" w:rsidRPr="00653DB5">
        <w:rPr>
          <w:color w:val="000000" w:themeColor="text1"/>
          <w:sz w:val="26"/>
          <w:szCs w:val="26"/>
        </w:rPr>
        <w:t>, dar și S.A.„Orange Moldova” și S.A.„</w:t>
      </w:r>
      <w:proofErr w:type="spellStart"/>
      <w:r w:rsidR="007274E8" w:rsidRPr="00653DB5">
        <w:rPr>
          <w:color w:val="000000" w:themeColor="text1"/>
          <w:sz w:val="26"/>
          <w:szCs w:val="26"/>
        </w:rPr>
        <w:t>Moldcell</w:t>
      </w:r>
      <w:proofErr w:type="spellEnd"/>
      <w:r w:rsidR="007274E8" w:rsidRPr="00653DB5">
        <w:rPr>
          <w:color w:val="000000" w:themeColor="text1"/>
          <w:sz w:val="26"/>
          <w:szCs w:val="26"/>
        </w:rPr>
        <w:t>”</w:t>
      </w:r>
      <w:r w:rsidR="00F3749E" w:rsidRPr="00653DB5">
        <w:rPr>
          <w:color w:val="000000" w:themeColor="text1"/>
          <w:sz w:val="26"/>
          <w:szCs w:val="26"/>
        </w:rPr>
        <w:t xml:space="preserve"> </w:t>
      </w:r>
      <w:r w:rsidR="007274E8" w:rsidRPr="00653DB5">
        <w:rPr>
          <w:color w:val="000000" w:themeColor="text1"/>
          <w:sz w:val="26"/>
          <w:szCs w:val="26"/>
        </w:rPr>
        <w:t>sunt</w:t>
      </w:r>
      <w:r w:rsidR="00F3749E" w:rsidRPr="00653DB5">
        <w:rPr>
          <w:color w:val="000000" w:themeColor="text1"/>
          <w:sz w:val="26"/>
          <w:szCs w:val="26"/>
        </w:rPr>
        <w:t xml:space="preserve"> furnizor</w:t>
      </w:r>
      <w:r w:rsidR="007274E8" w:rsidRPr="00653DB5">
        <w:rPr>
          <w:color w:val="000000" w:themeColor="text1"/>
          <w:sz w:val="26"/>
          <w:szCs w:val="26"/>
        </w:rPr>
        <w:t>i</w:t>
      </w:r>
      <w:r w:rsidR="00F3749E" w:rsidRPr="00653DB5">
        <w:rPr>
          <w:color w:val="000000" w:themeColor="text1"/>
          <w:sz w:val="26"/>
          <w:szCs w:val="26"/>
        </w:rPr>
        <w:t xml:space="preserve"> de reţele integra</w:t>
      </w:r>
      <w:r w:rsidR="007274E8" w:rsidRPr="00653DB5">
        <w:rPr>
          <w:color w:val="000000" w:themeColor="text1"/>
          <w:sz w:val="26"/>
          <w:szCs w:val="26"/>
        </w:rPr>
        <w:t>ți</w:t>
      </w:r>
      <w:r w:rsidR="00F3749E" w:rsidRPr="00653DB5">
        <w:rPr>
          <w:color w:val="000000" w:themeColor="text1"/>
          <w:sz w:val="26"/>
          <w:szCs w:val="26"/>
        </w:rPr>
        <w:t xml:space="preserve"> pe verticală de talie semnificativă, fiind activ</w:t>
      </w:r>
      <w:r w:rsidR="00C00445" w:rsidRPr="00653DB5">
        <w:rPr>
          <w:color w:val="000000" w:themeColor="text1"/>
          <w:sz w:val="26"/>
          <w:szCs w:val="26"/>
        </w:rPr>
        <w:t>i</w:t>
      </w:r>
      <w:r w:rsidR="00F3749E" w:rsidRPr="00653DB5">
        <w:rPr>
          <w:color w:val="000000" w:themeColor="text1"/>
          <w:sz w:val="26"/>
          <w:szCs w:val="26"/>
        </w:rPr>
        <w:t>, la nivel naţional, atât la nivelul pieţelor cu ridicata, cât şi la nivelul pieţelor cu amănuntul.</w:t>
      </w:r>
    </w:p>
    <w:p w:rsidR="009D0072" w:rsidRPr="00653DB5" w:rsidRDefault="000D24F5" w:rsidP="00713DC9">
      <w:pPr>
        <w:pStyle w:val="Bodytext100"/>
        <w:shd w:val="clear" w:color="auto" w:fill="auto"/>
        <w:tabs>
          <w:tab w:val="left" w:pos="851"/>
        </w:tabs>
        <w:spacing w:before="0" w:after="0" w:line="240" w:lineRule="auto"/>
        <w:ind w:right="20" w:firstLine="567"/>
        <w:rPr>
          <w:color w:val="000000" w:themeColor="text1"/>
          <w:sz w:val="26"/>
          <w:szCs w:val="26"/>
        </w:rPr>
      </w:pPr>
      <w:r w:rsidRPr="00653DB5">
        <w:rPr>
          <w:color w:val="000000" w:themeColor="text1"/>
          <w:sz w:val="26"/>
          <w:szCs w:val="26"/>
        </w:rPr>
        <w:t xml:space="preserve">Cu toate că pe piața </w:t>
      </w:r>
      <w:r w:rsidR="00F3749E" w:rsidRPr="00653DB5">
        <w:rPr>
          <w:color w:val="000000" w:themeColor="text1"/>
          <w:sz w:val="26"/>
          <w:szCs w:val="26"/>
        </w:rPr>
        <w:t>furnizării cu ridicata a unor segmente-trunchi de linii închiriate indiferent de tehnologia utilizată pentru punerea la dispoziţie de capacitate închiriată sau rezervată</w:t>
      </w:r>
      <w:r w:rsidR="00D5760C" w:rsidRPr="00653DB5">
        <w:rPr>
          <w:color w:val="000000" w:themeColor="text1"/>
          <w:sz w:val="26"/>
          <w:szCs w:val="26"/>
        </w:rPr>
        <w:t>,</w:t>
      </w:r>
      <w:r w:rsidR="00FD5A53" w:rsidRPr="00653DB5">
        <w:rPr>
          <w:color w:val="000000" w:themeColor="text1"/>
          <w:sz w:val="26"/>
          <w:szCs w:val="26"/>
        </w:rPr>
        <w:t xml:space="preserve"> </w:t>
      </w:r>
      <w:r w:rsidRPr="00653DB5">
        <w:rPr>
          <w:color w:val="000000" w:themeColor="text1"/>
          <w:sz w:val="26"/>
          <w:szCs w:val="26"/>
        </w:rPr>
        <w:t xml:space="preserve">există mai mulți furnizori cu capacități de furnizare a segmentelor-trunchi de linii închiriate, barierele de intrare pe piață pentru furnizorii noi sunt semnificative. Barierele sunt în special legate de costurile fixe considerabile pe care le-ar suporta un furnizor nou-intrat pentru dezvoltarea </w:t>
      </w:r>
      <w:r w:rsidR="00713DC9" w:rsidRPr="00653DB5">
        <w:rPr>
          <w:color w:val="000000" w:themeColor="text1"/>
          <w:sz w:val="26"/>
          <w:szCs w:val="26"/>
        </w:rPr>
        <w:t>infrastructurii relevante furnizării segmentelor-trunchi de linii închiriate</w:t>
      </w:r>
      <w:bookmarkStart w:id="316" w:name="_Toc368664503"/>
      <w:bookmarkStart w:id="317" w:name="_Toc368664689"/>
      <w:bookmarkStart w:id="318" w:name="_Toc368664943"/>
      <w:bookmarkStart w:id="319" w:name="_Toc368665696"/>
      <w:bookmarkStart w:id="320" w:name="_Toc368665824"/>
      <w:bookmarkStart w:id="321" w:name="_Toc368665900"/>
      <w:bookmarkStart w:id="322" w:name="_Toc368665969"/>
      <w:bookmarkStart w:id="323" w:name="_Toc368666051"/>
      <w:bookmarkStart w:id="324" w:name="_Toc368664504"/>
      <w:bookmarkStart w:id="325" w:name="_Toc368664690"/>
      <w:bookmarkStart w:id="326" w:name="_Toc368664944"/>
      <w:bookmarkStart w:id="327" w:name="_Toc368665697"/>
      <w:bookmarkStart w:id="328" w:name="_Toc368665825"/>
      <w:bookmarkStart w:id="329" w:name="_Toc368665901"/>
      <w:bookmarkStart w:id="330" w:name="_Toc368665970"/>
      <w:bookmarkStart w:id="331" w:name="_Toc368666052"/>
      <w:bookmarkStart w:id="332" w:name="_Toc36866590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C36024" w:rsidRDefault="00C36024" w:rsidP="00022183">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rPr>
      </w:pPr>
    </w:p>
    <w:p w:rsidR="00022183" w:rsidRPr="00653DB5" w:rsidRDefault="00022183" w:rsidP="00022183">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 xml:space="preserve">Astfel, </w:t>
      </w:r>
      <w:r w:rsidRPr="00653DB5">
        <w:rPr>
          <w:rFonts w:ascii="Times New Roman" w:hAnsi="Times New Roman" w:cs="Times New Roman"/>
          <w:b/>
          <w:color w:val="000000" w:themeColor="text1"/>
          <w:sz w:val="26"/>
          <w:szCs w:val="26"/>
        </w:rPr>
        <w:t>ANRCETI concluzionează că acest criteriu</w:t>
      </w:r>
      <w:r w:rsidR="00FD5A53" w:rsidRPr="00653DB5">
        <w:rPr>
          <w:rFonts w:ascii="Times New Roman" w:hAnsi="Times New Roman" w:cs="Times New Roman"/>
          <w:b/>
          <w:color w:val="000000" w:themeColor="text1"/>
          <w:sz w:val="26"/>
          <w:szCs w:val="26"/>
        </w:rPr>
        <w:t xml:space="preserve"> </w:t>
      </w:r>
      <w:r w:rsidRPr="00653DB5">
        <w:rPr>
          <w:rFonts w:ascii="Times New Roman" w:hAnsi="Times New Roman" w:cs="Times New Roman"/>
          <w:b/>
          <w:color w:val="000000" w:themeColor="text1"/>
          <w:sz w:val="26"/>
          <w:szCs w:val="26"/>
        </w:rPr>
        <w:t>este îndeplinit.</w:t>
      </w:r>
    </w:p>
    <w:p w:rsidR="00022183" w:rsidRDefault="00022183" w:rsidP="008C6767">
      <w:pPr>
        <w:pStyle w:val="Bodytext100"/>
        <w:shd w:val="clear" w:color="auto" w:fill="auto"/>
        <w:tabs>
          <w:tab w:val="left" w:pos="851"/>
        </w:tabs>
        <w:spacing w:before="0" w:after="0" w:line="240" w:lineRule="auto"/>
        <w:ind w:right="20" w:firstLine="567"/>
        <w:rPr>
          <w:color w:val="000000" w:themeColor="text1"/>
          <w:sz w:val="26"/>
          <w:szCs w:val="26"/>
        </w:rPr>
      </w:pPr>
    </w:p>
    <w:p w:rsidR="00C36024" w:rsidRPr="00653DB5" w:rsidRDefault="00C36024" w:rsidP="008C6767">
      <w:pPr>
        <w:pStyle w:val="Bodytext100"/>
        <w:shd w:val="clear" w:color="auto" w:fill="auto"/>
        <w:tabs>
          <w:tab w:val="left" w:pos="851"/>
        </w:tabs>
        <w:spacing w:before="0" w:after="0" w:line="240" w:lineRule="auto"/>
        <w:ind w:right="20" w:firstLine="567"/>
        <w:rPr>
          <w:color w:val="000000" w:themeColor="text1"/>
          <w:sz w:val="26"/>
          <w:szCs w:val="26"/>
        </w:rPr>
      </w:pPr>
    </w:p>
    <w:p w:rsidR="009D0072" w:rsidRPr="00653DB5" w:rsidRDefault="009D0072" w:rsidP="008C6767">
      <w:pPr>
        <w:pStyle w:val="Bodytext90"/>
        <w:numPr>
          <w:ilvl w:val="0"/>
          <w:numId w:val="10"/>
        </w:numPr>
        <w:shd w:val="clear" w:color="auto" w:fill="auto"/>
        <w:tabs>
          <w:tab w:val="left" w:pos="993"/>
          <w:tab w:val="left" w:pos="1276"/>
        </w:tabs>
        <w:spacing w:before="0" w:after="0" w:line="240" w:lineRule="auto"/>
        <w:ind w:firstLine="567"/>
        <w:jc w:val="both"/>
        <w:outlineLvl w:val="1"/>
        <w:rPr>
          <w:color w:val="000000" w:themeColor="text1"/>
          <w:sz w:val="26"/>
          <w:szCs w:val="26"/>
        </w:rPr>
      </w:pPr>
      <w:bookmarkStart w:id="333" w:name="_Toc368666579"/>
      <w:bookmarkStart w:id="334" w:name="_Toc422317021"/>
      <w:bookmarkStart w:id="335" w:name="_Toc422318618"/>
      <w:bookmarkStart w:id="336" w:name="_Toc485634405"/>
      <w:r w:rsidRPr="00653DB5">
        <w:rPr>
          <w:color w:val="000000" w:themeColor="text1"/>
          <w:sz w:val="26"/>
          <w:szCs w:val="26"/>
        </w:rPr>
        <w:t>Tendinţe spre o concurenţă efectivă</w:t>
      </w:r>
      <w:bookmarkEnd w:id="333"/>
      <w:bookmarkEnd w:id="334"/>
      <w:bookmarkEnd w:id="335"/>
      <w:bookmarkEnd w:id="336"/>
    </w:p>
    <w:p w:rsidR="001136D9" w:rsidRPr="00653DB5" w:rsidRDefault="001136D9" w:rsidP="008C6767">
      <w:pPr>
        <w:tabs>
          <w:tab w:val="left" w:pos="851"/>
        </w:tabs>
        <w:autoSpaceDE w:val="0"/>
        <w:autoSpaceDN w:val="0"/>
        <w:adjustRightInd w:val="0"/>
        <w:ind w:firstLine="567"/>
        <w:jc w:val="both"/>
        <w:rPr>
          <w:rFonts w:ascii="Times New Roman" w:hAnsi="Times New Roman" w:cs="Times New Roman"/>
          <w:color w:val="000000" w:themeColor="text1"/>
          <w:sz w:val="26"/>
          <w:szCs w:val="26"/>
          <w:lang w:eastAsia="ru-RU"/>
        </w:rPr>
      </w:pPr>
      <w:r w:rsidRPr="00653DB5">
        <w:rPr>
          <w:rFonts w:ascii="Times New Roman" w:hAnsi="Times New Roman" w:cs="Times New Roman"/>
          <w:sz w:val="26"/>
          <w:szCs w:val="26"/>
        </w:rPr>
        <w:t xml:space="preserve">Aplicarea acestui criteriu implică </w:t>
      </w:r>
      <w:r w:rsidR="00DF218B" w:rsidRPr="00653DB5">
        <w:rPr>
          <w:rFonts w:ascii="Times New Roman" w:hAnsi="Times New Roman" w:cs="Times New Roman"/>
          <w:sz w:val="26"/>
          <w:szCs w:val="26"/>
        </w:rPr>
        <w:t>examinarea</w:t>
      </w:r>
      <w:r w:rsidRPr="00653DB5">
        <w:rPr>
          <w:rFonts w:ascii="Times New Roman" w:hAnsi="Times New Roman" w:cs="Times New Roman"/>
          <w:sz w:val="26"/>
          <w:szCs w:val="26"/>
        </w:rPr>
        <w:t xml:space="preserve"> situaţiei concurenţiale dincolo de </w:t>
      </w:r>
      <w:r w:rsidRPr="00653DB5">
        <w:rPr>
          <w:rFonts w:ascii="Times New Roman" w:hAnsi="Times New Roman" w:cs="Times New Roman"/>
          <w:sz w:val="26"/>
          <w:szCs w:val="26"/>
        </w:rPr>
        <w:lastRenderedPageBreak/>
        <w:t>barierele existente la intrarea în piaţă, ţinând cont că, chiar în condiţiile în care o piaţă este caracterizată de bariere semnificative la intrare, o serie de alţi factori structurali sau caracteristici ale pieţei pot reprezenta argumente în favoarea faptului că piaţa tinde spre concurenţă efectivă.</w:t>
      </w:r>
      <w:r w:rsidR="00FB1894">
        <w:rPr>
          <w:rFonts w:ascii="Times New Roman" w:hAnsi="Times New Roman" w:cs="Times New Roman"/>
          <w:sz w:val="26"/>
          <w:szCs w:val="26"/>
        </w:rPr>
        <w:t xml:space="preserve"> </w:t>
      </w:r>
    </w:p>
    <w:p w:rsidR="001136D9" w:rsidRPr="00653DB5" w:rsidRDefault="001136D9" w:rsidP="008C6767">
      <w:pPr>
        <w:tabs>
          <w:tab w:val="left" w:pos="851"/>
        </w:tabs>
        <w:autoSpaceDE w:val="0"/>
        <w:autoSpaceDN w:val="0"/>
        <w:adjustRightInd w:val="0"/>
        <w:ind w:firstLine="567"/>
        <w:jc w:val="both"/>
        <w:rPr>
          <w:rFonts w:ascii="Times New Roman" w:hAnsi="Times New Roman" w:cs="Times New Roman"/>
          <w:sz w:val="26"/>
          <w:szCs w:val="26"/>
          <w:lang w:eastAsia="ro-RO"/>
        </w:rPr>
      </w:pPr>
      <w:r w:rsidRPr="00653DB5">
        <w:rPr>
          <w:rFonts w:ascii="Times New Roman" w:hAnsi="Times New Roman" w:cs="Times New Roman"/>
          <w:sz w:val="26"/>
          <w:szCs w:val="26"/>
          <w:lang w:eastAsia="ro-RO"/>
        </w:rPr>
        <w:t>ANRCETI a evaluat criteriul dat prin prisma cotelor de piaţă şi a condiţiilor concurenţiale existente, în baza datelor prezentate de furnizori conform Chestionar</w:t>
      </w:r>
      <w:r w:rsidR="00171A75" w:rsidRPr="00653DB5">
        <w:rPr>
          <w:rFonts w:ascii="Times New Roman" w:hAnsi="Times New Roman" w:cs="Times New Roman"/>
          <w:sz w:val="26"/>
          <w:szCs w:val="26"/>
          <w:lang w:eastAsia="ro-RO"/>
        </w:rPr>
        <w:t>ului</w:t>
      </w:r>
      <w:r w:rsidRPr="00653DB5">
        <w:rPr>
          <w:rFonts w:ascii="Times New Roman" w:hAnsi="Times New Roman" w:cs="Times New Roman"/>
          <w:sz w:val="26"/>
          <w:szCs w:val="26"/>
          <w:lang w:eastAsia="ro-RO"/>
        </w:rPr>
        <w:t xml:space="preserve"> de date statistice privind</w:t>
      </w:r>
      <w:r w:rsidR="00171A75" w:rsidRPr="00653DB5">
        <w:rPr>
          <w:rFonts w:ascii="Times New Roman" w:hAnsi="Times New Roman" w:cs="Times New Roman"/>
          <w:sz w:val="26"/>
          <w:szCs w:val="26"/>
          <w:lang w:eastAsia="ro-RO"/>
        </w:rPr>
        <w:t xml:space="preserve"> segmentele trunchi de</w:t>
      </w:r>
      <w:r w:rsidRPr="00653DB5">
        <w:rPr>
          <w:rFonts w:ascii="Times New Roman" w:hAnsi="Times New Roman" w:cs="Times New Roman"/>
          <w:sz w:val="26"/>
          <w:szCs w:val="26"/>
          <w:lang w:eastAsia="ro-RO"/>
        </w:rPr>
        <w:t xml:space="preserve"> liniile închiriate.</w:t>
      </w:r>
      <w:r w:rsidR="00B00B04" w:rsidRPr="00653DB5">
        <w:rPr>
          <w:rFonts w:ascii="Times New Roman" w:hAnsi="Times New Roman" w:cs="Times New Roman"/>
          <w:sz w:val="26"/>
          <w:szCs w:val="26"/>
          <w:lang w:eastAsia="ro-RO"/>
        </w:rPr>
        <w:t xml:space="preserve"> Chestionarul menționat a cuprins date care descriu: infrastructura de linii închiriate, segmente-trunchi furnizate/achiziționate, venituri și cheltuieli legate de furnizarea sau închirierea segmentelor-trunchi de linii închiriate.</w:t>
      </w:r>
    </w:p>
    <w:p w:rsidR="001136D9" w:rsidRPr="00653DB5" w:rsidRDefault="001136D9" w:rsidP="008C6767">
      <w:pPr>
        <w:tabs>
          <w:tab w:val="left" w:pos="851"/>
        </w:tabs>
        <w:ind w:firstLine="567"/>
        <w:jc w:val="both"/>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 xml:space="preserve">În acest sens, valorile au fost calculate în funcţie </w:t>
      </w:r>
      <w:r w:rsidR="003C6885" w:rsidRPr="00653DB5">
        <w:rPr>
          <w:rFonts w:ascii="Times New Roman" w:hAnsi="Times New Roman" w:cs="Times New Roman"/>
          <w:color w:val="000000" w:themeColor="text1"/>
          <w:sz w:val="26"/>
          <w:szCs w:val="26"/>
        </w:rPr>
        <w:t xml:space="preserve">de veniturile obţinute din furnizarea serviciilor de segmente-trunchi de linii închiriate şi în funcţie de </w:t>
      </w:r>
      <w:r w:rsidRPr="00653DB5">
        <w:rPr>
          <w:rFonts w:ascii="Times New Roman" w:hAnsi="Times New Roman" w:cs="Times New Roman"/>
          <w:color w:val="000000" w:themeColor="text1"/>
          <w:sz w:val="26"/>
          <w:szCs w:val="26"/>
        </w:rPr>
        <w:t xml:space="preserve">numărul de circuite de segmente </w:t>
      </w:r>
      <w:r w:rsidR="003C6885" w:rsidRPr="00653DB5">
        <w:rPr>
          <w:rFonts w:ascii="Times New Roman" w:hAnsi="Times New Roman" w:cs="Times New Roman"/>
          <w:color w:val="000000" w:themeColor="text1"/>
          <w:sz w:val="26"/>
          <w:szCs w:val="26"/>
        </w:rPr>
        <w:t xml:space="preserve">– trunchi </w:t>
      </w:r>
      <w:r w:rsidRPr="00653DB5">
        <w:rPr>
          <w:rFonts w:ascii="Times New Roman" w:hAnsi="Times New Roman" w:cs="Times New Roman"/>
          <w:color w:val="000000" w:themeColor="text1"/>
          <w:sz w:val="26"/>
          <w:szCs w:val="26"/>
        </w:rPr>
        <w:t>furnizate. Aceasta abordare este în conformitate cu pct.77 din Instrucţiunile Comisiei Europene</w:t>
      </w:r>
      <w:r w:rsidRPr="00653DB5">
        <w:rPr>
          <w:rStyle w:val="FootnoteReference"/>
          <w:rFonts w:ascii="Times New Roman" w:hAnsi="Times New Roman" w:cs="Times New Roman"/>
          <w:color w:val="000000" w:themeColor="text1"/>
          <w:sz w:val="26"/>
          <w:szCs w:val="26"/>
        </w:rPr>
        <w:footnoteReference w:id="5"/>
      </w:r>
      <w:r w:rsidRPr="00653DB5">
        <w:rPr>
          <w:rFonts w:ascii="Times New Roman" w:hAnsi="Times New Roman" w:cs="Times New Roman"/>
          <w:color w:val="000000" w:themeColor="text1"/>
          <w:sz w:val="26"/>
          <w:szCs w:val="26"/>
        </w:rPr>
        <w:t>:</w:t>
      </w:r>
    </w:p>
    <w:p w:rsidR="001136D9" w:rsidRPr="00653DB5" w:rsidRDefault="001136D9" w:rsidP="008C6767">
      <w:pPr>
        <w:pStyle w:val="Bodytext100"/>
        <w:shd w:val="clear" w:color="auto" w:fill="auto"/>
        <w:tabs>
          <w:tab w:val="left" w:pos="851"/>
        </w:tabs>
        <w:spacing w:before="0" w:after="0" w:line="240" w:lineRule="auto"/>
        <w:ind w:right="20" w:firstLine="567"/>
        <w:rPr>
          <w:i/>
          <w:color w:val="000000" w:themeColor="text1"/>
          <w:sz w:val="26"/>
          <w:szCs w:val="26"/>
        </w:rPr>
      </w:pPr>
      <w:r w:rsidRPr="00653DB5">
        <w:rPr>
          <w:i/>
          <w:color w:val="000000" w:themeColor="text1"/>
          <w:sz w:val="26"/>
          <w:szCs w:val="26"/>
        </w:rPr>
        <w:t>Autorităţile Naţionale de Reglementare sunt în drept de a decide care sunt criteriile cele mai adecvate de măsurare a prezenţei pe piaţă. De exemplu, veniturile obţinute din furnizarea de linii închiriate, capacitatea de transmisie închiriată sau numărul de circuite de linii închiriate furnizate sunt posibilele criterii de măsurare a cotei şi ponderii unei întreprinderi pe pieţele liniilor închiriate.</w:t>
      </w:r>
    </w:p>
    <w:p w:rsidR="00B71ED1" w:rsidRPr="00653DB5" w:rsidRDefault="00A561F8" w:rsidP="008C6767">
      <w:pPr>
        <w:widowControl/>
        <w:tabs>
          <w:tab w:val="left" w:pos="851"/>
        </w:tabs>
        <w:ind w:firstLine="567"/>
        <w:jc w:val="both"/>
        <w:rPr>
          <w:rFonts w:ascii="Times New Roman" w:hAnsi="Times New Roman" w:cs="Times New Roman"/>
          <w:color w:val="000000" w:themeColor="text1"/>
          <w:sz w:val="26"/>
          <w:szCs w:val="26"/>
          <w:lang w:eastAsia="ru-RU"/>
        </w:rPr>
      </w:pPr>
      <w:bookmarkStart w:id="337" w:name="bookmark33"/>
      <w:r w:rsidRPr="00653DB5">
        <w:rPr>
          <w:rFonts w:ascii="Times New Roman" w:hAnsi="Times New Roman" w:cs="Times New Roman"/>
          <w:color w:val="000000" w:themeColor="text1"/>
          <w:sz w:val="26"/>
          <w:szCs w:val="26"/>
          <w:lang w:eastAsia="ru-RU"/>
        </w:rPr>
        <w:t>Datele prezentate în Tabelele nr.</w:t>
      </w:r>
      <w:r w:rsidR="005E2284" w:rsidRPr="00653DB5">
        <w:rPr>
          <w:rFonts w:ascii="Times New Roman" w:hAnsi="Times New Roman" w:cs="Times New Roman"/>
          <w:color w:val="000000" w:themeColor="text1"/>
          <w:sz w:val="26"/>
          <w:szCs w:val="26"/>
          <w:lang w:eastAsia="ru-RU"/>
        </w:rPr>
        <w:t>2</w:t>
      </w:r>
      <w:r w:rsidRPr="00653DB5">
        <w:rPr>
          <w:rFonts w:ascii="Times New Roman" w:hAnsi="Times New Roman" w:cs="Times New Roman"/>
          <w:color w:val="000000" w:themeColor="text1"/>
          <w:sz w:val="26"/>
          <w:szCs w:val="26"/>
          <w:lang w:eastAsia="ru-RU"/>
        </w:rPr>
        <w:t xml:space="preserve"> și nr.</w:t>
      </w:r>
      <w:r w:rsidR="005E2284" w:rsidRPr="00653DB5">
        <w:rPr>
          <w:rFonts w:ascii="Times New Roman" w:hAnsi="Times New Roman" w:cs="Times New Roman"/>
          <w:color w:val="000000" w:themeColor="text1"/>
          <w:sz w:val="26"/>
          <w:szCs w:val="26"/>
          <w:lang w:eastAsia="ru-RU"/>
        </w:rPr>
        <w:t>3</w:t>
      </w:r>
      <w:r w:rsidRPr="00653DB5">
        <w:rPr>
          <w:rFonts w:ascii="Times New Roman" w:hAnsi="Times New Roman" w:cs="Times New Roman"/>
          <w:color w:val="000000" w:themeColor="text1"/>
          <w:sz w:val="26"/>
          <w:szCs w:val="26"/>
          <w:lang w:eastAsia="ru-RU"/>
        </w:rPr>
        <w:t xml:space="preserve"> au fost agregate din Chestionarul de date statistice privind segmentele-trunchi de linii închiriate prezentat de furnizori la ANRCETI. </w:t>
      </w:r>
      <w:r w:rsidR="00443F43" w:rsidRPr="00653DB5">
        <w:rPr>
          <w:rFonts w:ascii="Times New Roman" w:hAnsi="Times New Roman" w:cs="Times New Roman"/>
          <w:color w:val="000000" w:themeColor="text1"/>
          <w:sz w:val="26"/>
          <w:szCs w:val="26"/>
          <w:lang w:eastAsia="ru-RU"/>
        </w:rPr>
        <w:t xml:space="preserve">Datele obținute din Chestionar atestă o situație </w:t>
      </w:r>
      <w:r w:rsidR="00D5760C" w:rsidRPr="00653DB5">
        <w:rPr>
          <w:rFonts w:ascii="Times New Roman" w:hAnsi="Times New Roman" w:cs="Times New Roman"/>
          <w:color w:val="000000" w:themeColor="text1"/>
          <w:sz w:val="26"/>
          <w:szCs w:val="26"/>
          <w:lang w:eastAsia="ru-RU"/>
        </w:rPr>
        <w:t xml:space="preserve">schimbată </w:t>
      </w:r>
      <w:r w:rsidR="00443F43" w:rsidRPr="00653DB5">
        <w:rPr>
          <w:rFonts w:ascii="Times New Roman" w:hAnsi="Times New Roman" w:cs="Times New Roman"/>
          <w:color w:val="000000" w:themeColor="text1"/>
          <w:sz w:val="26"/>
          <w:szCs w:val="26"/>
          <w:lang w:eastAsia="ru-RU"/>
        </w:rPr>
        <w:t xml:space="preserve">pe piața de furnizare cu ridicata a unor segmente-trunchi de linii închiriate </w:t>
      </w:r>
      <w:r w:rsidR="00D5760C" w:rsidRPr="00653DB5">
        <w:rPr>
          <w:rFonts w:ascii="Times New Roman" w:hAnsi="Times New Roman" w:cs="Times New Roman"/>
          <w:color w:val="000000" w:themeColor="text1"/>
          <w:sz w:val="26"/>
          <w:szCs w:val="26"/>
          <w:lang w:eastAsia="ru-RU"/>
        </w:rPr>
        <w:t>față de</w:t>
      </w:r>
      <w:r w:rsidR="00443F43" w:rsidRPr="00653DB5">
        <w:rPr>
          <w:rFonts w:ascii="Times New Roman" w:hAnsi="Times New Roman" w:cs="Times New Roman"/>
          <w:color w:val="000000" w:themeColor="text1"/>
          <w:sz w:val="26"/>
          <w:szCs w:val="26"/>
          <w:lang w:eastAsia="ru-RU"/>
        </w:rPr>
        <w:t xml:space="preserve"> cea din iterația a treia ale acestei piețe (anul 2015). </w:t>
      </w:r>
    </w:p>
    <w:p w:rsidR="00B71ED1" w:rsidRPr="00653DB5" w:rsidRDefault="00D57943" w:rsidP="008C6767">
      <w:pPr>
        <w:widowControl/>
        <w:tabs>
          <w:tab w:val="left" w:pos="851"/>
        </w:tabs>
        <w:ind w:firstLine="567"/>
        <w:jc w:val="both"/>
        <w:rPr>
          <w:rFonts w:ascii="Times New Roman" w:hAnsi="Times New Roman" w:cs="Times New Roman"/>
          <w:color w:val="000000" w:themeColor="text1"/>
          <w:sz w:val="26"/>
          <w:szCs w:val="26"/>
          <w:lang w:eastAsia="ru-RU"/>
        </w:rPr>
      </w:pPr>
      <w:r w:rsidRPr="00653DB5">
        <w:rPr>
          <w:rFonts w:ascii="Times New Roman" w:hAnsi="Times New Roman" w:cs="Times New Roman"/>
          <w:color w:val="000000" w:themeColor="text1"/>
          <w:sz w:val="26"/>
          <w:szCs w:val="26"/>
          <w:lang w:eastAsia="ru-RU"/>
        </w:rPr>
        <w:t>Conform datelor statistice prezentat</w:t>
      </w:r>
      <w:r w:rsidR="00D5760C" w:rsidRPr="00653DB5">
        <w:rPr>
          <w:rFonts w:ascii="Times New Roman" w:hAnsi="Times New Roman" w:cs="Times New Roman"/>
          <w:color w:val="000000" w:themeColor="text1"/>
          <w:sz w:val="26"/>
          <w:szCs w:val="26"/>
          <w:lang w:eastAsia="ru-RU"/>
        </w:rPr>
        <w:t>e</w:t>
      </w:r>
      <w:r w:rsidRPr="00653DB5">
        <w:rPr>
          <w:rFonts w:ascii="Times New Roman" w:hAnsi="Times New Roman" w:cs="Times New Roman"/>
          <w:color w:val="000000" w:themeColor="text1"/>
          <w:sz w:val="26"/>
          <w:szCs w:val="26"/>
          <w:lang w:eastAsia="ru-RU"/>
        </w:rPr>
        <w:t xml:space="preserve"> de furnizori privind segmentele-trunchi de linii închiriate</w:t>
      </w:r>
      <w:r w:rsidR="00D5760C" w:rsidRPr="00653DB5">
        <w:rPr>
          <w:rFonts w:ascii="Times New Roman" w:hAnsi="Times New Roman" w:cs="Times New Roman"/>
          <w:color w:val="000000" w:themeColor="text1"/>
          <w:sz w:val="26"/>
          <w:szCs w:val="26"/>
          <w:lang w:eastAsia="ru-RU"/>
        </w:rPr>
        <w:t>,</w:t>
      </w:r>
      <w:r w:rsidRPr="00653DB5">
        <w:rPr>
          <w:rFonts w:ascii="Times New Roman" w:hAnsi="Times New Roman" w:cs="Times New Roman"/>
          <w:color w:val="000000" w:themeColor="text1"/>
          <w:sz w:val="26"/>
          <w:szCs w:val="26"/>
          <w:lang w:eastAsia="ru-RU"/>
        </w:rPr>
        <w:t xml:space="preserve"> </w:t>
      </w:r>
      <w:r w:rsidR="00443F43" w:rsidRPr="00653DB5">
        <w:rPr>
          <w:rFonts w:ascii="Times New Roman" w:hAnsi="Times New Roman" w:cs="Times New Roman"/>
          <w:color w:val="000000" w:themeColor="text1"/>
          <w:sz w:val="26"/>
          <w:szCs w:val="26"/>
          <w:lang w:eastAsia="ru-RU"/>
        </w:rPr>
        <w:t>S.A.„Moldtelecom” continuă să fie furnizorul cu cea mai mare cotă de piață în funcție de numărul de circuite de linii închiriate segmente-trunchi furnizate</w:t>
      </w:r>
      <w:r w:rsidR="00B71ED1" w:rsidRPr="00653DB5">
        <w:rPr>
          <w:rFonts w:ascii="Times New Roman" w:hAnsi="Times New Roman" w:cs="Times New Roman"/>
          <w:color w:val="000000" w:themeColor="text1"/>
          <w:sz w:val="26"/>
          <w:szCs w:val="26"/>
          <w:lang w:eastAsia="ru-RU"/>
        </w:rPr>
        <w:t xml:space="preserve"> –</w:t>
      </w:r>
      <w:r w:rsidRPr="00653DB5">
        <w:rPr>
          <w:rFonts w:ascii="Times New Roman" w:hAnsi="Times New Roman" w:cs="Times New Roman"/>
          <w:color w:val="000000" w:themeColor="text1"/>
          <w:sz w:val="26"/>
          <w:szCs w:val="26"/>
          <w:lang w:eastAsia="ru-RU"/>
        </w:rPr>
        <w:t xml:space="preserve"> în 2016 înregistrând o cotă de piață de</w:t>
      </w:r>
      <w:r w:rsidR="00B71ED1" w:rsidRPr="00653DB5">
        <w:rPr>
          <w:rFonts w:ascii="Times New Roman" w:hAnsi="Times New Roman" w:cs="Times New Roman"/>
          <w:color w:val="000000" w:themeColor="text1"/>
          <w:sz w:val="26"/>
          <w:szCs w:val="26"/>
          <w:lang w:eastAsia="ru-RU"/>
        </w:rPr>
        <w:t xml:space="preserve"> </w:t>
      </w:r>
      <w:r w:rsidR="001155D4" w:rsidRPr="00653DB5">
        <w:rPr>
          <w:rFonts w:ascii="Times New Roman" w:hAnsi="Times New Roman" w:cs="Times New Roman"/>
          <w:color w:val="000000" w:themeColor="text1"/>
          <w:sz w:val="26"/>
          <w:szCs w:val="26"/>
          <w:lang w:eastAsia="ru-RU"/>
        </w:rPr>
        <w:t>39</w:t>
      </w:r>
      <w:r w:rsidR="00B71ED1" w:rsidRPr="00653DB5">
        <w:rPr>
          <w:rFonts w:ascii="Times New Roman" w:hAnsi="Times New Roman" w:cs="Times New Roman"/>
          <w:color w:val="000000" w:themeColor="text1"/>
          <w:sz w:val="26"/>
          <w:szCs w:val="26"/>
          <w:lang w:eastAsia="ru-RU"/>
        </w:rPr>
        <w:t>,</w:t>
      </w:r>
      <w:r w:rsidR="001155D4" w:rsidRPr="00653DB5">
        <w:rPr>
          <w:rFonts w:ascii="Times New Roman" w:hAnsi="Times New Roman" w:cs="Times New Roman"/>
          <w:color w:val="000000" w:themeColor="text1"/>
          <w:sz w:val="26"/>
          <w:szCs w:val="26"/>
          <w:lang w:eastAsia="ru-RU"/>
        </w:rPr>
        <w:t>86</w:t>
      </w:r>
      <w:r w:rsidR="00B71ED1" w:rsidRPr="00653DB5">
        <w:rPr>
          <w:rFonts w:ascii="Times New Roman" w:hAnsi="Times New Roman" w:cs="Times New Roman"/>
          <w:color w:val="000000" w:themeColor="text1"/>
          <w:sz w:val="26"/>
          <w:szCs w:val="26"/>
          <w:lang w:eastAsia="ru-RU"/>
        </w:rPr>
        <w:t>%</w:t>
      </w:r>
      <w:r w:rsidRPr="00653DB5">
        <w:rPr>
          <w:rFonts w:ascii="Times New Roman" w:hAnsi="Times New Roman" w:cs="Times New Roman"/>
          <w:color w:val="000000" w:themeColor="text1"/>
          <w:sz w:val="26"/>
          <w:szCs w:val="26"/>
          <w:lang w:eastAsia="ru-RU"/>
        </w:rPr>
        <w:t xml:space="preserve">, fiind în scădere cu 11,37 </w:t>
      </w:r>
      <w:proofErr w:type="spellStart"/>
      <w:r w:rsidRPr="00653DB5">
        <w:rPr>
          <w:rFonts w:ascii="Times New Roman" w:hAnsi="Times New Roman" w:cs="Times New Roman"/>
          <w:color w:val="000000" w:themeColor="text1"/>
          <w:sz w:val="26"/>
          <w:szCs w:val="26"/>
          <w:lang w:eastAsia="ru-RU"/>
        </w:rPr>
        <w:t>p.p</w:t>
      </w:r>
      <w:proofErr w:type="spellEnd"/>
      <w:r w:rsidRPr="00653DB5">
        <w:rPr>
          <w:rFonts w:ascii="Times New Roman" w:hAnsi="Times New Roman" w:cs="Times New Roman"/>
          <w:color w:val="000000" w:themeColor="text1"/>
          <w:sz w:val="26"/>
          <w:szCs w:val="26"/>
          <w:lang w:eastAsia="ru-RU"/>
        </w:rPr>
        <w:t xml:space="preserve"> față de 2014</w:t>
      </w:r>
      <w:r w:rsidR="00B71ED1" w:rsidRPr="00653DB5">
        <w:rPr>
          <w:rFonts w:ascii="Times New Roman" w:hAnsi="Times New Roman" w:cs="Times New Roman"/>
          <w:color w:val="000000" w:themeColor="text1"/>
          <w:sz w:val="26"/>
          <w:szCs w:val="26"/>
          <w:lang w:eastAsia="ru-RU"/>
        </w:rPr>
        <w:t xml:space="preserve">, fiind urmat de </w:t>
      </w:r>
      <w:r w:rsidR="001155D4" w:rsidRPr="00653DB5">
        <w:rPr>
          <w:rFonts w:ascii="Times New Roman" w:hAnsi="Times New Roman" w:cs="Times New Roman"/>
          <w:color w:val="000000" w:themeColor="text1"/>
          <w:sz w:val="26"/>
          <w:szCs w:val="26"/>
          <w:lang w:eastAsia="ru-RU"/>
        </w:rPr>
        <w:t>S.R.L.„</w:t>
      </w:r>
      <w:proofErr w:type="spellStart"/>
      <w:r w:rsidR="001155D4" w:rsidRPr="00653DB5">
        <w:rPr>
          <w:rFonts w:ascii="Times New Roman" w:hAnsi="Times New Roman" w:cs="Times New Roman"/>
          <w:color w:val="000000" w:themeColor="text1"/>
          <w:sz w:val="26"/>
          <w:szCs w:val="26"/>
          <w:lang w:eastAsia="ru-RU"/>
        </w:rPr>
        <w:t>Starnet</w:t>
      </w:r>
      <w:proofErr w:type="spellEnd"/>
      <w:r w:rsidR="001155D4" w:rsidRPr="00653DB5">
        <w:rPr>
          <w:rFonts w:ascii="Times New Roman" w:hAnsi="Times New Roman" w:cs="Times New Roman"/>
          <w:color w:val="000000" w:themeColor="text1"/>
          <w:sz w:val="26"/>
          <w:szCs w:val="26"/>
          <w:lang w:eastAsia="ru-RU"/>
        </w:rPr>
        <w:t xml:space="preserve"> Servicii” – 27,88% și </w:t>
      </w:r>
      <w:r w:rsidR="00B71ED1" w:rsidRPr="00653DB5">
        <w:rPr>
          <w:rFonts w:ascii="Times New Roman" w:hAnsi="Times New Roman" w:cs="Times New Roman"/>
          <w:color w:val="000000" w:themeColor="text1"/>
          <w:sz w:val="26"/>
          <w:szCs w:val="26"/>
          <w:lang w:eastAsia="ru-RU"/>
        </w:rPr>
        <w:t>S.R.L.„</w:t>
      </w:r>
      <w:proofErr w:type="spellStart"/>
      <w:r w:rsidR="00B71ED1" w:rsidRPr="00653DB5">
        <w:rPr>
          <w:rFonts w:ascii="Times New Roman" w:hAnsi="Times New Roman" w:cs="Times New Roman"/>
          <w:color w:val="000000" w:themeColor="text1"/>
          <w:sz w:val="26"/>
          <w:szCs w:val="26"/>
          <w:lang w:eastAsia="ru-RU"/>
        </w:rPr>
        <w:t>Arax</w:t>
      </w:r>
      <w:proofErr w:type="spellEnd"/>
      <w:r w:rsidR="00B71ED1" w:rsidRPr="00653DB5">
        <w:rPr>
          <w:rFonts w:ascii="Times New Roman" w:hAnsi="Times New Roman" w:cs="Times New Roman"/>
          <w:color w:val="000000" w:themeColor="text1"/>
          <w:sz w:val="26"/>
          <w:szCs w:val="26"/>
          <w:lang w:eastAsia="ru-RU"/>
        </w:rPr>
        <w:t xml:space="preserve"> Impex” – </w:t>
      </w:r>
      <w:r w:rsidR="001155D4" w:rsidRPr="00653DB5">
        <w:rPr>
          <w:rFonts w:ascii="Times New Roman" w:hAnsi="Times New Roman" w:cs="Times New Roman"/>
          <w:color w:val="000000" w:themeColor="text1"/>
          <w:sz w:val="26"/>
          <w:szCs w:val="26"/>
          <w:lang w:eastAsia="ru-RU"/>
        </w:rPr>
        <w:t>22</w:t>
      </w:r>
      <w:r w:rsidR="00B71ED1" w:rsidRPr="00653DB5">
        <w:rPr>
          <w:rFonts w:ascii="Times New Roman" w:hAnsi="Times New Roman" w:cs="Times New Roman"/>
          <w:color w:val="000000" w:themeColor="text1"/>
          <w:sz w:val="26"/>
          <w:szCs w:val="26"/>
          <w:lang w:eastAsia="ru-RU"/>
        </w:rPr>
        <w:t>,</w:t>
      </w:r>
      <w:r w:rsidR="001155D4" w:rsidRPr="00653DB5">
        <w:rPr>
          <w:rFonts w:ascii="Times New Roman" w:hAnsi="Times New Roman" w:cs="Times New Roman"/>
          <w:color w:val="000000" w:themeColor="text1"/>
          <w:sz w:val="26"/>
          <w:szCs w:val="26"/>
          <w:lang w:eastAsia="ru-RU"/>
        </w:rPr>
        <w:t>96</w:t>
      </w:r>
      <w:r w:rsidR="00B71ED1" w:rsidRPr="00653DB5">
        <w:rPr>
          <w:rFonts w:ascii="Times New Roman" w:hAnsi="Times New Roman" w:cs="Times New Roman"/>
          <w:color w:val="000000" w:themeColor="text1"/>
          <w:sz w:val="26"/>
          <w:szCs w:val="26"/>
          <w:lang w:eastAsia="ru-RU"/>
        </w:rPr>
        <w:t>%</w:t>
      </w:r>
      <w:r w:rsidR="001155D4" w:rsidRPr="00653DB5">
        <w:rPr>
          <w:rFonts w:ascii="Times New Roman" w:hAnsi="Times New Roman" w:cs="Times New Roman"/>
          <w:color w:val="000000" w:themeColor="text1"/>
          <w:sz w:val="26"/>
          <w:szCs w:val="26"/>
          <w:lang w:eastAsia="ru-RU"/>
        </w:rPr>
        <w:t>.</w:t>
      </w:r>
      <w:r w:rsidR="00B71ED1" w:rsidRPr="00653DB5">
        <w:rPr>
          <w:rFonts w:ascii="Times New Roman" w:hAnsi="Times New Roman" w:cs="Times New Roman"/>
          <w:color w:val="000000" w:themeColor="text1"/>
          <w:sz w:val="26"/>
          <w:szCs w:val="26"/>
          <w:lang w:eastAsia="ru-RU"/>
        </w:rPr>
        <w:t xml:space="preserve"> </w:t>
      </w:r>
    </w:p>
    <w:p w:rsidR="00A27097" w:rsidRPr="00653DB5" w:rsidRDefault="00F85F38" w:rsidP="008C6767">
      <w:pPr>
        <w:widowControl/>
        <w:tabs>
          <w:tab w:val="left" w:pos="851"/>
        </w:tabs>
        <w:ind w:firstLine="567"/>
        <w:jc w:val="both"/>
        <w:rPr>
          <w:rFonts w:ascii="Times New Roman" w:hAnsi="Times New Roman" w:cs="Times New Roman"/>
          <w:color w:val="000000" w:themeColor="text1"/>
          <w:sz w:val="26"/>
          <w:szCs w:val="26"/>
          <w:lang w:eastAsia="ru-RU"/>
        </w:rPr>
      </w:pPr>
      <w:r w:rsidRPr="00653DB5">
        <w:rPr>
          <w:rFonts w:ascii="Times New Roman" w:hAnsi="Times New Roman" w:cs="Times New Roman"/>
          <w:color w:val="000000" w:themeColor="text1"/>
          <w:sz w:val="26"/>
          <w:szCs w:val="26"/>
          <w:lang w:eastAsia="ru-RU"/>
        </w:rPr>
        <w:t>Î</w:t>
      </w:r>
      <w:r w:rsidR="00B71ED1" w:rsidRPr="00653DB5">
        <w:rPr>
          <w:rFonts w:ascii="Times New Roman" w:hAnsi="Times New Roman" w:cs="Times New Roman"/>
          <w:color w:val="000000" w:themeColor="text1"/>
          <w:sz w:val="26"/>
          <w:szCs w:val="26"/>
          <w:lang w:eastAsia="ru-RU"/>
        </w:rPr>
        <w:t xml:space="preserve">n </w:t>
      </w:r>
      <w:r w:rsidR="00D57943" w:rsidRPr="00653DB5">
        <w:rPr>
          <w:rFonts w:ascii="Times New Roman" w:hAnsi="Times New Roman" w:cs="Times New Roman"/>
          <w:color w:val="000000" w:themeColor="text1"/>
          <w:sz w:val="26"/>
          <w:szCs w:val="26"/>
          <w:lang w:eastAsia="ru-RU"/>
        </w:rPr>
        <w:t>funcție</w:t>
      </w:r>
      <w:r w:rsidR="00B71ED1" w:rsidRPr="00653DB5">
        <w:rPr>
          <w:rFonts w:ascii="Times New Roman" w:hAnsi="Times New Roman" w:cs="Times New Roman"/>
          <w:color w:val="000000" w:themeColor="text1"/>
          <w:sz w:val="26"/>
          <w:szCs w:val="26"/>
          <w:lang w:eastAsia="ru-RU"/>
        </w:rPr>
        <w:t xml:space="preserve"> de venitul înregistrat din furnizarea liniilor închiriate segmente-trunchi</w:t>
      </w:r>
      <w:r w:rsidR="00D57943" w:rsidRPr="00653DB5">
        <w:rPr>
          <w:rFonts w:ascii="Times New Roman" w:hAnsi="Times New Roman" w:cs="Times New Roman"/>
          <w:color w:val="000000" w:themeColor="text1"/>
          <w:sz w:val="26"/>
          <w:szCs w:val="26"/>
          <w:lang w:eastAsia="ru-RU"/>
        </w:rPr>
        <w:t xml:space="preserve"> în 2016</w:t>
      </w:r>
      <w:r w:rsidRPr="00653DB5">
        <w:rPr>
          <w:rFonts w:ascii="Times New Roman" w:hAnsi="Times New Roman" w:cs="Times New Roman"/>
          <w:color w:val="000000" w:themeColor="text1"/>
          <w:sz w:val="26"/>
          <w:szCs w:val="26"/>
          <w:lang w:eastAsia="ru-RU"/>
        </w:rPr>
        <w:t>, furnizorul cu cea mai mare cotă de piață este S.A.„</w:t>
      </w:r>
      <w:proofErr w:type="spellStart"/>
      <w:r w:rsidRPr="00653DB5">
        <w:rPr>
          <w:rFonts w:ascii="Times New Roman" w:hAnsi="Times New Roman" w:cs="Times New Roman"/>
          <w:color w:val="000000" w:themeColor="text1"/>
          <w:sz w:val="26"/>
          <w:szCs w:val="26"/>
          <w:lang w:eastAsia="ru-RU"/>
        </w:rPr>
        <w:t>Moldcell</w:t>
      </w:r>
      <w:proofErr w:type="spellEnd"/>
      <w:r w:rsidRPr="00653DB5">
        <w:rPr>
          <w:rFonts w:ascii="Times New Roman" w:hAnsi="Times New Roman" w:cs="Times New Roman"/>
          <w:color w:val="000000" w:themeColor="text1"/>
          <w:sz w:val="26"/>
          <w:szCs w:val="26"/>
          <w:lang w:eastAsia="ru-RU"/>
        </w:rPr>
        <w:t>” - 5</w:t>
      </w:r>
      <w:r w:rsidR="001155D4" w:rsidRPr="00653DB5">
        <w:rPr>
          <w:rFonts w:ascii="Times New Roman" w:hAnsi="Times New Roman" w:cs="Times New Roman"/>
          <w:color w:val="000000" w:themeColor="text1"/>
          <w:sz w:val="26"/>
          <w:szCs w:val="26"/>
          <w:lang w:eastAsia="ru-RU"/>
        </w:rPr>
        <w:t>7</w:t>
      </w:r>
      <w:r w:rsidRPr="00653DB5">
        <w:rPr>
          <w:rFonts w:ascii="Times New Roman" w:hAnsi="Times New Roman" w:cs="Times New Roman"/>
          <w:color w:val="000000" w:themeColor="text1"/>
          <w:sz w:val="26"/>
          <w:szCs w:val="26"/>
          <w:lang w:eastAsia="ru-RU"/>
        </w:rPr>
        <w:t>,</w:t>
      </w:r>
      <w:r w:rsidR="001155D4" w:rsidRPr="00653DB5">
        <w:rPr>
          <w:rFonts w:ascii="Times New Roman" w:hAnsi="Times New Roman" w:cs="Times New Roman"/>
          <w:color w:val="000000" w:themeColor="text1"/>
          <w:sz w:val="26"/>
          <w:szCs w:val="26"/>
          <w:lang w:eastAsia="ru-RU"/>
        </w:rPr>
        <w:t>20</w:t>
      </w:r>
      <w:r w:rsidRPr="00653DB5">
        <w:rPr>
          <w:rFonts w:ascii="Times New Roman" w:hAnsi="Times New Roman" w:cs="Times New Roman"/>
          <w:color w:val="000000" w:themeColor="text1"/>
          <w:sz w:val="26"/>
          <w:szCs w:val="26"/>
          <w:lang w:eastAsia="ru-RU"/>
        </w:rPr>
        <w:t>%</w:t>
      </w:r>
      <w:r w:rsidR="00A27097" w:rsidRPr="00653DB5">
        <w:rPr>
          <w:rFonts w:ascii="Times New Roman" w:hAnsi="Times New Roman" w:cs="Times New Roman"/>
          <w:color w:val="000000" w:themeColor="text1"/>
          <w:sz w:val="26"/>
          <w:szCs w:val="26"/>
          <w:lang w:eastAsia="ru-RU"/>
        </w:rPr>
        <w:t>, ce</w:t>
      </w:r>
      <w:r w:rsidR="00D57943" w:rsidRPr="00653DB5">
        <w:rPr>
          <w:rFonts w:ascii="Times New Roman" w:hAnsi="Times New Roman" w:cs="Times New Roman"/>
          <w:color w:val="000000" w:themeColor="text1"/>
          <w:sz w:val="26"/>
          <w:szCs w:val="26"/>
          <w:lang w:eastAsia="ru-RU"/>
        </w:rPr>
        <w:t>e</w:t>
      </w:r>
      <w:r w:rsidR="00A27097" w:rsidRPr="00653DB5">
        <w:rPr>
          <w:rFonts w:ascii="Times New Roman" w:hAnsi="Times New Roman" w:cs="Times New Roman"/>
          <w:color w:val="000000" w:themeColor="text1"/>
          <w:sz w:val="26"/>
          <w:szCs w:val="26"/>
          <w:lang w:eastAsia="ru-RU"/>
        </w:rPr>
        <w:t xml:space="preserve">a ce reprezintă o </w:t>
      </w:r>
      <w:r w:rsidR="00497799" w:rsidRPr="00653DB5">
        <w:rPr>
          <w:rFonts w:ascii="Times New Roman" w:hAnsi="Times New Roman" w:cs="Times New Roman"/>
          <w:color w:val="000000" w:themeColor="text1"/>
          <w:sz w:val="26"/>
          <w:szCs w:val="26"/>
          <w:lang w:eastAsia="ru-RU"/>
        </w:rPr>
        <w:t xml:space="preserve">creștere </w:t>
      </w:r>
      <w:r w:rsidR="00D57943" w:rsidRPr="00653DB5">
        <w:rPr>
          <w:rFonts w:ascii="Times New Roman" w:hAnsi="Times New Roman" w:cs="Times New Roman"/>
          <w:color w:val="000000" w:themeColor="text1"/>
          <w:sz w:val="26"/>
          <w:szCs w:val="26"/>
          <w:lang w:eastAsia="ru-RU"/>
        </w:rPr>
        <w:t>cu</w:t>
      </w:r>
      <w:r w:rsidR="00497799" w:rsidRPr="00653DB5">
        <w:rPr>
          <w:rFonts w:ascii="Times New Roman" w:hAnsi="Times New Roman" w:cs="Times New Roman"/>
          <w:color w:val="000000" w:themeColor="text1"/>
          <w:sz w:val="26"/>
          <w:szCs w:val="26"/>
          <w:lang w:eastAsia="ru-RU"/>
        </w:rPr>
        <w:t xml:space="preserve"> 3</w:t>
      </w:r>
      <w:r w:rsidR="001155D4" w:rsidRPr="00653DB5">
        <w:rPr>
          <w:rFonts w:ascii="Times New Roman" w:hAnsi="Times New Roman" w:cs="Times New Roman"/>
          <w:color w:val="000000" w:themeColor="text1"/>
          <w:sz w:val="26"/>
          <w:szCs w:val="26"/>
          <w:lang w:eastAsia="ru-RU"/>
        </w:rPr>
        <w:t>6</w:t>
      </w:r>
      <w:r w:rsidR="00497799" w:rsidRPr="00653DB5">
        <w:rPr>
          <w:rFonts w:ascii="Times New Roman" w:hAnsi="Times New Roman" w:cs="Times New Roman"/>
          <w:color w:val="000000" w:themeColor="text1"/>
          <w:sz w:val="26"/>
          <w:szCs w:val="26"/>
          <w:lang w:eastAsia="ru-RU"/>
        </w:rPr>
        <w:t>,</w:t>
      </w:r>
      <w:r w:rsidR="001155D4" w:rsidRPr="00653DB5">
        <w:rPr>
          <w:rFonts w:ascii="Times New Roman" w:hAnsi="Times New Roman" w:cs="Times New Roman"/>
          <w:color w:val="000000" w:themeColor="text1"/>
          <w:sz w:val="26"/>
          <w:szCs w:val="26"/>
          <w:lang w:eastAsia="ru-RU"/>
        </w:rPr>
        <w:t>1</w:t>
      </w:r>
      <w:r w:rsidR="00497799" w:rsidRPr="00653DB5">
        <w:rPr>
          <w:rFonts w:ascii="Times New Roman" w:hAnsi="Times New Roman" w:cs="Times New Roman"/>
          <w:color w:val="000000" w:themeColor="text1"/>
          <w:sz w:val="26"/>
          <w:szCs w:val="26"/>
          <w:lang w:eastAsia="ru-RU"/>
        </w:rPr>
        <w:t xml:space="preserve"> </w:t>
      </w:r>
      <w:proofErr w:type="spellStart"/>
      <w:r w:rsidR="00497799" w:rsidRPr="00653DB5">
        <w:rPr>
          <w:rFonts w:ascii="Times New Roman" w:hAnsi="Times New Roman" w:cs="Times New Roman"/>
          <w:color w:val="000000" w:themeColor="text1"/>
          <w:sz w:val="26"/>
          <w:szCs w:val="26"/>
          <w:lang w:eastAsia="ru-RU"/>
        </w:rPr>
        <w:t>p.p</w:t>
      </w:r>
      <w:proofErr w:type="spellEnd"/>
      <w:r w:rsidR="00497799" w:rsidRPr="00653DB5">
        <w:rPr>
          <w:rFonts w:ascii="Times New Roman" w:hAnsi="Times New Roman" w:cs="Times New Roman"/>
          <w:color w:val="000000" w:themeColor="text1"/>
          <w:sz w:val="26"/>
          <w:szCs w:val="26"/>
          <w:lang w:eastAsia="ru-RU"/>
        </w:rPr>
        <w:t>. față de</w:t>
      </w:r>
      <w:r w:rsidR="001155D4" w:rsidRPr="00653DB5">
        <w:rPr>
          <w:rFonts w:ascii="Times New Roman" w:hAnsi="Times New Roman" w:cs="Times New Roman"/>
          <w:color w:val="000000" w:themeColor="text1"/>
          <w:sz w:val="26"/>
          <w:szCs w:val="26"/>
          <w:lang w:eastAsia="ru-RU"/>
        </w:rPr>
        <w:t xml:space="preserve"> anul</w:t>
      </w:r>
      <w:r w:rsidR="00497799" w:rsidRPr="00653DB5">
        <w:rPr>
          <w:rFonts w:ascii="Times New Roman" w:hAnsi="Times New Roman" w:cs="Times New Roman"/>
          <w:color w:val="000000" w:themeColor="text1"/>
          <w:sz w:val="26"/>
          <w:szCs w:val="26"/>
          <w:lang w:eastAsia="ru-RU"/>
        </w:rPr>
        <w:t xml:space="preserve"> 2014</w:t>
      </w:r>
      <w:r w:rsidRPr="00653DB5">
        <w:rPr>
          <w:rFonts w:ascii="Times New Roman" w:hAnsi="Times New Roman" w:cs="Times New Roman"/>
          <w:color w:val="000000" w:themeColor="text1"/>
          <w:sz w:val="26"/>
          <w:szCs w:val="26"/>
          <w:lang w:eastAsia="ru-RU"/>
        </w:rPr>
        <w:t>, urmat de S.A.„Moldtelecom” – 3</w:t>
      </w:r>
      <w:r w:rsidR="001155D4" w:rsidRPr="00653DB5">
        <w:rPr>
          <w:rFonts w:ascii="Times New Roman" w:hAnsi="Times New Roman" w:cs="Times New Roman"/>
          <w:color w:val="000000" w:themeColor="text1"/>
          <w:sz w:val="26"/>
          <w:szCs w:val="26"/>
          <w:lang w:eastAsia="ru-RU"/>
        </w:rPr>
        <w:t>7</w:t>
      </w:r>
      <w:r w:rsidRPr="00653DB5">
        <w:rPr>
          <w:rFonts w:ascii="Times New Roman" w:hAnsi="Times New Roman" w:cs="Times New Roman"/>
          <w:color w:val="000000" w:themeColor="text1"/>
          <w:sz w:val="26"/>
          <w:szCs w:val="26"/>
          <w:lang w:eastAsia="ru-RU"/>
        </w:rPr>
        <w:t>,7</w:t>
      </w:r>
      <w:r w:rsidR="001155D4" w:rsidRPr="00653DB5">
        <w:rPr>
          <w:rFonts w:ascii="Times New Roman" w:hAnsi="Times New Roman" w:cs="Times New Roman"/>
          <w:color w:val="000000" w:themeColor="text1"/>
          <w:sz w:val="26"/>
          <w:szCs w:val="26"/>
          <w:lang w:eastAsia="ru-RU"/>
        </w:rPr>
        <w:t>4</w:t>
      </w:r>
      <w:r w:rsidRPr="00653DB5">
        <w:rPr>
          <w:rFonts w:ascii="Times New Roman" w:hAnsi="Times New Roman" w:cs="Times New Roman"/>
          <w:color w:val="000000" w:themeColor="text1"/>
          <w:sz w:val="26"/>
          <w:szCs w:val="26"/>
          <w:lang w:eastAsia="ru-RU"/>
        </w:rPr>
        <w:t>%</w:t>
      </w:r>
      <w:r w:rsidR="00A27097" w:rsidRPr="00653DB5">
        <w:rPr>
          <w:rFonts w:ascii="Times New Roman" w:hAnsi="Times New Roman" w:cs="Times New Roman"/>
          <w:color w:val="000000" w:themeColor="text1"/>
          <w:sz w:val="26"/>
          <w:szCs w:val="26"/>
          <w:lang w:eastAsia="ru-RU"/>
        </w:rPr>
        <w:t xml:space="preserve">, care a înregistrat o scădere </w:t>
      </w:r>
      <w:r w:rsidR="00D57943" w:rsidRPr="00653DB5">
        <w:rPr>
          <w:rFonts w:ascii="Times New Roman" w:hAnsi="Times New Roman" w:cs="Times New Roman"/>
          <w:color w:val="000000" w:themeColor="text1"/>
          <w:sz w:val="26"/>
          <w:szCs w:val="26"/>
          <w:lang w:eastAsia="ru-RU"/>
        </w:rPr>
        <w:t>cu</w:t>
      </w:r>
      <w:r w:rsidR="00A27097" w:rsidRPr="00653DB5">
        <w:rPr>
          <w:rFonts w:ascii="Times New Roman" w:hAnsi="Times New Roman" w:cs="Times New Roman"/>
          <w:color w:val="000000" w:themeColor="text1"/>
          <w:sz w:val="26"/>
          <w:szCs w:val="26"/>
          <w:lang w:eastAsia="ru-RU"/>
        </w:rPr>
        <w:t xml:space="preserve"> 3</w:t>
      </w:r>
      <w:r w:rsidR="001155D4" w:rsidRPr="00653DB5">
        <w:rPr>
          <w:rFonts w:ascii="Times New Roman" w:hAnsi="Times New Roman" w:cs="Times New Roman"/>
          <w:color w:val="000000" w:themeColor="text1"/>
          <w:sz w:val="26"/>
          <w:szCs w:val="26"/>
          <w:lang w:eastAsia="ru-RU"/>
        </w:rPr>
        <w:t>7</w:t>
      </w:r>
      <w:r w:rsidR="00A27097" w:rsidRPr="00653DB5">
        <w:rPr>
          <w:rFonts w:ascii="Times New Roman" w:hAnsi="Times New Roman" w:cs="Times New Roman"/>
          <w:color w:val="000000" w:themeColor="text1"/>
          <w:sz w:val="26"/>
          <w:szCs w:val="26"/>
          <w:lang w:eastAsia="ru-RU"/>
        </w:rPr>
        <w:t>,</w:t>
      </w:r>
      <w:r w:rsidR="001155D4" w:rsidRPr="00653DB5">
        <w:rPr>
          <w:rFonts w:ascii="Times New Roman" w:hAnsi="Times New Roman" w:cs="Times New Roman"/>
          <w:color w:val="000000" w:themeColor="text1"/>
          <w:sz w:val="26"/>
          <w:szCs w:val="26"/>
          <w:lang w:eastAsia="ru-RU"/>
        </w:rPr>
        <w:t>9</w:t>
      </w:r>
      <w:r w:rsidR="00A27097" w:rsidRPr="00653DB5">
        <w:rPr>
          <w:rFonts w:ascii="Times New Roman" w:hAnsi="Times New Roman" w:cs="Times New Roman"/>
          <w:color w:val="000000" w:themeColor="text1"/>
          <w:sz w:val="26"/>
          <w:szCs w:val="26"/>
          <w:lang w:eastAsia="ru-RU"/>
        </w:rPr>
        <w:t xml:space="preserve"> </w:t>
      </w:r>
      <w:proofErr w:type="spellStart"/>
      <w:r w:rsidR="00A27097" w:rsidRPr="00653DB5">
        <w:rPr>
          <w:rFonts w:ascii="Times New Roman" w:hAnsi="Times New Roman" w:cs="Times New Roman"/>
          <w:color w:val="000000" w:themeColor="text1"/>
          <w:sz w:val="26"/>
          <w:szCs w:val="26"/>
          <w:lang w:eastAsia="ru-RU"/>
        </w:rPr>
        <w:t>p.p</w:t>
      </w:r>
      <w:proofErr w:type="spellEnd"/>
      <w:r w:rsidR="00A27097" w:rsidRPr="00653DB5">
        <w:rPr>
          <w:rFonts w:ascii="Times New Roman" w:hAnsi="Times New Roman" w:cs="Times New Roman"/>
          <w:color w:val="000000" w:themeColor="text1"/>
          <w:sz w:val="26"/>
          <w:szCs w:val="26"/>
          <w:lang w:eastAsia="ru-RU"/>
        </w:rPr>
        <w:t>. față de</w:t>
      </w:r>
      <w:r w:rsidR="001155D4" w:rsidRPr="00653DB5">
        <w:rPr>
          <w:rFonts w:ascii="Times New Roman" w:hAnsi="Times New Roman" w:cs="Times New Roman"/>
          <w:color w:val="000000" w:themeColor="text1"/>
          <w:sz w:val="26"/>
          <w:szCs w:val="26"/>
          <w:lang w:eastAsia="ru-RU"/>
        </w:rPr>
        <w:t xml:space="preserve"> anul</w:t>
      </w:r>
      <w:r w:rsidR="00A27097" w:rsidRPr="00653DB5">
        <w:rPr>
          <w:rFonts w:ascii="Times New Roman" w:hAnsi="Times New Roman" w:cs="Times New Roman"/>
          <w:color w:val="000000" w:themeColor="text1"/>
          <w:sz w:val="26"/>
          <w:szCs w:val="26"/>
          <w:lang w:eastAsia="ru-RU"/>
        </w:rPr>
        <w:t xml:space="preserve"> 2014.</w:t>
      </w:r>
      <w:r w:rsidRPr="00653DB5">
        <w:rPr>
          <w:rFonts w:ascii="Times New Roman" w:hAnsi="Times New Roman" w:cs="Times New Roman"/>
          <w:color w:val="000000" w:themeColor="text1"/>
          <w:sz w:val="26"/>
          <w:szCs w:val="26"/>
          <w:lang w:eastAsia="ru-RU"/>
        </w:rPr>
        <w:t xml:space="preserve"> </w:t>
      </w:r>
    </w:p>
    <w:p w:rsidR="009568D8" w:rsidRPr="00653DB5" w:rsidRDefault="0007758D" w:rsidP="008C6767">
      <w:pPr>
        <w:widowControl/>
        <w:tabs>
          <w:tab w:val="left" w:pos="851"/>
        </w:tabs>
        <w:ind w:firstLine="567"/>
        <w:jc w:val="both"/>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Menţionăm că diferenţele semnificative între cotele de piaţă în funcţie de veniturile obţinute din furnizarea serviciilor de linii închiriate segmente-trunchi şi numărul de circuite de linii închiriate furnizate</w:t>
      </w:r>
      <w:r w:rsidR="006D4B26" w:rsidRPr="00653DB5">
        <w:rPr>
          <w:rFonts w:ascii="Times New Roman" w:hAnsi="Times New Roman" w:cs="Times New Roman"/>
          <w:color w:val="000000" w:themeColor="text1"/>
          <w:sz w:val="26"/>
          <w:szCs w:val="26"/>
        </w:rPr>
        <w:t xml:space="preserve">, sunt determinate </w:t>
      </w:r>
      <w:proofErr w:type="spellStart"/>
      <w:r w:rsidR="006D4B26" w:rsidRPr="00653DB5">
        <w:rPr>
          <w:rFonts w:ascii="Times New Roman" w:hAnsi="Times New Roman" w:cs="Times New Roman"/>
          <w:color w:val="000000" w:themeColor="text1"/>
          <w:sz w:val="26"/>
          <w:szCs w:val="26"/>
        </w:rPr>
        <w:t>atît</w:t>
      </w:r>
      <w:proofErr w:type="spellEnd"/>
      <w:r w:rsidR="006D4B26" w:rsidRPr="00653DB5">
        <w:rPr>
          <w:rFonts w:ascii="Times New Roman" w:hAnsi="Times New Roman" w:cs="Times New Roman"/>
          <w:color w:val="000000" w:themeColor="text1"/>
          <w:sz w:val="26"/>
          <w:szCs w:val="26"/>
        </w:rPr>
        <w:t xml:space="preserve"> de lungimea segmentelor-trunchi furnizate</w:t>
      </w:r>
      <w:r w:rsidR="00DF218B" w:rsidRPr="00653DB5">
        <w:rPr>
          <w:rFonts w:ascii="Times New Roman" w:hAnsi="Times New Roman" w:cs="Times New Roman"/>
          <w:color w:val="000000" w:themeColor="text1"/>
          <w:sz w:val="26"/>
          <w:szCs w:val="26"/>
        </w:rPr>
        <w:t>,</w:t>
      </w:r>
      <w:r w:rsidR="006D4B26" w:rsidRPr="00653DB5">
        <w:rPr>
          <w:rFonts w:ascii="Times New Roman" w:hAnsi="Times New Roman" w:cs="Times New Roman"/>
          <w:color w:val="000000" w:themeColor="text1"/>
          <w:sz w:val="26"/>
          <w:szCs w:val="26"/>
        </w:rPr>
        <w:t xml:space="preserve"> </w:t>
      </w:r>
      <w:proofErr w:type="spellStart"/>
      <w:r w:rsidR="006D4B26" w:rsidRPr="00653DB5">
        <w:rPr>
          <w:rFonts w:ascii="Times New Roman" w:hAnsi="Times New Roman" w:cs="Times New Roman"/>
          <w:color w:val="000000" w:themeColor="text1"/>
          <w:sz w:val="26"/>
          <w:szCs w:val="26"/>
        </w:rPr>
        <w:t>cît</w:t>
      </w:r>
      <w:proofErr w:type="spellEnd"/>
      <w:r w:rsidR="006D4B26" w:rsidRPr="00653DB5">
        <w:rPr>
          <w:rFonts w:ascii="Times New Roman" w:hAnsi="Times New Roman" w:cs="Times New Roman"/>
          <w:color w:val="000000" w:themeColor="text1"/>
          <w:sz w:val="26"/>
          <w:szCs w:val="26"/>
        </w:rPr>
        <w:t xml:space="preserve"> şi de capacităţile furnizate.</w:t>
      </w:r>
      <w:r w:rsidR="00C2346E" w:rsidRPr="00653DB5">
        <w:rPr>
          <w:rFonts w:ascii="Times New Roman" w:hAnsi="Times New Roman" w:cs="Times New Roman"/>
          <w:color w:val="000000" w:themeColor="text1"/>
          <w:sz w:val="26"/>
          <w:szCs w:val="26"/>
        </w:rPr>
        <w:t xml:space="preserve"> Astfel se explică diminuarea cotei de piață a S.A.„Moldtelecom” </w:t>
      </w:r>
      <w:r w:rsidR="00E01A6F" w:rsidRPr="00653DB5">
        <w:rPr>
          <w:rFonts w:ascii="Times New Roman" w:hAnsi="Times New Roman" w:cs="Times New Roman"/>
          <w:color w:val="000000" w:themeColor="text1"/>
          <w:sz w:val="26"/>
          <w:szCs w:val="26"/>
        </w:rPr>
        <w:t>în funcție de venituri</w:t>
      </w:r>
      <w:r w:rsidR="00FB1894">
        <w:rPr>
          <w:rFonts w:ascii="Times New Roman" w:hAnsi="Times New Roman" w:cs="Times New Roman"/>
          <w:color w:val="000000" w:themeColor="text1"/>
          <w:sz w:val="26"/>
          <w:szCs w:val="26"/>
        </w:rPr>
        <w:t xml:space="preserve"> </w:t>
      </w:r>
      <w:r w:rsidR="00E01A6F" w:rsidRPr="00653DB5">
        <w:rPr>
          <w:rFonts w:ascii="Times New Roman" w:hAnsi="Times New Roman" w:cs="Times New Roman"/>
          <w:color w:val="000000" w:themeColor="text1"/>
          <w:sz w:val="26"/>
          <w:szCs w:val="26"/>
        </w:rPr>
        <w:t>–</w:t>
      </w:r>
      <w:r w:rsidR="00D5760C" w:rsidRPr="00653DB5">
        <w:rPr>
          <w:rFonts w:ascii="Times New Roman" w:hAnsi="Times New Roman" w:cs="Times New Roman"/>
          <w:color w:val="000000" w:themeColor="text1"/>
          <w:sz w:val="26"/>
          <w:szCs w:val="26"/>
        </w:rPr>
        <w:t xml:space="preserve"> furnizorul dat prestează</w:t>
      </w:r>
      <w:r w:rsidR="00E01A6F" w:rsidRPr="00653DB5">
        <w:rPr>
          <w:rFonts w:ascii="Times New Roman" w:hAnsi="Times New Roman" w:cs="Times New Roman"/>
          <w:color w:val="000000" w:themeColor="text1"/>
          <w:sz w:val="26"/>
          <w:szCs w:val="26"/>
        </w:rPr>
        <w:t xml:space="preserve"> aproximativ același număr de circuite de linii închiriate segmente-trunchi</w:t>
      </w:r>
      <w:r w:rsidR="00D5760C" w:rsidRPr="00653DB5">
        <w:rPr>
          <w:rFonts w:ascii="Times New Roman" w:hAnsi="Times New Roman" w:cs="Times New Roman"/>
          <w:color w:val="000000" w:themeColor="text1"/>
          <w:sz w:val="26"/>
          <w:szCs w:val="26"/>
        </w:rPr>
        <w:t>, însă de</w:t>
      </w:r>
      <w:r w:rsidR="00FB1894">
        <w:rPr>
          <w:rFonts w:ascii="Times New Roman" w:hAnsi="Times New Roman" w:cs="Times New Roman"/>
          <w:color w:val="000000" w:themeColor="text1"/>
          <w:sz w:val="26"/>
          <w:szCs w:val="26"/>
        </w:rPr>
        <w:t xml:space="preserve"> </w:t>
      </w:r>
      <w:r w:rsidR="00E01A6F" w:rsidRPr="00653DB5">
        <w:rPr>
          <w:rFonts w:ascii="Times New Roman" w:hAnsi="Times New Roman" w:cs="Times New Roman"/>
          <w:color w:val="000000" w:themeColor="text1"/>
          <w:sz w:val="26"/>
          <w:szCs w:val="26"/>
        </w:rPr>
        <w:t xml:space="preserve">capacități </w:t>
      </w:r>
      <w:r w:rsidR="00D5760C" w:rsidRPr="00653DB5">
        <w:rPr>
          <w:rFonts w:ascii="Times New Roman" w:hAnsi="Times New Roman" w:cs="Times New Roman"/>
          <w:color w:val="000000" w:themeColor="text1"/>
          <w:sz w:val="26"/>
          <w:szCs w:val="26"/>
        </w:rPr>
        <w:t>mai mici</w:t>
      </w:r>
      <w:r w:rsidR="00E01A6F" w:rsidRPr="00653DB5">
        <w:rPr>
          <w:rFonts w:ascii="Times New Roman" w:hAnsi="Times New Roman" w:cs="Times New Roman"/>
          <w:color w:val="000000" w:themeColor="text1"/>
          <w:sz w:val="26"/>
          <w:szCs w:val="26"/>
        </w:rPr>
        <w:t xml:space="preserve">. </w:t>
      </w:r>
    </w:p>
    <w:p w:rsidR="006D4B26" w:rsidRPr="00653DB5" w:rsidRDefault="006D4B26" w:rsidP="00047108">
      <w:pPr>
        <w:widowControl/>
        <w:autoSpaceDE w:val="0"/>
        <w:autoSpaceDN w:val="0"/>
        <w:adjustRightInd w:val="0"/>
        <w:jc w:val="both"/>
        <w:rPr>
          <w:rFonts w:ascii="Times New Roman" w:eastAsia="Times New Roman" w:hAnsi="Times New Roman" w:cs="Times New Roman"/>
          <w:b/>
          <w:color w:val="000000" w:themeColor="text1"/>
          <w:sz w:val="26"/>
          <w:szCs w:val="26"/>
          <w:lang w:eastAsia="ru-RU"/>
        </w:rPr>
      </w:pPr>
      <w:r w:rsidRPr="00653DB5">
        <w:rPr>
          <w:rFonts w:ascii="Times New Roman" w:eastAsia="Times New Roman" w:hAnsi="Times New Roman" w:cs="Times New Roman"/>
          <w:b/>
          <w:color w:val="000000" w:themeColor="text1"/>
          <w:sz w:val="26"/>
          <w:szCs w:val="26"/>
          <w:lang w:eastAsia="ru-RU"/>
        </w:rPr>
        <w:t>Tabelul nr.</w:t>
      </w:r>
      <w:r w:rsidR="005E2284" w:rsidRPr="00653DB5">
        <w:rPr>
          <w:rFonts w:ascii="Times New Roman" w:eastAsia="Times New Roman" w:hAnsi="Times New Roman" w:cs="Times New Roman"/>
          <w:b/>
          <w:color w:val="000000" w:themeColor="text1"/>
          <w:sz w:val="26"/>
          <w:szCs w:val="26"/>
          <w:lang w:eastAsia="ru-RU"/>
        </w:rPr>
        <w:t>2</w:t>
      </w:r>
      <w:r w:rsidRPr="00653DB5">
        <w:rPr>
          <w:rFonts w:ascii="Times New Roman" w:eastAsia="Times New Roman" w:hAnsi="Times New Roman" w:cs="Times New Roman"/>
          <w:b/>
          <w:color w:val="000000" w:themeColor="text1"/>
          <w:sz w:val="26"/>
          <w:szCs w:val="26"/>
          <w:lang w:eastAsia="ru-RU"/>
        </w:rPr>
        <w:t>: Cotele de piaţă ale furnizorilor de</w:t>
      </w:r>
      <w:r w:rsidR="00A27097" w:rsidRPr="00653DB5">
        <w:rPr>
          <w:rFonts w:ascii="Times New Roman" w:eastAsia="Times New Roman" w:hAnsi="Times New Roman" w:cs="Times New Roman"/>
          <w:b/>
          <w:color w:val="000000" w:themeColor="text1"/>
          <w:sz w:val="26"/>
          <w:szCs w:val="26"/>
          <w:lang w:eastAsia="ru-RU"/>
        </w:rPr>
        <w:t xml:space="preserve"> </w:t>
      </w:r>
      <w:r w:rsidRPr="00653DB5">
        <w:rPr>
          <w:rFonts w:ascii="Times New Roman" w:eastAsia="Times New Roman" w:hAnsi="Times New Roman" w:cs="Times New Roman"/>
          <w:b/>
          <w:color w:val="000000" w:themeColor="text1"/>
          <w:sz w:val="26"/>
          <w:szCs w:val="26"/>
          <w:lang w:eastAsia="ru-RU"/>
        </w:rPr>
        <w:t xml:space="preserve">servicii de segmente-trunchi de linii închiriate la nivel cu ridicata în funcţie de </w:t>
      </w:r>
      <w:r w:rsidR="005A6569" w:rsidRPr="00653DB5">
        <w:rPr>
          <w:rFonts w:ascii="Times New Roman" w:eastAsia="Times New Roman" w:hAnsi="Times New Roman" w:cs="Times New Roman"/>
          <w:b/>
          <w:color w:val="000000" w:themeColor="text1"/>
          <w:sz w:val="26"/>
          <w:szCs w:val="26"/>
          <w:lang w:eastAsia="ru-RU"/>
        </w:rPr>
        <w:t>numărul de circuite furnizate</w:t>
      </w:r>
      <w:r w:rsidRPr="00653DB5">
        <w:rPr>
          <w:rFonts w:ascii="Times New Roman" w:eastAsia="Times New Roman" w:hAnsi="Times New Roman" w:cs="Times New Roman"/>
          <w:b/>
          <w:color w:val="000000" w:themeColor="text1"/>
          <w:sz w:val="26"/>
          <w:szCs w:val="26"/>
          <w:lang w:eastAsia="ru-RU"/>
        </w:rPr>
        <w:t xml:space="preserve"> </w:t>
      </w:r>
    </w:p>
    <w:tbl>
      <w:tblPr>
        <w:tblStyle w:val="TableGrid"/>
        <w:tblW w:w="0" w:type="auto"/>
        <w:tblLook w:val="04A0" w:firstRow="1" w:lastRow="0" w:firstColumn="1" w:lastColumn="0" w:noHBand="0" w:noVBand="1"/>
      </w:tblPr>
      <w:tblGrid>
        <w:gridCol w:w="1818"/>
        <w:gridCol w:w="1037"/>
        <w:gridCol w:w="1417"/>
        <w:gridCol w:w="1417"/>
        <w:gridCol w:w="1417"/>
        <w:gridCol w:w="1417"/>
        <w:gridCol w:w="1418"/>
      </w:tblGrid>
      <w:tr w:rsidR="003519D9" w:rsidRPr="00653DB5" w:rsidTr="00047108">
        <w:tc>
          <w:tcPr>
            <w:tcW w:w="1818" w:type="dxa"/>
          </w:tcPr>
          <w:p w:rsidR="003519D9" w:rsidRPr="00653DB5"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lastRenderedPageBreak/>
              <w:t>Furnizor</w:t>
            </w:r>
          </w:p>
        </w:tc>
        <w:tc>
          <w:tcPr>
            <w:tcW w:w="1037" w:type="dxa"/>
          </w:tcPr>
          <w:p w:rsidR="003519D9" w:rsidRPr="00653DB5"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2010</w:t>
            </w:r>
          </w:p>
        </w:tc>
        <w:tc>
          <w:tcPr>
            <w:tcW w:w="1417" w:type="dxa"/>
          </w:tcPr>
          <w:p w:rsidR="003519D9" w:rsidRPr="00653DB5"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2012</w:t>
            </w:r>
          </w:p>
        </w:tc>
        <w:tc>
          <w:tcPr>
            <w:tcW w:w="1417" w:type="dxa"/>
          </w:tcPr>
          <w:p w:rsidR="003519D9" w:rsidRPr="00653DB5"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2013</w:t>
            </w:r>
          </w:p>
        </w:tc>
        <w:tc>
          <w:tcPr>
            <w:tcW w:w="1417" w:type="dxa"/>
          </w:tcPr>
          <w:p w:rsidR="003519D9" w:rsidRPr="00653DB5"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2014</w:t>
            </w:r>
          </w:p>
        </w:tc>
        <w:tc>
          <w:tcPr>
            <w:tcW w:w="1417" w:type="dxa"/>
          </w:tcPr>
          <w:p w:rsidR="003519D9" w:rsidRPr="00653DB5"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2015</w:t>
            </w:r>
          </w:p>
        </w:tc>
        <w:tc>
          <w:tcPr>
            <w:tcW w:w="1418" w:type="dxa"/>
          </w:tcPr>
          <w:p w:rsidR="003519D9" w:rsidRPr="00653DB5"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2016</w:t>
            </w:r>
          </w:p>
        </w:tc>
      </w:tr>
      <w:tr w:rsidR="003D29F2" w:rsidRPr="00653DB5" w:rsidTr="00047108">
        <w:tc>
          <w:tcPr>
            <w:tcW w:w="1818" w:type="dxa"/>
            <w:vAlign w:val="center"/>
          </w:tcPr>
          <w:p w:rsidR="003D29F2" w:rsidRPr="00653DB5" w:rsidRDefault="003D29F2" w:rsidP="00047108">
            <w:pPr>
              <w:widowControl/>
              <w:autoSpaceDE w:val="0"/>
              <w:autoSpaceDN w:val="0"/>
              <w:adjustRightInd w:val="0"/>
              <w:rPr>
                <w:rFonts w:ascii="Times New Roman" w:eastAsia="Times New Roman" w:hAnsi="Times New Roman" w:cs="Times New Roman"/>
                <w:b/>
                <w:color w:val="000000" w:themeColor="text1"/>
                <w:sz w:val="22"/>
                <w:szCs w:val="22"/>
                <w:lang w:eastAsia="ru-RU"/>
              </w:rPr>
            </w:pPr>
            <w:r w:rsidRPr="00653DB5">
              <w:rPr>
                <w:rFonts w:ascii="Times New Roman" w:hAnsi="Times New Roman" w:cs="Times New Roman"/>
                <w:b/>
                <w:color w:val="000000" w:themeColor="text1"/>
                <w:sz w:val="22"/>
                <w:szCs w:val="22"/>
              </w:rPr>
              <w:t>Moldtelecom</w:t>
            </w:r>
          </w:p>
        </w:tc>
        <w:tc>
          <w:tcPr>
            <w:tcW w:w="103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100%</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94,05%</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54,74%</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51,23%</w:t>
            </w:r>
          </w:p>
        </w:tc>
        <w:tc>
          <w:tcPr>
            <w:tcW w:w="1417" w:type="dxa"/>
            <w:vAlign w:val="bottom"/>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38.71%</w:t>
            </w:r>
          </w:p>
        </w:tc>
        <w:tc>
          <w:tcPr>
            <w:tcW w:w="1418" w:type="dxa"/>
            <w:vAlign w:val="bottom"/>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39.86%</w:t>
            </w:r>
          </w:p>
        </w:tc>
      </w:tr>
      <w:tr w:rsidR="003D29F2" w:rsidRPr="00653DB5" w:rsidTr="00047108">
        <w:tc>
          <w:tcPr>
            <w:tcW w:w="1818" w:type="dxa"/>
            <w:vAlign w:val="center"/>
          </w:tcPr>
          <w:p w:rsidR="003D29F2" w:rsidRPr="00653DB5" w:rsidRDefault="003D29F2" w:rsidP="00047108">
            <w:pPr>
              <w:widowControl/>
              <w:autoSpaceDE w:val="0"/>
              <w:autoSpaceDN w:val="0"/>
              <w:adjustRightInd w:val="0"/>
              <w:rPr>
                <w:rFonts w:ascii="Times New Roman" w:eastAsia="Times New Roman" w:hAnsi="Times New Roman" w:cs="Times New Roman"/>
                <w:b/>
                <w:color w:val="000000" w:themeColor="text1"/>
                <w:sz w:val="22"/>
                <w:szCs w:val="22"/>
                <w:lang w:eastAsia="ru-RU"/>
              </w:rPr>
            </w:pPr>
            <w:r w:rsidRPr="00653DB5">
              <w:rPr>
                <w:rFonts w:ascii="Times New Roman" w:hAnsi="Times New Roman" w:cs="Times New Roman"/>
                <w:b/>
                <w:color w:val="000000" w:themeColor="text1"/>
                <w:sz w:val="22"/>
                <w:szCs w:val="22"/>
              </w:rPr>
              <w:t>Orange Moldova</w:t>
            </w:r>
          </w:p>
        </w:tc>
        <w:tc>
          <w:tcPr>
            <w:tcW w:w="103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3,57%</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2,19%</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1,85%</w:t>
            </w:r>
          </w:p>
        </w:tc>
        <w:tc>
          <w:tcPr>
            <w:tcW w:w="1417" w:type="dxa"/>
            <w:vAlign w:val="bottom"/>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0.52%</w:t>
            </w:r>
          </w:p>
        </w:tc>
        <w:tc>
          <w:tcPr>
            <w:tcW w:w="1418" w:type="dxa"/>
            <w:vAlign w:val="bottom"/>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0.55%</w:t>
            </w:r>
          </w:p>
        </w:tc>
      </w:tr>
      <w:tr w:rsidR="003D29F2" w:rsidRPr="00653DB5" w:rsidTr="00047108">
        <w:tc>
          <w:tcPr>
            <w:tcW w:w="1818" w:type="dxa"/>
            <w:vAlign w:val="center"/>
          </w:tcPr>
          <w:p w:rsidR="003D29F2" w:rsidRPr="00653DB5" w:rsidRDefault="003D29F2" w:rsidP="00047108">
            <w:pPr>
              <w:widowControl/>
              <w:autoSpaceDE w:val="0"/>
              <w:autoSpaceDN w:val="0"/>
              <w:adjustRightInd w:val="0"/>
              <w:rPr>
                <w:rFonts w:ascii="Times New Roman" w:eastAsia="Times New Roman" w:hAnsi="Times New Roman" w:cs="Times New Roman"/>
                <w:b/>
                <w:color w:val="000000" w:themeColor="text1"/>
                <w:sz w:val="22"/>
                <w:szCs w:val="22"/>
                <w:lang w:eastAsia="ru-RU"/>
              </w:rPr>
            </w:pPr>
            <w:proofErr w:type="spellStart"/>
            <w:r w:rsidRPr="00653DB5">
              <w:rPr>
                <w:rFonts w:ascii="Times New Roman" w:hAnsi="Times New Roman" w:cs="Times New Roman"/>
                <w:b/>
                <w:color w:val="000000" w:themeColor="text1"/>
                <w:sz w:val="22"/>
                <w:szCs w:val="22"/>
              </w:rPr>
              <w:t>Moldcell</w:t>
            </w:r>
            <w:proofErr w:type="spellEnd"/>
          </w:p>
        </w:tc>
        <w:tc>
          <w:tcPr>
            <w:tcW w:w="103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8,76%</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15,43%</w:t>
            </w:r>
          </w:p>
        </w:tc>
        <w:tc>
          <w:tcPr>
            <w:tcW w:w="1417" w:type="dxa"/>
            <w:vAlign w:val="bottom"/>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7.86%</w:t>
            </w:r>
          </w:p>
        </w:tc>
        <w:tc>
          <w:tcPr>
            <w:tcW w:w="1418" w:type="dxa"/>
            <w:vAlign w:val="bottom"/>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8.20%</w:t>
            </w:r>
          </w:p>
        </w:tc>
      </w:tr>
      <w:tr w:rsidR="003D29F2" w:rsidRPr="00653DB5" w:rsidTr="00047108">
        <w:tc>
          <w:tcPr>
            <w:tcW w:w="1818" w:type="dxa"/>
            <w:vAlign w:val="center"/>
          </w:tcPr>
          <w:p w:rsidR="003D29F2" w:rsidRPr="00653DB5" w:rsidRDefault="003D29F2" w:rsidP="00047108">
            <w:pPr>
              <w:widowControl/>
              <w:autoSpaceDE w:val="0"/>
              <w:autoSpaceDN w:val="0"/>
              <w:adjustRightInd w:val="0"/>
              <w:rPr>
                <w:rFonts w:ascii="Times New Roman" w:eastAsia="Times New Roman" w:hAnsi="Times New Roman" w:cs="Times New Roman"/>
                <w:b/>
                <w:color w:val="000000" w:themeColor="text1"/>
                <w:sz w:val="22"/>
                <w:szCs w:val="22"/>
                <w:lang w:eastAsia="ru-RU"/>
              </w:rPr>
            </w:pPr>
            <w:proofErr w:type="spellStart"/>
            <w:r w:rsidRPr="00653DB5">
              <w:rPr>
                <w:rFonts w:ascii="Times New Roman" w:hAnsi="Times New Roman" w:cs="Times New Roman"/>
                <w:b/>
                <w:color w:val="000000" w:themeColor="text1"/>
                <w:sz w:val="22"/>
                <w:szCs w:val="22"/>
              </w:rPr>
              <w:t>Arax</w:t>
            </w:r>
            <w:proofErr w:type="spellEnd"/>
            <w:r w:rsidRPr="00653DB5">
              <w:rPr>
                <w:rFonts w:ascii="Times New Roman" w:hAnsi="Times New Roman" w:cs="Times New Roman"/>
                <w:b/>
                <w:color w:val="000000" w:themeColor="text1"/>
                <w:sz w:val="22"/>
                <w:szCs w:val="22"/>
              </w:rPr>
              <w:t xml:space="preserve"> Impex</w:t>
            </w:r>
          </w:p>
        </w:tc>
        <w:tc>
          <w:tcPr>
            <w:tcW w:w="103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32,85%</w:t>
            </w:r>
          </w:p>
        </w:tc>
        <w:tc>
          <w:tcPr>
            <w:tcW w:w="1417" w:type="dxa"/>
            <w:vAlign w:val="center"/>
          </w:tcPr>
          <w:p w:rsidR="003D29F2" w:rsidRPr="00653DB5"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30,86%</w:t>
            </w:r>
          </w:p>
        </w:tc>
        <w:tc>
          <w:tcPr>
            <w:tcW w:w="1417" w:type="dxa"/>
            <w:vAlign w:val="bottom"/>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25.14%</w:t>
            </w:r>
          </w:p>
        </w:tc>
        <w:tc>
          <w:tcPr>
            <w:tcW w:w="1418" w:type="dxa"/>
            <w:vAlign w:val="bottom"/>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22.96%</w:t>
            </w:r>
          </w:p>
        </w:tc>
      </w:tr>
      <w:tr w:rsidR="003D29F2" w:rsidRPr="00653DB5" w:rsidTr="00047108">
        <w:tc>
          <w:tcPr>
            <w:tcW w:w="1818" w:type="dxa"/>
            <w:vAlign w:val="center"/>
          </w:tcPr>
          <w:p w:rsidR="003D29F2" w:rsidRPr="00653DB5" w:rsidRDefault="003D29F2">
            <w:pPr>
              <w:widowControl/>
              <w:autoSpaceDE w:val="0"/>
              <w:autoSpaceDN w:val="0"/>
              <w:adjustRightInd w:val="0"/>
              <w:rPr>
                <w:rFonts w:ascii="Times New Roman" w:hAnsi="Times New Roman" w:cs="Times New Roman"/>
                <w:b/>
                <w:color w:val="000000" w:themeColor="text1"/>
                <w:sz w:val="22"/>
                <w:szCs w:val="22"/>
              </w:rPr>
            </w:pPr>
            <w:proofErr w:type="spellStart"/>
            <w:r w:rsidRPr="00653DB5">
              <w:rPr>
                <w:rFonts w:ascii="Times New Roman" w:hAnsi="Times New Roman" w:cs="Times New Roman"/>
                <w:b/>
                <w:color w:val="000000" w:themeColor="text1"/>
                <w:sz w:val="22"/>
                <w:szCs w:val="22"/>
              </w:rPr>
              <w:t>Starnet</w:t>
            </w:r>
            <w:proofErr w:type="spellEnd"/>
            <w:r w:rsidRPr="00653DB5">
              <w:rPr>
                <w:rFonts w:ascii="Times New Roman" w:hAnsi="Times New Roman" w:cs="Times New Roman"/>
                <w:b/>
                <w:color w:val="000000" w:themeColor="text1"/>
                <w:sz w:val="22"/>
                <w:szCs w:val="22"/>
              </w:rPr>
              <w:t xml:space="preserve"> Servicii</w:t>
            </w:r>
          </w:p>
        </w:tc>
        <w:tc>
          <w:tcPr>
            <w:tcW w:w="1037" w:type="dxa"/>
            <w:vAlign w:val="center"/>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color w:val="000000" w:themeColor="text1"/>
                <w:sz w:val="22"/>
                <w:szCs w:val="22"/>
              </w:rPr>
              <w:t>-</w:t>
            </w:r>
          </w:p>
        </w:tc>
        <w:tc>
          <w:tcPr>
            <w:tcW w:w="1417" w:type="dxa"/>
            <w:vAlign w:val="center"/>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color w:val="000000" w:themeColor="text1"/>
                <w:sz w:val="22"/>
                <w:szCs w:val="22"/>
              </w:rPr>
              <w:t>-</w:t>
            </w:r>
          </w:p>
        </w:tc>
        <w:tc>
          <w:tcPr>
            <w:tcW w:w="1417" w:type="dxa"/>
            <w:vAlign w:val="center"/>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color w:val="000000" w:themeColor="text1"/>
                <w:sz w:val="22"/>
                <w:szCs w:val="22"/>
              </w:rPr>
              <w:t>-</w:t>
            </w:r>
          </w:p>
        </w:tc>
        <w:tc>
          <w:tcPr>
            <w:tcW w:w="1417" w:type="dxa"/>
            <w:vAlign w:val="center"/>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color w:val="000000" w:themeColor="text1"/>
                <w:sz w:val="22"/>
                <w:szCs w:val="22"/>
              </w:rPr>
              <w:t>-</w:t>
            </w:r>
          </w:p>
        </w:tc>
        <w:tc>
          <w:tcPr>
            <w:tcW w:w="1417" w:type="dxa"/>
            <w:vAlign w:val="bottom"/>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27.24%</w:t>
            </w:r>
          </w:p>
        </w:tc>
        <w:tc>
          <w:tcPr>
            <w:tcW w:w="1418" w:type="dxa"/>
            <w:vAlign w:val="bottom"/>
          </w:tcPr>
          <w:p w:rsidR="003D29F2" w:rsidRPr="00653DB5" w:rsidRDefault="003D29F2" w:rsidP="006D4B26">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27.88%</w:t>
            </w:r>
          </w:p>
        </w:tc>
      </w:tr>
      <w:tr w:rsidR="003519D9" w:rsidRPr="00653DB5" w:rsidTr="00047108">
        <w:tc>
          <w:tcPr>
            <w:tcW w:w="1818" w:type="dxa"/>
            <w:vAlign w:val="center"/>
          </w:tcPr>
          <w:p w:rsidR="003519D9" w:rsidRPr="00653DB5" w:rsidRDefault="003519D9" w:rsidP="00047108">
            <w:pPr>
              <w:widowControl/>
              <w:autoSpaceDE w:val="0"/>
              <w:autoSpaceDN w:val="0"/>
              <w:adjustRightInd w:val="0"/>
              <w:rPr>
                <w:rFonts w:ascii="Times New Roman" w:eastAsia="Times New Roman" w:hAnsi="Times New Roman" w:cs="Times New Roman"/>
                <w:b/>
                <w:color w:val="000000" w:themeColor="text1"/>
                <w:sz w:val="22"/>
                <w:szCs w:val="22"/>
                <w:lang w:eastAsia="ru-RU"/>
              </w:rPr>
            </w:pPr>
            <w:r w:rsidRPr="00653DB5">
              <w:rPr>
                <w:rFonts w:ascii="Times New Roman" w:hAnsi="Times New Roman" w:cs="Times New Roman"/>
                <w:b/>
                <w:color w:val="000000" w:themeColor="text1"/>
                <w:sz w:val="22"/>
                <w:szCs w:val="22"/>
              </w:rPr>
              <w:t>Al</w:t>
            </w:r>
            <w:r w:rsidR="00A27097" w:rsidRPr="00653DB5">
              <w:rPr>
                <w:rFonts w:ascii="Times New Roman" w:hAnsi="Times New Roman" w:cs="Times New Roman"/>
                <w:b/>
                <w:color w:val="000000" w:themeColor="text1"/>
                <w:sz w:val="22"/>
                <w:szCs w:val="22"/>
              </w:rPr>
              <w:t>ț</w:t>
            </w:r>
            <w:r w:rsidRPr="00653DB5">
              <w:rPr>
                <w:rFonts w:ascii="Times New Roman" w:hAnsi="Times New Roman" w:cs="Times New Roman"/>
                <w:b/>
                <w:color w:val="000000" w:themeColor="text1"/>
                <w:sz w:val="22"/>
                <w:szCs w:val="22"/>
              </w:rPr>
              <w:t>i furnizori</w:t>
            </w:r>
          </w:p>
        </w:tc>
        <w:tc>
          <w:tcPr>
            <w:tcW w:w="1037" w:type="dxa"/>
            <w:vAlign w:val="center"/>
          </w:tcPr>
          <w:p w:rsidR="003519D9" w:rsidRPr="00653DB5" w:rsidRDefault="003519D9"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w:t>
            </w:r>
          </w:p>
        </w:tc>
        <w:tc>
          <w:tcPr>
            <w:tcW w:w="1417" w:type="dxa"/>
            <w:vAlign w:val="center"/>
          </w:tcPr>
          <w:p w:rsidR="003519D9" w:rsidRPr="00653DB5" w:rsidRDefault="003519D9"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2,38%</w:t>
            </w:r>
          </w:p>
        </w:tc>
        <w:tc>
          <w:tcPr>
            <w:tcW w:w="1417" w:type="dxa"/>
            <w:vAlign w:val="center"/>
          </w:tcPr>
          <w:p w:rsidR="003519D9" w:rsidRPr="00653DB5" w:rsidRDefault="003519D9"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1,46%</w:t>
            </w:r>
          </w:p>
        </w:tc>
        <w:tc>
          <w:tcPr>
            <w:tcW w:w="1417" w:type="dxa"/>
            <w:vAlign w:val="center"/>
          </w:tcPr>
          <w:p w:rsidR="003519D9" w:rsidRPr="00653DB5" w:rsidRDefault="003519D9" w:rsidP="006D4B2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sz w:val="22"/>
                <w:szCs w:val="22"/>
              </w:rPr>
              <w:t>0,63%</w:t>
            </w:r>
          </w:p>
        </w:tc>
        <w:tc>
          <w:tcPr>
            <w:tcW w:w="1417" w:type="dxa"/>
          </w:tcPr>
          <w:p w:rsidR="003519D9" w:rsidRPr="00653DB5" w:rsidRDefault="005A6569" w:rsidP="003D29F2">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color w:val="000000" w:themeColor="text1"/>
                <w:sz w:val="22"/>
                <w:szCs w:val="22"/>
              </w:rPr>
              <w:t>0,</w:t>
            </w:r>
            <w:r w:rsidR="003D29F2" w:rsidRPr="00653DB5">
              <w:rPr>
                <w:rFonts w:ascii="Times New Roman" w:hAnsi="Times New Roman" w:cs="Times New Roman"/>
                <w:color w:val="000000" w:themeColor="text1"/>
                <w:sz w:val="22"/>
                <w:szCs w:val="22"/>
              </w:rPr>
              <w:t>52</w:t>
            </w:r>
            <w:r w:rsidRPr="00653DB5">
              <w:rPr>
                <w:rFonts w:ascii="Times New Roman" w:hAnsi="Times New Roman" w:cs="Times New Roman"/>
                <w:color w:val="000000" w:themeColor="text1"/>
                <w:sz w:val="22"/>
                <w:szCs w:val="22"/>
              </w:rPr>
              <w:t>%</w:t>
            </w:r>
          </w:p>
        </w:tc>
        <w:tc>
          <w:tcPr>
            <w:tcW w:w="1418" w:type="dxa"/>
          </w:tcPr>
          <w:p w:rsidR="003519D9" w:rsidRPr="00653DB5" w:rsidRDefault="005A6569" w:rsidP="003D29F2">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color w:val="000000" w:themeColor="text1"/>
                <w:sz w:val="22"/>
                <w:szCs w:val="22"/>
              </w:rPr>
              <w:t>0,</w:t>
            </w:r>
            <w:r w:rsidR="003D29F2" w:rsidRPr="00653DB5">
              <w:rPr>
                <w:rFonts w:ascii="Times New Roman" w:hAnsi="Times New Roman" w:cs="Times New Roman"/>
                <w:color w:val="000000" w:themeColor="text1"/>
                <w:sz w:val="22"/>
                <w:szCs w:val="22"/>
              </w:rPr>
              <w:t>55</w:t>
            </w:r>
            <w:r w:rsidRPr="00653DB5">
              <w:rPr>
                <w:rFonts w:ascii="Times New Roman" w:hAnsi="Times New Roman" w:cs="Times New Roman"/>
                <w:color w:val="000000" w:themeColor="text1"/>
                <w:sz w:val="22"/>
                <w:szCs w:val="22"/>
              </w:rPr>
              <w:t>%</w:t>
            </w:r>
          </w:p>
        </w:tc>
      </w:tr>
    </w:tbl>
    <w:p w:rsidR="00CB249A" w:rsidRPr="00653DB5" w:rsidRDefault="00CB249A" w:rsidP="00C36024">
      <w:pPr>
        <w:widowControl/>
        <w:tabs>
          <w:tab w:val="left" w:pos="8615"/>
        </w:tabs>
        <w:spacing w:before="120" w:after="120"/>
        <w:jc w:val="both"/>
        <w:rPr>
          <w:rFonts w:ascii="Times New Roman" w:hAnsi="Times New Roman" w:cs="Times New Roman"/>
          <w:color w:val="000000" w:themeColor="text1"/>
          <w:sz w:val="26"/>
          <w:szCs w:val="26"/>
          <w:lang w:eastAsia="ru-RU"/>
        </w:rPr>
      </w:pPr>
      <w:r w:rsidRPr="00653DB5">
        <w:rPr>
          <w:rFonts w:ascii="Times New Roman" w:hAnsi="Times New Roman" w:cs="Times New Roman"/>
          <w:i/>
          <w:color w:val="000000" w:themeColor="text1"/>
          <w:sz w:val="26"/>
          <w:szCs w:val="26"/>
        </w:rPr>
        <w:t>Sursa: ANRCETI, în baza datelor raportate de furnizori</w:t>
      </w:r>
      <w:r w:rsidR="00C36024">
        <w:rPr>
          <w:rFonts w:ascii="Times New Roman" w:hAnsi="Times New Roman" w:cs="Times New Roman"/>
          <w:i/>
          <w:color w:val="000000" w:themeColor="text1"/>
          <w:sz w:val="26"/>
          <w:szCs w:val="26"/>
        </w:rPr>
        <w:tab/>
      </w:r>
    </w:p>
    <w:p w:rsidR="00C36024" w:rsidRDefault="00C36024" w:rsidP="005A6569">
      <w:pPr>
        <w:widowControl/>
        <w:autoSpaceDE w:val="0"/>
        <w:autoSpaceDN w:val="0"/>
        <w:adjustRightInd w:val="0"/>
        <w:jc w:val="both"/>
        <w:rPr>
          <w:rFonts w:ascii="Times New Roman" w:eastAsia="Times New Roman" w:hAnsi="Times New Roman" w:cs="Times New Roman"/>
          <w:b/>
          <w:color w:val="000000" w:themeColor="text1"/>
          <w:sz w:val="26"/>
          <w:szCs w:val="26"/>
          <w:lang w:eastAsia="ru-RU"/>
        </w:rPr>
      </w:pPr>
    </w:p>
    <w:p w:rsidR="005A6569" w:rsidRPr="00653DB5" w:rsidRDefault="005A6569" w:rsidP="005A6569">
      <w:pPr>
        <w:widowControl/>
        <w:autoSpaceDE w:val="0"/>
        <w:autoSpaceDN w:val="0"/>
        <w:adjustRightInd w:val="0"/>
        <w:jc w:val="both"/>
        <w:rPr>
          <w:rFonts w:ascii="Times New Roman" w:eastAsia="Times New Roman" w:hAnsi="Times New Roman" w:cs="Times New Roman"/>
          <w:b/>
          <w:color w:val="000000" w:themeColor="text1"/>
          <w:sz w:val="26"/>
          <w:szCs w:val="26"/>
          <w:lang w:eastAsia="ru-RU"/>
        </w:rPr>
      </w:pPr>
      <w:r w:rsidRPr="00653DB5">
        <w:rPr>
          <w:rFonts w:ascii="Times New Roman" w:eastAsia="Times New Roman" w:hAnsi="Times New Roman" w:cs="Times New Roman"/>
          <w:b/>
          <w:color w:val="000000" w:themeColor="text1"/>
          <w:sz w:val="26"/>
          <w:szCs w:val="26"/>
          <w:lang w:eastAsia="ru-RU"/>
        </w:rPr>
        <w:t>Tabelul nr.</w:t>
      </w:r>
      <w:r w:rsidR="005E2284" w:rsidRPr="00653DB5">
        <w:rPr>
          <w:rFonts w:ascii="Times New Roman" w:eastAsia="Times New Roman" w:hAnsi="Times New Roman" w:cs="Times New Roman"/>
          <w:b/>
          <w:color w:val="000000" w:themeColor="text1"/>
          <w:sz w:val="26"/>
          <w:szCs w:val="26"/>
          <w:lang w:eastAsia="ru-RU"/>
        </w:rPr>
        <w:t>3</w:t>
      </w:r>
      <w:r w:rsidRPr="00653DB5">
        <w:rPr>
          <w:rFonts w:ascii="Times New Roman" w:eastAsia="Times New Roman" w:hAnsi="Times New Roman" w:cs="Times New Roman"/>
          <w:b/>
          <w:color w:val="000000" w:themeColor="text1"/>
          <w:sz w:val="26"/>
          <w:szCs w:val="26"/>
          <w:lang w:eastAsia="ru-RU"/>
        </w:rPr>
        <w:t xml:space="preserve">: Cotele de piaţă ale furnizorilor de servicii de segmente-trunchi de linii </w:t>
      </w:r>
    </w:p>
    <w:p w:rsidR="005A6569" w:rsidRPr="00653DB5" w:rsidRDefault="005A6569" w:rsidP="005A6569">
      <w:pPr>
        <w:widowControl/>
        <w:autoSpaceDE w:val="0"/>
        <w:autoSpaceDN w:val="0"/>
        <w:adjustRightInd w:val="0"/>
        <w:jc w:val="both"/>
        <w:rPr>
          <w:rFonts w:ascii="Times New Roman" w:eastAsia="Times New Roman" w:hAnsi="Times New Roman" w:cs="Times New Roman"/>
          <w:b/>
          <w:color w:val="000000" w:themeColor="text1"/>
          <w:sz w:val="26"/>
          <w:szCs w:val="26"/>
          <w:lang w:eastAsia="ru-RU"/>
        </w:rPr>
      </w:pPr>
      <w:r w:rsidRPr="00653DB5">
        <w:rPr>
          <w:rFonts w:ascii="Times New Roman" w:eastAsia="Times New Roman" w:hAnsi="Times New Roman" w:cs="Times New Roman"/>
          <w:b/>
          <w:color w:val="000000" w:themeColor="text1"/>
          <w:sz w:val="26"/>
          <w:szCs w:val="26"/>
          <w:lang w:eastAsia="ru-RU"/>
        </w:rPr>
        <w:t xml:space="preserve">închiriate la nivel cu ridicata în funcţie de venituri </w:t>
      </w:r>
    </w:p>
    <w:tbl>
      <w:tblPr>
        <w:tblStyle w:val="TableGrid"/>
        <w:tblW w:w="0" w:type="auto"/>
        <w:tblLook w:val="04A0" w:firstRow="1" w:lastRow="0" w:firstColumn="1" w:lastColumn="0" w:noHBand="0" w:noVBand="1"/>
      </w:tblPr>
      <w:tblGrid>
        <w:gridCol w:w="1818"/>
        <w:gridCol w:w="1037"/>
        <w:gridCol w:w="1417"/>
        <w:gridCol w:w="1417"/>
        <w:gridCol w:w="1417"/>
        <w:gridCol w:w="1417"/>
        <w:gridCol w:w="1418"/>
      </w:tblGrid>
      <w:tr w:rsidR="005A6569" w:rsidRPr="00653DB5" w:rsidTr="00047108">
        <w:tc>
          <w:tcPr>
            <w:tcW w:w="1818" w:type="dxa"/>
          </w:tcPr>
          <w:p w:rsidR="005A6569" w:rsidRPr="00653DB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Furnizor</w:t>
            </w:r>
          </w:p>
        </w:tc>
        <w:tc>
          <w:tcPr>
            <w:tcW w:w="1037" w:type="dxa"/>
          </w:tcPr>
          <w:p w:rsidR="005A6569" w:rsidRPr="00653DB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2010</w:t>
            </w:r>
          </w:p>
        </w:tc>
        <w:tc>
          <w:tcPr>
            <w:tcW w:w="1417" w:type="dxa"/>
          </w:tcPr>
          <w:p w:rsidR="005A6569" w:rsidRPr="00653DB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2012</w:t>
            </w:r>
          </w:p>
        </w:tc>
        <w:tc>
          <w:tcPr>
            <w:tcW w:w="1417" w:type="dxa"/>
          </w:tcPr>
          <w:p w:rsidR="005A6569" w:rsidRPr="00653DB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2013</w:t>
            </w:r>
          </w:p>
        </w:tc>
        <w:tc>
          <w:tcPr>
            <w:tcW w:w="1417" w:type="dxa"/>
          </w:tcPr>
          <w:p w:rsidR="005A6569" w:rsidRPr="00653DB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2014</w:t>
            </w:r>
          </w:p>
        </w:tc>
        <w:tc>
          <w:tcPr>
            <w:tcW w:w="1417" w:type="dxa"/>
          </w:tcPr>
          <w:p w:rsidR="005A6569" w:rsidRPr="00653DB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2015</w:t>
            </w:r>
          </w:p>
        </w:tc>
        <w:tc>
          <w:tcPr>
            <w:tcW w:w="1418" w:type="dxa"/>
          </w:tcPr>
          <w:p w:rsidR="005A6569" w:rsidRPr="00653DB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eastAsia="ru-RU"/>
              </w:rPr>
            </w:pPr>
            <w:r w:rsidRPr="00653DB5">
              <w:rPr>
                <w:rFonts w:ascii="Times New Roman" w:eastAsia="Times New Roman" w:hAnsi="Times New Roman" w:cs="Times New Roman"/>
                <w:b/>
                <w:color w:val="000000" w:themeColor="text1"/>
                <w:sz w:val="22"/>
                <w:szCs w:val="22"/>
                <w:lang w:eastAsia="ru-RU"/>
              </w:rPr>
              <w:t>2016</w:t>
            </w:r>
          </w:p>
        </w:tc>
      </w:tr>
      <w:tr w:rsidR="003D29F2" w:rsidRPr="00653DB5" w:rsidTr="00047108">
        <w:tc>
          <w:tcPr>
            <w:tcW w:w="1818" w:type="dxa"/>
            <w:vAlign w:val="center"/>
          </w:tcPr>
          <w:p w:rsidR="003D29F2" w:rsidRPr="00653DB5" w:rsidRDefault="003D29F2" w:rsidP="00FB2E76">
            <w:pPr>
              <w:widowControl/>
              <w:autoSpaceDE w:val="0"/>
              <w:autoSpaceDN w:val="0"/>
              <w:adjustRightInd w:val="0"/>
              <w:rPr>
                <w:rFonts w:ascii="Times New Roman" w:eastAsia="Times New Roman" w:hAnsi="Times New Roman" w:cs="Times New Roman"/>
                <w:b/>
                <w:color w:val="000000" w:themeColor="text1"/>
                <w:sz w:val="22"/>
                <w:szCs w:val="22"/>
                <w:lang w:eastAsia="ru-RU"/>
              </w:rPr>
            </w:pPr>
            <w:r w:rsidRPr="00653DB5">
              <w:rPr>
                <w:rFonts w:ascii="Times New Roman" w:hAnsi="Times New Roman" w:cs="Times New Roman"/>
                <w:b/>
                <w:color w:val="000000" w:themeColor="text1"/>
                <w:sz w:val="22"/>
                <w:szCs w:val="22"/>
              </w:rPr>
              <w:t>Moldtelecom</w:t>
            </w:r>
          </w:p>
        </w:tc>
        <w:tc>
          <w:tcPr>
            <w:tcW w:w="103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100%</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99,2%</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80,12%</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75,64%</w:t>
            </w:r>
          </w:p>
        </w:tc>
        <w:tc>
          <w:tcPr>
            <w:tcW w:w="1417" w:type="dxa"/>
            <w:vAlign w:val="bottom"/>
          </w:tcPr>
          <w:p w:rsidR="003D29F2" w:rsidRPr="00653DB5" w:rsidRDefault="003D29F2" w:rsidP="005A6569">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38.04%</w:t>
            </w:r>
          </w:p>
        </w:tc>
        <w:tc>
          <w:tcPr>
            <w:tcW w:w="1418" w:type="dxa"/>
            <w:vAlign w:val="bottom"/>
          </w:tcPr>
          <w:p w:rsidR="003D29F2" w:rsidRPr="00653DB5" w:rsidRDefault="003D29F2" w:rsidP="005A6569">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37.74%</w:t>
            </w:r>
          </w:p>
        </w:tc>
      </w:tr>
      <w:tr w:rsidR="003D29F2" w:rsidRPr="00653DB5" w:rsidTr="00047108">
        <w:tc>
          <w:tcPr>
            <w:tcW w:w="1818" w:type="dxa"/>
            <w:vAlign w:val="center"/>
          </w:tcPr>
          <w:p w:rsidR="003D29F2" w:rsidRPr="00653DB5" w:rsidRDefault="003D29F2" w:rsidP="00FB2E76">
            <w:pPr>
              <w:widowControl/>
              <w:autoSpaceDE w:val="0"/>
              <w:autoSpaceDN w:val="0"/>
              <w:adjustRightInd w:val="0"/>
              <w:rPr>
                <w:rFonts w:ascii="Times New Roman" w:eastAsia="Times New Roman" w:hAnsi="Times New Roman" w:cs="Times New Roman"/>
                <w:b/>
                <w:color w:val="000000" w:themeColor="text1"/>
                <w:sz w:val="22"/>
                <w:szCs w:val="22"/>
                <w:lang w:eastAsia="ru-RU"/>
              </w:rPr>
            </w:pPr>
            <w:r w:rsidRPr="00653DB5">
              <w:rPr>
                <w:rFonts w:ascii="Times New Roman" w:hAnsi="Times New Roman" w:cs="Times New Roman"/>
                <w:b/>
                <w:color w:val="000000" w:themeColor="text1"/>
                <w:sz w:val="22"/>
                <w:szCs w:val="22"/>
              </w:rPr>
              <w:t>Orange Moldova</w:t>
            </w:r>
          </w:p>
        </w:tc>
        <w:tc>
          <w:tcPr>
            <w:tcW w:w="103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0,64%</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1,24%</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1,46%</w:t>
            </w:r>
          </w:p>
        </w:tc>
        <w:tc>
          <w:tcPr>
            <w:tcW w:w="1417" w:type="dxa"/>
            <w:vAlign w:val="bottom"/>
          </w:tcPr>
          <w:p w:rsidR="003D29F2" w:rsidRPr="00653DB5" w:rsidRDefault="003D29F2" w:rsidP="00CB249A">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1.45%</w:t>
            </w:r>
          </w:p>
        </w:tc>
        <w:tc>
          <w:tcPr>
            <w:tcW w:w="1418" w:type="dxa"/>
            <w:vAlign w:val="bottom"/>
          </w:tcPr>
          <w:p w:rsidR="003D29F2" w:rsidRPr="00653DB5" w:rsidRDefault="003D29F2" w:rsidP="00CB249A">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1.08%</w:t>
            </w:r>
          </w:p>
        </w:tc>
      </w:tr>
      <w:tr w:rsidR="003D29F2" w:rsidRPr="00653DB5" w:rsidTr="00047108">
        <w:tc>
          <w:tcPr>
            <w:tcW w:w="1818" w:type="dxa"/>
            <w:vAlign w:val="center"/>
          </w:tcPr>
          <w:p w:rsidR="003D29F2" w:rsidRPr="00653DB5" w:rsidRDefault="003D29F2" w:rsidP="00FB2E76">
            <w:pPr>
              <w:widowControl/>
              <w:autoSpaceDE w:val="0"/>
              <w:autoSpaceDN w:val="0"/>
              <w:adjustRightInd w:val="0"/>
              <w:rPr>
                <w:rFonts w:ascii="Times New Roman" w:eastAsia="Times New Roman" w:hAnsi="Times New Roman" w:cs="Times New Roman"/>
                <w:b/>
                <w:color w:val="000000" w:themeColor="text1"/>
                <w:sz w:val="22"/>
                <w:szCs w:val="22"/>
                <w:lang w:eastAsia="ru-RU"/>
              </w:rPr>
            </w:pPr>
            <w:proofErr w:type="spellStart"/>
            <w:r w:rsidRPr="00653DB5">
              <w:rPr>
                <w:rFonts w:ascii="Times New Roman" w:hAnsi="Times New Roman" w:cs="Times New Roman"/>
                <w:b/>
                <w:color w:val="000000" w:themeColor="text1"/>
                <w:sz w:val="22"/>
                <w:szCs w:val="22"/>
              </w:rPr>
              <w:t>Moldcell</w:t>
            </w:r>
            <w:proofErr w:type="spellEnd"/>
          </w:p>
        </w:tc>
        <w:tc>
          <w:tcPr>
            <w:tcW w:w="103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16,50%</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21,10%</w:t>
            </w:r>
          </w:p>
        </w:tc>
        <w:tc>
          <w:tcPr>
            <w:tcW w:w="1417" w:type="dxa"/>
            <w:vAlign w:val="bottom"/>
          </w:tcPr>
          <w:p w:rsidR="003D29F2" w:rsidRPr="00653DB5" w:rsidRDefault="003D29F2" w:rsidP="00CB249A">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57.96%</w:t>
            </w:r>
          </w:p>
        </w:tc>
        <w:tc>
          <w:tcPr>
            <w:tcW w:w="1418" w:type="dxa"/>
            <w:vAlign w:val="bottom"/>
          </w:tcPr>
          <w:p w:rsidR="003D29F2" w:rsidRPr="00653DB5" w:rsidRDefault="003D29F2" w:rsidP="00CB249A">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57.20%</w:t>
            </w:r>
          </w:p>
        </w:tc>
      </w:tr>
      <w:tr w:rsidR="003D29F2" w:rsidRPr="00653DB5" w:rsidTr="00047108">
        <w:tc>
          <w:tcPr>
            <w:tcW w:w="1818" w:type="dxa"/>
            <w:vAlign w:val="center"/>
          </w:tcPr>
          <w:p w:rsidR="003D29F2" w:rsidRPr="00653DB5" w:rsidRDefault="003D29F2" w:rsidP="00FB2E76">
            <w:pPr>
              <w:widowControl/>
              <w:autoSpaceDE w:val="0"/>
              <w:autoSpaceDN w:val="0"/>
              <w:adjustRightInd w:val="0"/>
              <w:rPr>
                <w:rFonts w:ascii="Times New Roman" w:eastAsia="Times New Roman" w:hAnsi="Times New Roman" w:cs="Times New Roman"/>
                <w:b/>
                <w:color w:val="000000" w:themeColor="text1"/>
                <w:sz w:val="22"/>
                <w:szCs w:val="22"/>
                <w:lang w:eastAsia="ru-RU"/>
              </w:rPr>
            </w:pPr>
            <w:proofErr w:type="spellStart"/>
            <w:r w:rsidRPr="00653DB5">
              <w:rPr>
                <w:rFonts w:ascii="Times New Roman" w:hAnsi="Times New Roman" w:cs="Times New Roman"/>
                <w:b/>
                <w:color w:val="000000" w:themeColor="text1"/>
                <w:sz w:val="22"/>
                <w:szCs w:val="22"/>
              </w:rPr>
              <w:t>Arax</w:t>
            </w:r>
            <w:proofErr w:type="spellEnd"/>
            <w:r w:rsidRPr="00653DB5">
              <w:rPr>
                <w:rFonts w:ascii="Times New Roman" w:hAnsi="Times New Roman" w:cs="Times New Roman"/>
                <w:b/>
                <w:color w:val="000000" w:themeColor="text1"/>
                <w:sz w:val="22"/>
                <w:szCs w:val="22"/>
              </w:rPr>
              <w:t xml:space="preserve"> Impex</w:t>
            </w:r>
          </w:p>
        </w:tc>
        <w:tc>
          <w:tcPr>
            <w:tcW w:w="103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1,15%</w:t>
            </w:r>
          </w:p>
        </w:tc>
        <w:tc>
          <w:tcPr>
            <w:tcW w:w="1417" w:type="dxa"/>
            <w:vAlign w:val="center"/>
          </w:tcPr>
          <w:p w:rsidR="003D29F2" w:rsidRPr="00653DB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1,25%</w:t>
            </w:r>
          </w:p>
        </w:tc>
        <w:tc>
          <w:tcPr>
            <w:tcW w:w="1417" w:type="dxa"/>
            <w:vAlign w:val="bottom"/>
          </w:tcPr>
          <w:p w:rsidR="003D29F2" w:rsidRPr="00653DB5" w:rsidRDefault="003D29F2" w:rsidP="00CB249A">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1.06%</w:t>
            </w:r>
          </w:p>
        </w:tc>
        <w:tc>
          <w:tcPr>
            <w:tcW w:w="1418" w:type="dxa"/>
            <w:vAlign w:val="bottom"/>
          </w:tcPr>
          <w:p w:rsidR="003D29F2" w:rsidRPr="00653DB5" w:rsidRDefault="003D29F2" w:rsidP="00CB249A">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0.86%</w:t>
            </w:r>
          </w:p>
        </w:tc>
      </w:tr>
      <w:tr w:rsidR="003D29F2" w:rsidRPr="00653DB5" w:rsidTr="00047108">
        <w:tc>
          <w:tcPr>
            <w:tcW w:w="1818" w:type="dxa"/>
            <w:vAlign w:val="center"/>
          </w:tcPr>
          <w:p w:rsidR="003D29F2" w:rsidRPr="00653DB5" w:rsidRDefault="003D29F2" w:rsidP="00FB2E76">
            <w:pPr>
              <w:widowControl/>
              <w:autoSpaceDE w:val="0"/>
              <w:autoSpaceDN w:val="0"/>
              <w:adjustRightInd w:val="0"/>
              <w:rPr>
                <w:rFonts w:ascii="Times New Roman" w:hAnsi="Times New Roman" w:cs="Times New Roman"/>
                <w:b/>
                <w:color w:val="000000" w:themeColor="text1"/>
                <w:sz w:val="22"/>
                <w:szCs w:val="22"/>
              </w:rPr>
            </w:pPr>
            <w:proofErr w:type="spellStart"/>
            <w:r w:rsidRPr="00653DB5">
              <w:rPr>
                <w:rFonts w:ascii="Times New Roman" w:hAnsi="Times New Roman" w:cs="Times New Roman"/>
                <w:b/>
                <w:color w:val="000000" w:themeColor="text1"/>
                <w:sz w:val="22"/>
                <w:szCs w:val="22"/>
              </w:rPr>
              <w:t>Starnet</w:t>
            </w:r>
            <w:proofErr w:type="spellEnd"/>
            <w:r w:rsidRPr="00653DB5">
              <w:rPr>
                <w:rFonts w:ascii="Times New Roman" w:hAnsi="Times New Roman" w:cs="Times New Roman"/>
                <w:b/>
                <w:color w:val="000000" w:themeColor="text1"/>
                <w:sz w:val="22"/>
                <w:szCs w:val="22"/>
              </w:rPr>
              <w:t xml:space="preserve"> Servicii</w:t>
            </w:r>
          </w:p>
        </w:tc>
        <w:tc>
          <w:tcPr>
            <w:tcW w:w="1037" w:type="dxa"/>
            <w:vAlign w:val="center"/>
          </w:tcPr>
          <w:p w:rsidR="003D29F2" w:rsidRPr="00653DB5" w:rsidRDefault="003D29F2" w:rsidP="00FB2E76">
            <w:pPr>
              <w:widowControl/>
              <w:autoSpaceDE w:val="0"/>
              <w:autoSpaceDN w:val="0"/>
              <w:adjustRightInd w:val="0"/>
              <w:jc w:val="center"/>
              <w:rPr>
                <w:rFonts w:ascii="Times New Roman" w:hAnsi="Times New Roman" w:cs="Times New Roman"/>
                <w:color w:val="000000" w:themeColor="text1"/>
              </w:rPr>
            </w:pPr>
            <w:r w:rsidRPr="00653DB5">
              <w:rPr>
                <w:rFonts w:ascii="Times New Roman" w:hAnsi="Times New Roman" w:cs="Times New Roman"/>
                <w:color w:val="000000" w:themeColor="text1"/>
              </w:rPr>
              <w:t>-</w:t>
            </w:r>
          </w:p>
        </w:tc>
        <w:tc>
          <w:tcPr>
            <w:tcW w:w="1417" w:type="dxa"/>
            <w:vAlign w:val="center"/>
          </w:tcPr>
          <w:p w:rsidR="003D29F2" w:rsidRPr="00653DB5" w:rsidRDefault="003D29F2" w:rsidP="00FB2E76">
            <w:pPr>
              <w:widowControl/>
              <w:autoSpaceDE w:val="0"/>
              <w:autoSpaceDN w:val="0"/>
              <w:adjustRightInd w:val="0"/>
              <w:jc w:val="center"/>
              <w:rPr>
                <w:rFonts w:ascii="Times New Roman" w:hAnsi="Times New Roman" w:cs="Times New Roman"/>
                <w:color w:val="000000" w:themeColor="text1"/>
              </w:rPr>
            </w:pPr>
            <w:r w:rsidRPr="00653DB5">
              <w:rPr>
                <w:rFonts w:ascii="Times New Roman" w:hAnsi="Times New Roman" w:cs="Times New Roman"/>
                <w:color w:val="000000" w:themeColor="text1"/>
              </w:rPr>
              <w:t>-</w:t>
            </w:r>
          </w:p>
        </w:tc>
        <w:tc>
          <w:tcPr>
            <w:tcW w:w="1417" w:type="dxa"/>
            <w:vAlign w:val="center"/>
          </w:tcPr>
          <w:p w:rsidR="003D29F2" w:rsidRPr="00653DB5" w:rsidRDefault="003D29F2" w:rsidP="00FB2E76">
            <w:pPr>
              <w:widowControl/>
              <w:autoSpaceDE w:val="0"/>
              <w:autoSpaceDN w:val="0"/>
              <w:adjustRightInd w:val="0"/>
              <w:jc w:val="center"/>
              <w:rPr>
                <w:rFonts w:ascii="Times New Roman" w:hAnsi="Times New Roman" w:cs="Times New Roman"/>
                <w:color w:val="000000" w:themeColor="text1"/>
              </w:rPr>
            </w:pPr>
            <w:r w:rsidRPr="00653DB5">
              <w:rPr>
                <w:rFonts w:ascii="Times New Roman" w:hAnsi="Times New Roman" w:cs="Times New Roman"/>
                <w:color w:val="000000" w:themeColor="text1"/>
              </w:rPr>
              <w:t>-</w:t>
            </w:r>
          </w:p>
        </w:tc>
        <w:tc>
          <w:tcPr>
            <w:tcW w:w="1417" w:type="dxa"/>
            <w:vAlign w:val="center"/>
          </w:tcPr>
          <w:p w:rsidR="003D29F2" w:rsidRPr="00653DB5" w:rsidRDefault="003D29F2" w:rsidP="00FB2E76">
            <w:pPr>
              <w:widowControl/>
              <w:autoSpaceDE w:val="0"/>
              <w:autoSpaceDN w:val="0"/>
              <w:adjustRightInd w:val="0"/>
              <w:jc w:val="center"/>
              <w:rPr>
                <w:rFonts w:ascii="Times New Roman" w:hAnsi="Times New Roman" w:cs="Times New Roman"/>
                <w:color w:val="000000" w:themeColor="text1"/>
              </w:rPr>
            </w:pPr>
            <w:r w:rsidRPr="00653DB5">
              <w:rPr>
                <w:rFonts w:ascii="Times New Roman" w:hAnsi="Times New Roman" w:cs="Times New Roman"/>
                <w:color w:val="000000" w:themeColor="text1"/>
              </w:rPr>
              <w:t>-</w:t>
            </w:r>
          </w:p>
        </w:tc>
        <w:tc>
          <w:tcPr>
            <w:tcW w:w="1417" w:type="dxa"/>
            <w:vAlign w:val="bottom"/>
          </w:tcPr>
          <w:p w:rsidR="003D29F2" w:rsidRPr="00653DB5" w:rsidRDefault="003D29F2" w:rsidP="00CB249A">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1.05%</w:t>
            </w:r>
          </w:p>
        </w:tc>
        <w:tc>
          <w:tcPr>
            <w:tcW w:w="1418" w:type="dxa"/>
            <w:vAlign w:val="bottom"/>
          </w:tcPr>
          <w:p w:rsidR="003D29F2" w:rsidRPr="00653DB5" w:rsidRDefault="003D29F2" w:rsidP="00CB249A">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sz w:val="22"/>
                <w:szCs w:val="22"/>
              </w:rPr>
              <w:t>2.67%</w:t>
            </w:r>
          </w:p>
        </w:tc>
      </w:tr>
      <w:tr w:rsidR="005A6569" w:rsidRPr="00653DB5" w:rsidTr="00047108">
        <w:tc>
          <w:tcPr>
            <w:tcW w:w="1818" w:type="dxa"/>
            <w:vAlign w:val="center"/>
          </w:tcPr>
          <w:p w:rsidR="005A6569" w:rsidRPr="00653DB5" w:rsidRDefault="005A6569" w:rsidP="00FB2E76">
            <w:pPr>
              <w:widowControl/>
              <w:autoSpaceDE w:val="0"/>
              <w:autoSpaceDN w:val="0"/>
              <w:adjustRightInd w:val="0"/>
              <w:rPr>
                <w:rFonts w:ascii="Times New Roman" w:eastAsia="Times New Roman" w:hAnsi="Times New Roman" w:cs="Times New Roman"/>
                <w:b/>
                <w:color w:val="000000" w:themeColor="text1"/>
                <w:sz w:val="22"/>
                <w:szCs w:val="22"/>
                <w:lang w:eastAsia="ru-RU"/>
              </w:rPr>
            </w:pPr>
            <w:r w:rsidRPr="00653DB5">
              <w:rPr>
                <w:rFonts w:ascii="Times New Roman" w:hAnsi="Times New Roman" w:cs="Times New Roman"/>
                <w:b/>
                <w:color w:val="000000" w:themeColor="text1"/>
                <w:sz w:val="22"/>
                <w:szCs w:val="22"/>
              </w:rPr>
              <w:t>Alţi furnizori</w:t>
            </w:r>
          </w:p>
        </w:tc>
        <w:tc>
          <w:tcPr>
            <w:tcW w:w="1037" w:type="dxa"/>
            <w:vAlign w:val="center"/>
          </w:tcPr>
          <w:p w:rsidR="005A6569" w:rsidRPr="00653DB5" w:rsidRDefault="005A6569"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w:t>
            </w:r>
          </w:p>
        </w:tc>
        <w:tc>
          <w:tcPr>
            <w:tcW w:w="1417" w:type="dxa"/>
            <w:vAlign w:val="center"/>
          </w:tcPr>
          <w:p w:rsidR="005A6569" w:rsidRPr="00653DB5" w:rsidRDefault="005A6569"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0,16%</w:t>
            </w:r>
          </w:p>
        </w:tc>
        <w:tc>
          <w:tcPr>
            <w:tcW w:w="1417" w:type="dxa"/>
            <w:vAlign w:val="center"/>
          </w:tcPr>
          <w:p w:rsidR="005A6569" w:rsidRPr="00653DB5" w:rsidRDefault="005A6569"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0,99%</w:t>
            </w:r>
          </w:p>
        </w:tc>
        <w:tc>
          <w:tcPr>
            <w:tcW w:w="1417" w:type="dxa"/>
            <w:vAlign w:val="center"/>
          </w:tcPr>
          <w:p w:rsidR="005A6569" w:rsidRPr="00653DB5" w:rsidRDefault="005A6569" w:rsidP="00FB2E76">
            <w:pPr>
              <w:widowControl/>
              <w:autoSpaceDE w:val="0"/>
              <w:autoSpaceDN w:val="0"/>
              <w:adjustRightInd w:val="0"/>
              <w:jc w:val="center"/>
              <w:rPr>
                <w:rFonts w:ascii="Times New Roman" w:eastAsia="Times New Roman" w:hAnsi="Times New Roman" w:cs="Times New Roman"/>
                <w:color w:val="000000" w:themeColor="text1"/>
                <w:sz w:val="22"/>
                <w:szCs w:val="22"/>
                <w:lang w:eastAsia="ru-RU"/>
              </w:rPr>
            </w:pPr>
            <w:r w:rsidRPr="00653DB5">
              <w:rPr>
                <w:rFonts w:ascii="Times New Roman" w:hAnsi="Times New Roman" w:cs="Times New Roman"/>
                <w:color w:val="000000" w:themeColor="text1"/>
              </w:rPr>
              <w:t>0,55%</w:t>
            </w:r>
          </w:p>
        </w:tc>
        <w:tc>
          <w:tcPr>
            <w:tcW w:w="1417" w:type="dxa"/>
          </w:tcPr>
          <w:p w:rsidR="005A6569" w:rsidRPr="00653DB5" w:rsidRDefault="005A6569" w:rsidP="0082192B">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color w:val="000000" w:themeColor="text1"/>
                <w:sz w:val="22"/>
                <w:szCs w:val="22"/>
              </w:rPr>
              <w:t>0,</w:t>
            </w:r>
            <w:r w:rsidR="00CB249A" w:rsidRPr="00653DB5">
              <w:rPr>
                <w:rFonts w:ascii="Times New Roman" w:hAnsi="Times New Roman" w:cs="Times New Roman"/>
                <w:color w:val="000000" w:themeColor="text1"/>
                <w:sz w:val="22"/>
                <w:szCs w:val="22"/>
              </w:rPr>
              <w:t>4</w:t>
            </w:r>
            <w:r w:rsidR="0082192B" w:rsidRPr="00653DB5">
              <w:rPr>
                <w:rFonts w:ascii="Times New Roman" w:hAnsi="Times New Roman" w:cs="Times New Roman"/>
                <w:color w:val="000000" w:themeColor="text1"/>
                <w:sz w:val="22"/>
                <w:szCs w:val="22"/>
              </w:rPr>
              <w:t>3</w:t>
            </w:r>
            <w:r w:rsidRPr="00653DB5">
              <w:rPr>
                <w:rFonts w:ascii="Times New Roman" w:hAnsi="Times New Roman" w:cs="Times New Roman"/>
                <w:color w:val="000000" w:themeColor="text1"/>
                <w:sz w:val="22"/>
                <w:szCs w:val="22"/>
              </w:rPr>
              <w:t>%</w:t>
            </w:r>
          </w:p>
        </w:tc>
        <w:tc>
          <w:tcPr>
            <w:tcW w:w="1418" w:type="dxa"/>
          </w:tcPr>
          <w:p w:rsidR="005A6569" w:rsidRPr="00653DB5" w:rsidRDefault="005A6569" w:rsidP="0082192B">
            <w:pPr>
              <w:widowControl/>
              <w:autoSpaceDE w:val="0"/>
              <w:autoSpaceDN w:val="0"/>
              <w:adjustRightInd w:val="0"/>
              <w:jc w:val="center"/>
              <w:rPr>
                <w:rFonts w:ascii="Times New Roman" w:hAnsi="Times New Roman" w:cs="Times New Roman"/>
                <w:color w:val="000000" w:themeColor="text1"/>
                <w:sz w:val="22"/>
                <w:szCs w:val="22"/>
              </w:rPr>
            </w:pPr>
            <w:r w:rsidRPr="00653DB5">
              <w:rPr>
                <w:rFonts w:ascii="Times New Roman" w:hAnsi="Times New Roman" w:cs="Times New Roman"/>
                <w:color w:val="000000" w:themeColor="text1"/>
                <w:sz w:val="22"/>
                <w:szCs w:val="22"/>
              </w:rPr>
              <w:t>0,</w:t>
            </w:r>
            <w:r w:rsidR="00CB249A" w:rsidRPr="00653DB5">
              <w:rPr>
                <w:rFonts w:ascii="Times New Roman" w:hAnsi="Times New Roman" w:cs="Times New Roman"/>
                <w:color w:val="000000" w:themeColor="text1"/>
                <w:sz w:val="22"/>
                <w:szCs w:val="22"/>
              </w:rPr>
              <w:t>4</w:t>
            </w:r>
            <w:r w:rsidR="0082192B" w:rsidRPr="00653DB5">
              <w:rPr>
                <w:rFonts w:ascii="Times New Roman" w:hAnsi="Times New Roman" w:cs="Times New Roman"/>
                <w:color w:val="000000" w:themeColor="text1"/>
                <w:sz w:val="22"/>
                <w:szCs w:val="22"/>
              </w:rPr>
              <w:t>4</w:t>
            </w:r>
            <w:r w:rsidRPr="00653DB5">
              <w:rPr>
                <w:rFonts w:ascii="Times New Roman" w:hAnsi="Times New Roman" w:cs="Times New Roman"/>
                <w:color w:val="000000" w:themeColor="text1"/>
                <w:sz w:val="22"/>
                <w:szCs w:val="22"/>
              </w:rPr>
              <w:t>%</w:t>
            </w:r>
          </w:p>
        </w:tc>
      </w:tr>
    </w:tbl>
    <w:p w:rsidR="008C6767" w:rsidRPr="00653DB5" w:rsidRDefault="008C6767" w:rsidP="001B2395">
      <w:pPr>
        <w:widowControl/>
        <w:spacing w:before="120" w:after="120"/>
        <w:jc w:val="both"/>
        <w:rPr>
          <w:rFonts w:ascii="Times New Roman" w:hAnsi="Times New Roman" w:cs="Times New Roman"/>
          <w:color w:val="000000" w:themeColor="text1"/>
          <w:sz w:val="26"/>
          <w:szCs w:val="26"/>
          <w:lang w:eastAsia="ru-RU"/>
        </w:rPr>
      </w:pPr>
      <w:r w:rsidRPr="00653DB5">
        <w:rPr>
          <w:rFonts w:ascii="Times New Roman" w:hAnsi="Times New Roman" w:cs="Times New Roman"/>
          <w:i/>
          <w:color w:val="000000" w:themeColor="text1"/>
          <w:sz w:val="26"/>
          <w:szCs w:val="26"/>
        </w:rPr>
        <w:t>Sursa: ANRCETI, în baza datelor raportate de furnizori</w:t>
      </w:r>
    </w:p>
    <w:p w:rsidR="00625107" w:rsidRPr="00653DB5" w:rsidRDefault="00625107" w:rsidP="008C6767">
      <w:pPr>
        <w:widowControl/>
        <w:ind w:firstLine="567"/>
        <w:jc w:val="both"/>
        <w:rPr>
          <w:rFonts w:ascii="Times New Roman" w:hAnsi="Times New Roman" w:cs="Times New Roman"/>
          <w:color w:val="000000" w:themeColor="text1"/>
          <w:sz w:val="26"/>
          <w:szCs w:val="26"/>
          <w:lang w:eastAsia="ru-RU"/>
        </w:rPr>
      </w:pPr>
      <w:r w:rsidRPr="00653DB5">
        <w:rPr>
          <w:rFonts w:ascii="Times New Roman" w:hAnsi="Times New Roman" w:cs="Times New Roman"/>
          <w:color w:val="000000" w:themeColor="text1"/>
          <w:sz w:val="26"/>
          <w:szCs w:val="26"/>
          <w:lang w:eastAsia="ru-RU"/>
        </w:rPr>
        <w:t>Astfel, constatăm că</w:t>
      </w:r>
      <w:r w:rsidR="00C13B44" w:rsidRPr="00653DB5">
        <w:rPr>
          <w:rFonts w:ascii="Times New Roman" w:hAnsi="Times New Roman" w:cs="Times New Roman"/>
          <w:color w:val="000000" w:themeColor="text1"/>
          <w:sz w:val="26"/>
          <w:szCs w:val="26"/>
          <w:lang w:eastAsia="ru-RU"/>
        </w:rPr>
        <w:t xml:space="preserve"> </w:t>
      </w:r>
      <w:r w:rsidR="009317AF" w:rsidRPr="00653DB5">
        <w:rPr>
          <w:rFonts w:ascii="Times New Roman" w:hAnsi="Times New Roman" w:cs="Times New Roman"/>
          <w:color w:val="000000" w:themeColor="text1"/>
          <w:sz w:val="26"/>
          <w:szCs w:val="26"/>
          <w:lang w:eastAsia="ru-RU"/>
        </w:rPr>
        <w:t xml:space="preserve">în ultimii ani a fost atestată o diminuare considerabilă a cotei </w:t>
      </w:r>
      <w:r w:rsidR="00C13B44" w:rsidRPr="00653DB5">
        <w:rPr>
          <w:rFonts w:ascii="Times New Roman" w:hAnsi="Times New Roman" w:cs="Times New Roman"/>
          <w:color w:val="000000" w:themeColor="text1"/>
          <w:sz w:val="26"/>
          <w:szCs w:val="26"/>
          <w:lang w:eastAsia="ru-RU"/>
        </w:rPr>
        <w:t>de piaţă a S.A.”</w:t>
      </w:r>
      <w:proofErr w:type="spellStart"/>
      <w:r w:rsidR="00C13B44" w:rsidRPr="00653DB5">
        <w:rPr>
          <w:rFonts w:ascii="Times New Roman" w:hAnsi="Times New Roman" w:cs="Times New Roman"/>
          <w:color w:val="000000" w:themeColor="text1"/>
          <w:sz w:val="26"/>
          <w:szCs w:val="26"/>
          <w:lang w:eastAsia="ru-RU"/>
        </w:rPr>
        <w:t>Moldtelecom</w:t>
      </w:r>
      <w:proofErr w:type="spellEnd"/>
      <w:r w:rsidR="00C13B44" w:rsidRPr="00653DB5">
        <w:rPr>
          <w:rFonts w:ascii="Times New Roman" w:hAnsi="Times New Roman" w:cs="Times New Roman"/>
          <w:color w:val="000000" w:themeColor="text1"/>
          <w:sz w:val="26"/>
          <w:szCs w:val="26"/>
          <w:lang w:eastAsia="ru-RU"/>
        </w:rPr>
        <w:t>”</w:t>
      </w:r>
      <w:r w:rsidRPr="00653DB5">
        <w:rPr>
          <w:rFonts w:ascii="Times New Roman" w:hAnsi="Times New Roman" w:cs="Times New Roman"/>
          <w:color w:val="000000" w:themeColor="text1"/>
          <w:sz w:val="26"/>
          <w:szCs w:val="26"/>
          <w:lang w:eastAsia="ru-RU"/>
        </w:rPr>
        <w:t xml:space="preserve">, </w:t>
      </w:r>
      <w:proofErr w:type="spellStart"/>
      <w:r w:rsidR="00C13B44" w:rsidRPr="00653DB5">
        <w:rPr>
          <w:rFonts w:ascii="Times New Roman" w:hAnsi="Times New Roman" w:cs="Times New Roman"/>
          <w:color w:val="000000" w:themeColor="text1"/>
          <w:sz w:val="26"/>
          <w:szCs w:val="26"/>
          <w:lang w:eastAsia="ru-RU"/>
        </w:rPr>
        <w:t>atît</w:t>
      </w:r>
      <w:proofErr w:type="spellEnd"/>
      <w:r w:rsidR="00C13B44" w:rsidRPr="00653DB5">
        <w:rPr>
          <w:rFonts w:ascii="Times New Roman" w:hAnsi="Times New Roman" w:cs="Times New Roman"/>
          <w:color w:val="000000" w:themeColor="text1"/>
          <w:sz w:val="26"/>
          <w:szCs w:val="26"/>
          <w:lang w:eastAsia="ru-RU"/>
        </w:rPr>
        <w:t xml:space="preserve"> în funcţie de venitul obţinut din furnizarea serviciilor de linii închiriate segmente-trunchi</w:t>
      </w:r>
      <w:r w:rsidR="00DF218B" w:rsidRPr="00653DB5">
        <w:rPr>
          <w:rFonts w:ascii="Times New Roman" w:hAnsi="Times New Roman" w:cs="Times New Roman"/>
          <w:color w:val="000000" w:themeColor="text1"/>
          <w:sz w:val="26"/>
          <w:szCs w:val="26"/>
          <w:lang w:eastAsia="ru-RU"/>
        </w:rPr>
        <w:t>,</w:t>
      </w:r>
      <w:r w:rsidR="00C13B44" w:rsidRPr="00653DB5">
        <w:rPr>
          <w:rFonts w:ascii="Times New Roman" w:hAnsi="Times New Roman" w:cs="Times New Roman"/>
          <w:color w:val="000000" w:themeColor="text1"/>
          <w:sz w:val="26"/>
          <w:szCs w:val="26"/>
          <w:lang w:eastAsia="ru-RU"/>
        </w:rPr>
        <w:t xml:space="preserve"> </w:t>
      </w:r>
      <w:proofErr w:type="spellStart"/>
      <w:r w:rsidR="00C13B44" w:rsidRPr="00653DB5">
        <w:rPr>
          <w:rFonts w:ascii="Times New Roman" w:hAnsi="Times New Roman" w:cs="Times New Roman"/>
          <w:color w:val="000000" w:themeColor="text1"/>
          <w:sz w:val="26"/>
          <w:szCs w:val="26"/>
          <w:lang w:eastAsia="ru-RU"/>
        </w:rPr>
        <w:t>cît</w:t>
      </w:r>
      <w:proofErr w:type="spellEnd"/>
      <w:r w:rsidR="00C13B44" w:rsidRPr="00653DB5">
        <w:rPr>
          <w:rFonts w:ascii="Times New Roman" w:hAnsi="Times New Roman" w:cs="Times New Roman"/>
          <w:color w:val="000000" w:themeColor="text1"/>
          <w:sz w:val="26"/>
          <w:szCs w:val="26"/>
          <w:lang w:eastAsia="ru-RU"/>
        </w:rPr>
        <w:t xml:space="preserve"> şi în funcţie de numărul de circuite de linii închiriate furnizate</w:t>
      </w:r>
      <w:r w:rsidRPr="00653DB5">
        <w:rPr>
          <w:rFonts w:ascii="Times New Roman" w:hAnsi="Times New Roman" w:cs="Times New Roman"/>
          <w:color w:val="000000" w:themeColor="text1"/>
          <w:sz w:val="26"/>
          <w:szCs w:val="26"/>
          <w:lang w:eastAsia="ru-RU"/>
        </w:rPr>
        <w:t xml:space="preserve">. Scăderea progresivă a cotei de piață a furnizorului determinat anterior cu putere semnificativă de piață este un indiciu al creșterii gradului de concurență pe piață. </w:t>
      </w:r>
    </w:p>
    <w:p w:rsidR="00C47DB9" w:rsidRPr="00653DB5" w:rsidRDefault="00C47DB9" w:rsidP="00C47DB9">
      <w:pPr>
        <w:widowControl/>
        <w:autoSpaceDE w:val="0"/>
        <w:autoSpaceDN w:val="0"/>
        <w:adjustRightInd w:val="0"/>
        <w:ind w:firstLine="567"/>
        <w:jc w:val="both"/>
        <w:rPr>
          <w:rFonts w:ascii="Times New Roman" w:eastAsia="Times New Roman" w:hAnsi="Times New Roman" w:cs="Times New Roman"/>
          <w:color w:val="000000" w:themeColor="text1"/>
          <w:sz w:val="26"/>
          <w:szCs w:val="26"/>
          <w:shd w:val="clear" w:color="auto" w:fill="FFFFFF"/>
        </w:rPr>
      </w:pPr>
      <w:r w:rsidRPr="00653DB5">
        <w:rPr>
          <w:rFonts w:ascii="Times New Roman" w:eastAsia="Times New Roman" w:hAnsi="Times New Roman" w:cs="Times New Roman"/>
          <w:color w:val="000000" w:themeColor="text1"/>
          <w:sz w:val="26"/>
          <w:szCs w:val="26"/>
          <w:shd w:val="clear" w:color="auto" w:fill="FFFFFF"/>
        </w:rPr>
        <w:t xml:space="preserve">O altă măsură a structurii pieței în vederea aprecierii concurenței este aprecierea Indicelui Hirfindahl Hirschmann (IHH). IHH măsoară gradul de concentrare a pieţei prin intermediul unui indicator derivat suma pătratelor cotelor de piaţă ale furnizorilor. </w:t>
      </w:r>
    </w:p>
    <w:p w:rsidR="00C47DB9" w:rsidRPr="00653DB5" w:rsidRDefault="00C47DB9" w:rsidP="00047108">
      <w:pPr>
        <w:widowControl/>
        <w:tabs>
          <w:tab w:val="left" w:pos="8820"/>
        </w:tabs>
        <w:jc w:val="both"/>
        <w:rPr>
          <w:rFonts w:ascii="Times New Roman" w:eastAsia="Times New Roman" w:hAnsi="Times New Roman" w:cs="Times New Roman"/>
          <w:color w:val="000000" w:themeColor="text1"/>
          <w:sz w:val="26"/>
          <w:szCs w:val="26"/>
        </w:rPr>
      </w:pPr>
    </w:p>
    <w:p w:rsidR="00C47DB9" w:rsidRPr="00653DB5" w:rsidRDefault="00C47DB9" w:rsidP="00047108">
      <w:pPr>
        <w:widowControl/>
        <w:rPr>
          <w:rFonts w:ascii="Times New Roman" w:eastAsia="Times New Roman" w:hAnsi="Times New Roman" w:cs="Times New Roman"/>
          <w:b/>
          <w:color w:val="000000" w:themeColor="text1"/>
          <w:sz w:val="26"/>
          <w:szCs w:val="26"/>
        </w:rPr>
      </w:pPr>
      <w:r w:rsidRPr="00653DB5">
        <w:rPr>
          <w:rFonts w:ascii="Times New Roman" w:eastAsia="Times New Roman" w:hAnsi="Times New Roman" w:cs="Times New Roman"/>
          <w:b/>
          <w:color w:val="000000" w:themeColor="text1"/>
          <w:sz w:val="26"/>
          <w:szCs w:val="26"/>
        </w:rPr>
        <w:t>Tabelul nr.</w:t>
      </w:r>
      <w:r w:rsidR="005E2284" w:rsidRPr="00653DB5">
        <w:rPr>
          <w:rFonts w:ascii="Times New Roman" w:eastAsia="Times New Roman" w:hAnsi="Times New Roman" w:cs="Times New Roman"/>
          <w:b/>
          <w:color w:val="000000" w:themeColor="text1"/>
          <w:sz w:val="26"/>
          <w:szCs w:val="26"/>
        </w:rPr>
        <w:t>4</w:t>
      </w:r>
      <w:r w:rsidRPr="00653DB5">
        <w:rPr>
          <w:rFonts w:ascii="Times New Roman" w:eastAsia="Times New Roman" w:hAnsi="Times New Roman" w:cs="Times New Roman"/>
          <w:b/>
          <w:color w:val="000000" w:themeColor="text1"/>
          <w:sz w:val="26"/>
          <w:szCs w:val="26"/>
        </w:rPr>
        <w:t xml:space="preserve">: Calcularea Indicelui IHH pentru piaţa de furnizare cu ridicata a unor </w:t>
      </w:r>
    </w:p>
    <w:p w:rsidR="00C47DB9" w:rsidRPr="00653DB5" w:rsidRDefault="00C47DB9" w:rsidP="00047108">
      <w:pPr>
        <w:widowControl/>
        <w:rPr>
          <w:rFonts w:ascii="Times New Roman" w:eastAsia="Times New Roman" w:hAnsi="Times New Roman" w:cs="Times New Roman"/>
          <w:b/>
          <w:color w:val="000000" w:themeColor="text1"/>
          <w:sz w:val="26"/>
          <w:szCs w:val="26"/>
        </w:rPr>
      </w:pPr>
      <w:r w:rsidRPr="00653DB5">
        <w:rPr>
          <w:rFonts w:ascii="Times New Roman" w:eastAsia="Times New Roman" w:hAnsi="Times New Roman" w:cs="Times New Roman"/>
          <w:b/>
          <w:color w:val="000000" w:themeColor="text1"/>
          <w:sz w:val="26"/>
          <w:szCs w:val="26"/>
        </w:rPr>
        <w:t>segmente-trunchi de linii închiriate</w:t>
      </w:r>
    </w:p>
    <w:tbl>
      <w:tblPr>
        <w:tblW w:w="9578" w:type="dxa"/>
        <w:jc w:val="center"/>
        <w:tblInd w:w="-1017"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000" w:firstRow="0" w:lastRow="0" w:firstColumn="0" w:lastColumn="0" w:noHBand="0" w:noVBand="0"/>
      </w:tblPr>
      <w:tblGrid>
        <w:gridCol w:w="2054"/>
        <w:gridCol w:w="2268"/>
        <w:gridCol w:w="1148"/>
        <w:gridCol w:w="2659"/>
        <w:gridCol w:w="1449"/>
      </w:tblGrid>
      <w:tr w:rsidR="00C47DB9" w:rsidRPr="00653DB5" w:rsidTr="00C36024">
        <w:trPr>
          <w:trHeight w:val="300"/>
          <w:jc w:val="center"/>
        </w:trPr>
        <w:tc>
          <w:tcPr>
            <w:tcW w:w="2054" w:type="dxa"/>
            <w:shd w:val="clear" w:color="auto" w:fill="C0C0C0"/>
            <w:noWrap/>
            <w:vAlign w:val="center"/>
          </w:tcPr>
          <w:p w:rsidR="00C47DB9" w:rsidRPr="00653DB5" w:rsidRDefault="00C47DB9" w:rsidP="00177097">
            <w:pPr>
              <w:jc w:val="center"/>
              <w:rPr>
                <w:rFonts w:ascii="Times New Roman" w:hAnsi="Times New Roman" w:cs="Times New Roman"/>
                <w:bCs/>
                <w:color w:val="000000" w:themeColor="text1"/>
                <w:sz w:val="26"/>
                <w:szCs w:val="26"/>
              </w:rPr>
            </w:pPr>
            <w:r w:rsidRPr="00653DB5">
              <w:rPr>
                <w:rFonts w:ascii="Times New Roman" w:hAnsi="Times New Roman" w:cs="Times New Roman"/>
                <w:bCs/>
                <w:color w:val="000000" w:themeColor="text1"/>
                <w:sz w:val="26"/>
                <w:szCs w:val="26"/>
              </w:rPr>
              <w:t>Pentru furnizor</w:t>
            </w:r>
          </w:p>
        </w:tc>
        <w:tc>
          <w:tcPr>
            <w:tcW w:w="2268" w:type="dxa"/>
            <w:shd w:val="clear" w:color="auto" w:fill="C0C0C0"/>
            <w:noWrap/>
            <w:vAlign w:val="center"/>
          </w:tcPr>
          <w:p w:rsidR="00C47DB9" w:rsidRPr="00653DB5" w:rsidRDefault="00C47DB9" w:rsidP="00177097">
            <w:pPr>
              <w:jc w:val="center"/>
              <w:rPr>
                <w:rFonts w:ascii="Times New Roman" w:hAnsi="Times New Roman" w:cs="Times New Roman"/>
                <w:bCs/>
                <w:color w:val="000000" w:themeColor="text1"/>
                <w:sz w:val="26"/>
                <w:szCs w:val="26"/>
              </w:rPr>
            </w:pPr>
            <w:r w:rsidRPr="00653DB5">
              <w:rPr>
                <w:rFonts w:ascii="Times New Roman" w:hAnsi="Times New Roman" w:cs="Times New Roman"/>
                <w:bCs/>
                <w:color w:val="000000" w:themeColor="text1"/>
                <w:sz w:val="26"/>
                <w:szCs w:val="26"/>
              </w:rPr>
              <w:t>Cota de piaţă în funcţie de venituri, (2016)</w:t>
            </w:r>
          </w:p>
        </w:tc>
        <w:tc>
          <w:tcPr>
            <w:tcW w:w="1148" w:type="dxa"/>
            <w:tcBorders>
              <w:right w:val="single" w:sz="4" w:space="0" w:color="auto"/>
            </w:tcBorders>
            <w:shd w:val="clear" w:color="auto" w:fill="C0C0C0"/>
            <w:noWrap/>
            <w:vAlign w:val="center"/>
          </w:tcPr>
          <w:p w:rsidR="00C47DB9" w:rsidRPr="00653DB5" w:rsidRDefault="00C47DB9" w:rsidP="00177097">
            <w:pPr>
              <w:jc w:val="center"/>
              <w:rPr>
                <w:rFonts w:ascii="Times New Roman" w:hAnsi="Times New Roman" w:cs="Times New Roman"/>
                <w:bCs/>
                <w:color w:val="000000" w:themeColor="text1"/>
                <w:sz w:val="26"/>
                <w:szCs w:val="26"/>
              </w:rPr>
            </w:pPr>
            <w:r w:rsidRPr="00653DB5">
              <w:rPr>
                <w:rFonts w:ascii="Times New Roman" w:hAnsi="Times New Roman" w:cs="Times New Roman"/>
                <w:bCs/>
                <w:color w:val="000000" w:themeColor="text1"/>
                <w:sz w:val="26"/>
                <w:szCs w:val="26"/>
              </w:rPr>
              <w:t>IHH</w:t>
            </w:r>
          </w:p>
        </w:tc>
        <w:tc>
          <w:tcPr>
            <w:tcW w:w="2659" w:type="dxa"/>
            <w:tcBorders>
              <w:right w:val="single" w:sz="4" w:space="0" w:color="auto"/>
            </w:tcBorders>
            <w:shd w:val="clear" w:color="auto" w:fill="C0C0C0"/>
            <w:vAlign w:val="center"/>
          </w:tcPr>
          <w:p w:rsidR="00C47DB9" w:rsidRPr="00653DB5" w:rsidRDefault="00C47DB9" w:rsidP="00177097">
            <w:pPr>
              <w:jc w:val="center"/>
              <w:rPr>
                <w:rFonts w:ascii="Times New Roman" w:hAnsi="Times New Roman" w:cs="Times New Roman"/>
                <w:bCs/>
                <w:color w:val="000000" w:themeColor="text1"/>
                <w:sz w:val="26"/>
                <w:szCs w:val="26"/>
              </w:rPr>
            </w:pPr>
            <w:r w:rsidRPr="00653DB5">
              <w:rPr>
                <w:rFonts w:ascii="Times New Roman" w:hAnsi="Times New Roman" w:cs="Times New Roman"/>
                <w:bCs/>
                <w:color w:val="000000" w:themeColor="text1"/>
                <w:sz w:val="26"/>
                <w:szCs w:val="26"/>
              </w:rPr>
              <w:t>Cota de piaţă în funcţie de numărul de circuite furnizate, (2016)</w:t>
            </w:r>
          </w:p>
        </w:tc>
        <w:tc>
          <w:tcPr>
            <w:tcW w:w="1449" w:type="dxa"/>
            <w:tcBorders>
              <w:left w:val="single" w:sz="4" w:space="0" w:color="auto"/>
            </w:tcBorders>
            <w:shd w:val="clear" w:color="auto" w:fill="C0C0C0"/>
            <w:vAlign w:val="center"/>
          </w:tcPr>
          <w:p w:rsidR="00C47DB9" w:rsidRPr="00653DB5" w:rsidRDefault="00C47DB9" w:rsidP="00177097">
            <w:pPr>
              <w:jc w:val="center"/>
              <w:rPr>
                <w:rFonts w:ascii="Times New Roman" w:hAnsi="Times New Roman" w:cs="Times New Roman"/>
                <w:bCs/>
                <w:color w:val="000000" w:themeColor="text1"/>
                <w:sz w:val="26"/>
                <w:szCs w:val="26"/>
              </w:rPr>
            </w:pPr>
            <w:r w:rsidRPr="00653DB5">
              <w:rPr>
                <w:rFonts w:ascii="Times New Roman" w:hAnsi="Times New Roman" w:cs="Times New Roman"/>
                <w:bCs/>
                <w:color w:val="000000" w:themeColor="text1"/>
                <w:sz w:val="26"/>
                <w:szCs w:val="26"/>
              </w:rPr>
              <w:t>IHH</w:t>
            </w:r>
          </w:p>
        </w:tc>
      </w:tr>
      <w:tr w:rsidR="0082192B" w:rsidRPr="00653DB5" w:rsidTr="00C36024">
        <w:trPr>
          <w:trHeight w:val="300"/>
          <w:jc w:val="center"/>
        </w:trPr>
        <w:tc>
          <w:tcPr>
            <w:tcW w:w="2054" w:type="dxa"/>
            <w:noWrap/>
            <w:vAlign w:val="bottom"/>
          </w:tcPr>
          <w:p w:rsidR="0082192B" w:rsidRPr="00653DB5" w:rsidRDefault="0082192B" w:rsidP="00177097">
            <w:pP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Moldtelecom</w:t>
            </w:r>
          </w:p>
        </w:tc>
        <w:tc>
          <w:tcPr>
            <w:tcW w:w="2268" w:type="dxa"/>
            <w:noWrap/>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sz w:val="26"/>
                <w:szCs w:val="26"/>
              </w:rPr>
              <w:t>37.74%</w:t>
            </w:r>
          </w:p>
        </w:tc>
        <w:tc>
          <w:tcPr>
            <w:tcW w:w="1148" w:type="dxa"/>
            <w:tcBorders>
              <w:right w:val="single" w:sz="4" w:space="0" w:color="auto"/>
            </w:tcBorders>
            <w:noWrap/>
            <w:vAlign w:val="bottom"/>
          </w:tcPr>
          <w:p w:rsidR="0082192B" w:rsidRPr="00653DB5" w:rsidRDefault="0082192B" w:rsidP="0082192B">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 xml:space="preserve"> 0,1424</w:t>
            </w:r>
          </w:p>
        </w:tc>
        <w:tc>
          <w:tcPr>
            <w:tcW w:w="2659" w:type="dxa"/>
            <w:tcBorders>
              <w:right w:val="single" w:sz="4" w:space="0" w:color="auto"/>
            </w:tcBorders>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sz w:val="26"/>
                <w:szCs w:val="26"/>
              </w:rPr>
              <w:t>39.86%</w:t>
            </w:r>
          </w:p>
        </w:tc>
        <w:tc>
          <w:tcPr>
            <w:tcW w:w="1449" w:type="dxa"/>
            <w:tcBorders>
              <w:left w:val="single" w:sz="4" w:space="0" w:color="auto"/>
            </w:tcBorders>
            <w:vAlign w:val="bottom"/>
          </w:tcPr>
          <w:p w:rsidR="0082192B" w:rsidRPr="00653DB5" w:rsidRDefault="0082192B" w:rsidP="00797815">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w:t>
            </w:r>
            <w:r w:rsidR="00797815" w:rsidRPr="00653DB5">
              <w:rPr>
                <w:rFonts w:ascii="Times New Roman" w:hAnsi="Times New Roman" w:cs="Times New Roman"/>
                <w:color w:val="000000" w:themeColor="text1"/>
                <w:sz w:val="26"/>
                <w:szCs w:val="26"/>
              </w:rPr>
              <w:t>1588</w:t>
            </w:r>
          </w:p>
        </w:tc>
      </w:tr>
      <w:tr w:rsidR="0082192B" w:rsidRPr="00653DB5" w:rsidTr="00C36024">
        <w:trPr>
          <w:trHeight w:val="300"/>
          <w:jc w:val="center"/>
        </w:trPr>
        <w:tc>
          <w:tcPr>
            <w:tcW w:w="2054" w:type="dxa"/>
            <w:noWrap/>
            <w:vAlign w:val="bottom"/>
          </w:tcPr>
          <w:p w:rsidR="0082192B" w:rsidRPr="00653DB5" w:rsidRDefault="0082192B" w:rsidP="00177097">
            <w:pP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Orange Moldova</w:t>
            </w:r>
          </w:p>
        </w:tc>
        <w:tc>
          <w:tcPr>
            <w:tcW w:w="2268" w:type="dxa"/>
            <w:noWrap/>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sz w:val="26"/>
                <w:szCs w:val="26"/>
              </w:rPr>
              <w:t>1.08%</w:t>
            </w:r>
          </w:p>
        </w:tc>
        <w:tc>
          <w:tcPr>
            <w:tcW w:w="1148" w:type="dxa"/>
            <w:tcBorders>
              <w:right w:val="single" w:sz="4" w:space="0" w:color="auto"/>
            </w:tcBorders>
            <w:noWrap/>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0,0001</w:t>
            </w:r>
          </w:p>
        </w:tc>
        <w:tc>
          <w:tcPr>
            <w:tcW w:w="2659" w:type="dxa"/>
            <w:tcBorders>
              <w:right w:val="single" w:sz="4" w:space="0" w:color="auto"/>
            </w:tcBorders>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sz w:val="26"/>
                <w:szCs w:val="26"/>
              </w:rPr>
              <w:t>0.55%</w:t>
            </w:r>
          </w:p>
        </w:tc>
        <w:tc>
          <w:tcPr>
            <w:tcW w:w="1449" w:type="dxa"/>
            <w:tcBorders>
              <w:left w:val="single" w:sz="4" w:space="0" w:color="auto"/>
            </w:tcBorders>
            <w:vAlign w:val="bottom"/>
          </w:tcPr>
          <w:p w:rsidR="0082192B" w:rsidRPr="00653DB5" w:rsidRDefault="0082192B" w:rsidP="00797815">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0,0000</w:t>
            </w:r>
            <w:r w:rsidR="00797815" w:rsidRPr="00653DB5">
              <w:rPr>
                <w:rFonts w:ascii="Times New Roman" w:hAnsi="Times New Roman" w:cs="Times New Roman"/>
                <w:color w:val="000000" w:themeColor="text1"/>
                <w:sz w:val="26"/>
                <w:szCs w:val="26"/>
              </w:rPr>
              <w:t>03</w:t>
            </w:r>
          </w:p>
        </w:tc>
      </w:tr>
      <w:tr w:rsidR="0082192B" w:rsidRPr="00653DB5" w:rsidTr="00C36024">
        <w:trPr>
          <w:trHeight w:val="81"/>
          <w:jc w:val="center"/>
        </w:trPr>
        <w:tc>
          <w:tcPr>
            <w:tcW w:w="2054" w:type="dxa"/>
            <w:tcBorders>
              <w:bottom w:val="single" w:sz="4" w:space="0" w:color="auto"/>
            </w:tcBorders>
            <w:noWrap/>
            <w:vAlign w:val="bottom"/>
          </w:tcPr>
          <w:p w:rsidR="0082192B" w:rsidRPr="00653DB5" w:rsidRDefault="0082192B" w:rsidP="00177097">
            <w:pPr>
              <w:rPr>
                <w:rFonts w:ascii="Times New Roman" w:hAnsi="Times New Roman" w:cs="Times New Roman"/>
                <w:color w:val="000000" w:themeColor="text1"/>
                <w:sz w:val="26"/>
                <w:szCs w:val="26"/>
              </w:rPr>
            </w:pPr>
            <w:proofErr w:type="spellStart"/>
            <w:r w:rsidRPr="00653DB5">
              <w:rPr>
                <w:rFonts w:ascii="Times New Roman" w:hAnsi="Times New Roman" w:cs="Times New Roman"/>
                <w:color w:val="000000" w:themeColor="text1"/>
                <w:sz w:val="26"/>
                <w:szCs w:val="26"/>
              </w:rPr>
              <w:t>Moldcell</w:t>
            </w:r>
            <w:proofErr w:type="spellEnd"/>
          </w:p>
        </w:tc>
        <w:tc>
          <w:tcPr>
            <w:tcW w:w="2268" w:type="dxa"/>
            <w:tcBorders>
              <w:bottom w:val="single" w:sz="4" w:space="0" w:color="auto"/>
            </w:tcBorders>
            <w:noWrap/>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sz w:val="26"/>
                <w:szCs w:val="26"/>
              </w:rPr>
              <w:t>57.20%</w:t>
            </w:r>
          </w:p>
        </w:tc>
        <w:tc>
          <w:tcPr>
            <w:tcW w:w="1148" w:type="dxa"/>
            <w:tcBorders>
              <w:bottom w:val="single" w:sz="4" w:space="0" w:color="auto"/>
              <w:right w:val="single" w:sz="4" w:space="0" w:color="auto"/>
            </w:tcBorders>
            <w:noWrap/>
            <w:vAlign w:val="bottom"/>
          </w:tcPr>
          <w:p w:rsidR="0082192B" w:rsidRPr="00653DB5" w:rsidRDefault="0082192B" w:rsidP="0082192B">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0,3271</w:t>
            </w:r>
          </w:p>
        </w:tc>
        <w:tc>
          <w:tcPr>
            <w:tcW w:w="2659" w:type="dxa"/>
            <w:tcBorders>
              <w:bottom w:val="single" w:sz="4" w:space="0" w:color="auto"/>
              <w:right w:val="single" w:sz="4" w:space="0" w:color="auto"/>
            </w:tcBorders>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sz w:val="26"/>
                <w:szCs w:val="26"/>
              </w:rPr>
              <w:t>8.20%</w:t>
            </w:r>
          </w:p>
        </w:tc>
        <w:tc>
          <w:tcPr>
            <w:tcW w:w="1449" w:type="dxa"/>
            <w:tcBorders>
              <w:left w:val="single" w:sz="4" w:space="0" w:color="auto"/>
              <w:bottom w:val="single" w:sz="4" w:space="0" w:color="auto"/>
            </w:tcBorders>
            <w:vAlign w:val="bottom"/>
          </w:tcPr>
          <w:p w:rsidR="0082192B" w:rsidRPr="00653DB5" w:rsidRDefault="0082192B" w:rsidP="00797815">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0,006</w:t>
            </w:r>
            <w:r w:rsidR="00797815" w:rsidRPr="00653DB5">
              <w:rPr>
                <w:rFonts w:ascii="Times New Roman" w:hAnsi="Times New Roman" w:cs="Times New Roman"/>
                <w:color w:val="000000" w:themeColor="text1"/>
                <w:sz w:val="26"/>
                <w:szCs w:val="26"/>
              </w:rPr>
              <w:t>7</w:t>
            </w:r>
          </w:p>
        </w:tc>
      </w:tr>
      <w:tr w:rsidR="0082192B" w:rsidRPr="00653DB5" w:rsidTr="00C36024">
        <w:trPr>
          <w:trHeight w:val="172"/>
          <w:jc w:val="center"/>
        </w:trPr>
        <w:tc>
          <w:tcPr>
            <w:tcW w:w="2054" w:type="dxa"/>
            <w:tcBorders>
              <w:top w:val="single" w:sz="4" w:space="0" w:color="auto"/>
              <w:bottom w:val="single" w:sz="4" w:space="0" w:color="auto"/>
            </w:tcBorders>
            <w:noWrap/>
            <w:vAlign w:val="bottom"/>
          </w:tcPr>
          <w:p w:rsidR="0082192B" w:rsidRPr="00653DB5" w:rsidRDefault="0082192B" w:rsidP="00177097">
            <w:pP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Arax-Impex</w:t>
            </w:r>
          </w:p>
        </w:tc>
        <w:tc>
          <w:tcPr>
            <w:tcW w:w="2268" w:type="dxa"/>
            <w:tcBorders>
              <w:top w:val="single" w:sz="4" w:space="0" w:color="auto"/>
              <w:bottom w:val="single" w:sz="4" w:space="0" w:color="auto"/>
            </w:tcBorders>
            <w:noWrap/>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sz w:val="26"/>
                <w:szCs w:val="26"/>
              </w:rPr>
              <w:t>0.86%</w:t>
            </w:r>
          </w:p>
        </w:tc>
        <w:tc>
          <w:tcPr>
            <w:tcW w:w="1148" w:type="dxa"/>
            <w:tcBorders>
              <w:top w:val="single" w:sz="4" w:space="0" w:color="auto"/>
              <w:bottom w:val="single" w:sz="4" w:space="0" w:color="auto"/>
              <w:right w:val="single" w:sz="4" w:space="0" w:color="auto"/>
            </w:tcBorders>
            <w:noWrap/>
            <w:vAlign w:val="bottom"/>
          </w:tcPr>
          <w:p w:rsidR="0082192B" w:rsidRPr="00653DB5" w:rsidRDefault="0082192B" w:rsidP="0082192B">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0,00007</w:t>
            </w:r>
          </w:p>
        </w:tc>
        <w:tc>
          <w:tcPr>
            <w:tcW w:w="2659" w:type="dxa"/>
            <w:tcBorders>
              <w:top w:val="single" w:sz="4" w:space="0" w:color="auto"/>
              <w:bottom w:val="single" w:sz="4" w:space="0" w:color="auto"/>
              <w:right w:val="single" w:sz="4" w:space="0" w:color="auto"/>
            </w:tcBorders>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sz w:val="26"/>
                <w:szCs w:val="26"/>
              </w:rPr>
              <w:t>22.96%</w:t>
            </w:r>
          </w:p>
        </w:tc>
        <w:tc>
          <w:tcPr>
            <w:tcW w:w="1449" w:type="dxa"/>
            <w:tcBorders>
              <w:top w:val="single" w:sz="4" w:space="0" w:color="auto"/>
              <w:left w:val="single" w:sz="4" w:space="0" w:color="auto"/>
              <w:bottom w:val="single" w:sz="4" w:space="0" w:color="auto"/>
            </w:tcBorders>
            <w:vAlign w:val="bottom"/>
          </w:tcPr>
          <w:p w:rsidR="0082192B" w:rsidRPr="00653DB5" w:rsidRDefault="0082192B" w:rsidP="00797815">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0,0</w:t>
            </w:r>
            <w:r w:rsidR="00797815" w:rsidRPr="00653DB5">
              <w:rPr>
                <w:rFonts w:ascii="Times New Roman" w:hAnsi="Times New Roman" w:cs="Times New Roman"/>
                <w:color w:val="000000" w:themeColor="text1"/>
                <w:sz w:val="26"/>
                <w:szCs w:val="26"/>
              </w:rPr>
              <w:t>527</w:t>
            </w:r>
          </w:p>
        </w:tc>
      </w:tr>
      <w:tr w:rsidR="0082192B" w:rsidRPr="00653DB5" w:rsidTr="00C36024">
        <w:trPr>
          <w:trHeight w:val="69"/>
          <w:jc w:val="center"/>
        </w:trPr>
        <w:tc>
          <w:tcPr>
            <w:tcW w:w="2054" w:type="dxa"/>
            <w:tcBorders>
              <w:top w:val="single" w:sz="4" w:space="0" w:color="auto"/>
            </w:tcBorders>
            <w:noWrap/>
            <w:vAlign w:val="bottom"/>
          </w:tcPr>
          <w:p w:rsidR="0082192B" w:rsidRPr="00653DB5" w:rsidRDefault="0082192B" w:rsidP="00177097">
            <w:pPr>
              <w:rPr>
                <w:rFonts w:ascii="Times New Roman" w:hAnsi="Times New Roman" w:cs="Times New Roman"/>
                <w:color w:val="000000" w:themeColor="text1"/>
                <w:sz w:val="26"/>
                <w:szCs w:val="26"/>
              </w:rPr>
            </w:pPr>
            <w:proofErr w:type="spellStart"/>
            <w:r w:rsidRPr="00653DB5">
              <w:rPr>
                <w:rFonts w:ascii="Times New Roman" w:hAnsi="Times New Roman" w:cs="Times New Roman"/>
                <w:color w:val="000000" w:themeColor="text1"/>
                <w:sz w:val="26"/>
                <w:szCs w:val="26"/>
              </w:rPr>
              <w:t>Starnet</w:t>
            </w:r>
            <w:proofErr w:type="spellEnd"/>
            <w:r w:rsidRPr="00653DB5">
              <w:rPr>
                <w:rFonts w:ascii="Times New Roman" w:hAnsi="Times New Roman" w:cs="Times New Roman"/>
                <w:color w:val="000000" w:themeColor="text1"/>
                <w:sz w:val="26"/>
                <w:szCs w:val="26"/>
              </w:rPr>
              <w:t xml:space="preserve"> Servicii</w:t>
            </w:r>
          </w:p>
        </w:tc>
        <w:tc>
          <w:tcPr>
            <w:tcW w:w="2268" w:type="dxa"/>
            <w:tcBorders>
              <w:top w:val="single" w:sz="4" w:space="0" w:color="auto"/>
            </w:tcBorders>
            <w:noWrap/>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sz w:val="26"/>
                <w:szCs w:val="26"/>
              </w:rPr>
              <w:t>2.67%</w:t>
            </w:r>
          </w:p>
        </w:tc>
        <w:tc>
          <w:tcPr>
            <w:tcW w:w="1148" w:type="dxa"/>
            <w:tcBorders>
              <w:top w:val="single" w:sz="4" w:space="0" w:color="auto"/>
              <w:right w:val="single" w:sz="4" w:space="0" w:color="auto"/>
            </w:tcBorders>
            <w:noWrap/>
            <w:vAlign w:val="bottom"/>
          </w:tcPr>
          <w:p w:rsidR="0082192B" w:rsidRPr="00653DB5" w:rsidRDefault="00EC5629" w:rsidP="00177097">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0,0007</w:t>
            </w:r>
          </w:p>
        </w:tc>
        <w:tc>
          <w:tcPr>
            <w:tcW w:w="2659" w:type="dxa"/>
            <w:tcBorders>
              <w:top w:val="single" w:sz="4" w:space="0" w:color="auto"/>
              <w:right w:val="single" w:sz="4" w:space="0" w:color="auto"/>
            </w:tcBorders>
            <w:vAlign w:val="bottom"/>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sz w:val="26"/>
                <w:szCs w:val="26"/>
              </w:rPr>
              <w:t>27.88%</w:t>
            </w:r>
          </w:p>
        </w:tc>
        <w:tc>
          <w:tcPr>
            <w:tcW w:w="1449" w:type="dxa"/>
            <w:tcBorders>
              <w:top w:val="single" w:sz="4" w:space="0" w:color="auto"/>
              <w:left w:val="single" w:sz="4" w:space="0" w:color="auto"/>
            </w:tcBorders>
            <w:vAlign w:val="bottom"/>
          </w:tcPr>
          <w:p w:rsidR="0082192B" w:rsidRPr="00653DB5" w:rsidRDefault="00797815" w:rsidP="00177097">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0,0777</w:t>
            </w:r>
          </w:p>
        </w:tc>
      </w:tr>
      <w:tr w:rsidR="0082192B" w:rsidRPr="00653DB5" w:rsidTr="00C36024">
        <w:trPr>
          <w:trHeight w:val="69"/>
          <w:jc w:val="center"/>
        </w:trPr>
        <w:tc>
          <w:tcPr>
            <w:tcW w:w="2054" w:type="dxa"/>
            <w:tcBorders>
              <w:top w:val="single" w:sz="4" w:space="0" w:color="auto"/>
            </w:tcBorders>
            <w:noWrap/>
            <w:vAlign w:val="bottom"/>
          </w:tcPr>
          <w:p w:rsidR="0082192B" w:rsidRPr="00653DB5" w:rsidRDefault="0082192B" w:rsidP="00177097">
            <w:pP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Alţi furnizori</w:t>
            </w:r>
          </w:p>
        </w:tc>
        <w:tc>
          <w:tcPr>
            <w:tcW w:w="2268" w:type="dxa"/>
            <w:tcBorders>
              <w:top w:val="single" w:sz="4" w:space="0" w:color="auto"/>
            </w:tcBorders>
            <w:noWrap/>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0,44%</w:t>
            </w:r>
          </w:p>
        </w:tc>
        <w:tc>
          <w:tcPr>
            <w:tcW w:w="1148" w:type="dxa"/>
            <w:tcBorders>
              <w:top w:val="single" w:sz="4" w:space="0" w:color="auto"/>
              <w:right w:val="single" w:sz="4" w:space="0" w:color="auto"/>
            </w:tcBorders>
            <w:noWrap/>
            <w:vAlign w:val="bottom"/>
          </w:tcPr>
          <w:p w:rsidR="0082192B" w:rsidRPr="00653DB5" w:rsidRDefault="00EC5629" w:rsidP="00177097">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0,00001</w:t>
            </w:r>
            <w:r w:rsidR="0082192B" w:rsidRPr="00653DB5">
              <w:rPr>
                <w:rFonts w:ascii="Times New Roman" w:hAnsi="Times New Roman" w:cs="Times New Roman"/>
                <w:color w:val="000000" w:themeColor="text1"/>
                <w:sz w:val="26"/>
                <w:szCs w:val="26"/>
              </w:rPr>
              <w:t>-</w:t>
            </w:r>
          </w:p>
        </w:tc>
        <w:tc>
          <w:tcPr>
            <w:tcW w:w="2659" w:type="dxa"/>
            <w:tcBorders>
              <w:top w:val="single" w:sz="4" w:space="0" w:color="auto"/>
              <w:right w:val="single" w:sz="4" w:space="0" w:color="auto"/>
            </w:tcBorders>
          </w:tcPr>
          <w:p w:rsidR="0082192B" w:rsidRPr="00653DB5" w:rsidRDefault="0082192B" w:rsidP="00177097">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0,55%</w:t>
            </w:r>
          </w:p>
        </w:tc>
        <w:tc>
          <w:tcPr>
            <w:tcW w:w="1449" w:type="dxa"/>
            <w:tcBorders>
              <w:top w:val="single" w:sz="4" w:space="0" w:color="auto"/>
              <w:left w:val="single" w:sz="4" w:space="0" w:color="auto"/>
            </w:tcBorders>
            <w:vAlign w:val="bottom"/>
          </w:tcPr>
          <w:p w:rsidR="0082192B" w:rsidRPr="00653DB5" w:rsidRDefault="00797815" w:rsidP="00177097">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0,00003</w:t>
            </w:r>
          </w:p>
        </w:tc>
      </w:tr>
      <w:tr w:rsidR="00C47DB9" w:rsidRPr="00653DB5" w:rsidTr="00C36024">
        <w:trPr>
          <w:trHeight w:val="300"/>
          <w:jc w:val="center"/>
        </w:trPr>
        <w:tc>
          <w:tcPr>
            <w:tcW w:w="2054" w:type="dxa"/>
            <w:noWrap/>
            <w:vAlign w:val="bottom"/>
          </w:tcPr>
          <w:p w:rsidR="00C47DB9" w:rsidRPr="00653DB5" w:rsidRDefault="00EF44C0" w:rsidP="00177097">
            <w:pP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Total</w:t>
            </w:r>
          </w:p>
        </w:tc>
        <w:tc>
          <w:tcPr>
            <w:tcW w:w="2268" w:type="dxa"/>
            <w:noWrap/>
            <w:vAlign w:val="bottom"/>
          </w:tcPr>
          <w:p w:rsidR="00C47DB9" w:rsidRPr="00653DB5" w:rsidRDefault="00C47DB9" w:rsidP="00177097">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100%</w:t>
            </w:r>
          </w:p>
        </w:tc>
        <w:tc>
          <w:tcPr>
            <w:tcW w:w="1148" w:type="dxa"/>
            <w:tcBorders>
              <w:right w:val="single" w:sz="4" w:space="0" w:color="auto"/>
            </w:tcBorders>
            <w:noWrap/>
            <w:vAlign w:val="bottom"/>
          </w:tcPr>
          <w:p w:rsidR="00C47DB9" w:rsidRPr="00653DB5" w:rsidRDefault="00C47DB9" w:rsidP="00EC5629">
            <w:pPr>
              <w:jc w:val="center"/>
              <w:rPr>
                <w:rFonts w:ascii="Times New Roman" w:hAnsi="Times New Roman" w:cs="Times New Roman"/>
                <w:b/>
                <w:color w:val="000000" w:themeColor="text1"/>
                <w:sz w:val="26"/>
                <w:szCs w:val="26"/>
              </w:rPr>
            </w:pPr>
            <w:r w:rsidRPr="00653DB5">
              <w:rPr>
                <w:rFonts w:ascii="Times New Roman" w:hAnsi="Times New Roman" w:cs="Times New Roman"/>
                <w:b/>
                <w:color w:val="000000" w:themeColor="text1"/>
                <w:sz w:val="26"/>
                <w:szCs w:val="26"/>
              </w:rPr>
              <w:t>0,47</w:t>
            </w:r>
            <w:r w:rsidR="00EC5629" w:rsidRPr="00653DB5">
              <w:rPr>
                <w:rFonts w:ascii="Times New Roman" w:hAnsi="Times New Roman" w:cs="Times New Roman"/>
                <w:b/>
                <w:color w:val="000000" w:themeColor="text1"/>
                <w:sz w:val="26"/>
                <w:szCs w:val="26"/>
              </w:rPr>
              <w:t>03</w:t>
            </w:r>
          </w:p>
        </w:tc>
        <w:tc>
          <w:tcPr>
            <w:tcW w:w="2659" w:type="dxa"/>
            <w:tcBorders>
              <w:right w:val="single" w:sz="4" w:space="0" w:color="auto"/>
            </w:tcBorders>
            <w:vAlign w:val="center"/>
          </w:tcPr>
          <w:p w:rsidR="00C47DB9" w:rsidRPr="00653DB5" w:rsidRDefault="00C47DB9" w:rsidP="00177097">
            <w:pPr>
              <w:jc w:val="center"/>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100%</w:t>
            </w:r>
          </w:p>
        </w:tc>
        <w:tc>
          <w:tcPr>
            <w:tcW w:w="1449" w:type="dxa"/>
            <w:tcBorders>
              <w:left w:val="single" w:sz="4" w:space="0" w:color="auto"/>
            </w:tcBorders>
            <w:vAlign w:val="bottom"/>
          </w:tcPr>
          <w:p w:rsidR="00C47DB9" w:rsidRPr="00653DB5" w:rsidRDefault="00C47DB9" w:rsidP="00797815">
            <w:pPr>
              <w:jc w:val="center"/>
              <w:rPr>
                <w:rFonts w:ascii="Times New Roman" w:hAnsi="Times New Roman" w:cs="Times New Roman"/>
                <w:b/>
                <w:color w:val="000000" w:themeColor="text1"/>
                <w:sz w:val="26"/>
                <w:szCs w:val="26"/>
              </w:rPr>
            </w:pPr>
            <w:r w:rsidRPr="00653DB5">
              <w:rPr>
                <w:rFonts w:ascii="Times New Roman" w:hAnsi="Times New Roman" w:cs="Times New Roman"/>
                <w:b/>
                <w:color w:val="000000" w:themeColor="text1"/>
                <w:sz w:val="26"/>
                <w:szCs w:val="26"/>
              </w:rPr>
              <w:t>0,</w:t>
            </w:r>
            <w:r w:rsidR="00797815" w:rsidRPr="00653DB5">
              <w:rPr>
                <w:rFonts w:ascii="Times New Roman" w:hAnsi="Times New Roman" w:cs="Times New Roman"/>
                <w:b/>
                <w:color w:val="000000" w:themeColor="text1"/>
                <w:sz w:val="26"/>
                <w:szCs w:val="26"/>
              </w:rPr>
              <w:t>2959</w:t>
            </w:r>
          </w:p>
        </w:tc>
      </w:tr>
    </w:tbl>
    <w:p w:rsidR="00C47DB9" w:rsidRPr="00653DB5" w:rsidRDefault="00C47DB9" w:rsidP="00C47DB9">
      <w:pPr>
        <w:widowControl/>
        <w:rPr>
          <w:rFonts w:ascii="Times New Roman" w:eastAsia="Times New Roman" w:hAnsi="Times New Roman" w:cs="Times New Roman"/>
          <w:b/>
          <w:i/>
          <w:color w:val="000000" w:themeColor="text1"/>
          <w:sz w:val="26"/>
          <w:szCs w:val="26"/>
        </w:rPr>
      </w:pPr>
      <w:r w:rsidRPr="00653DB5">
        <w:rPr>
          <w:rFonts w:ascii="Times New Roman" w:eastAsia="Times New Roman" w:hAnsi="Times New Roman" w:cs="Times New Roman"/>
          <w:i/>
          <w:color w:val="000000" w:themeColor="text1"/>
          <w:sz w:val="26"/>
          <w:szCs w:val="26"/>
          <w:lang w:eastAsia="ru-RU"/>
        </w:rPr>
        <w:t xml:space="preserve"> Sursa: ANRCETI, în baza datelor</w:t>
      </w:r>
      <w:r w:rsidR="00FB1894">
        <w:rPr>
          <w:rFonts w:ascii="Times New Roman" w:eastAsia="Times New Roman" w:hAnsi="Times New Roman" w:cs="Times New Roman"/>
          <w:i/>
          <w:color w:val="000000" w:themeColor="text1"/>
          <w:sz w:val="26"/>
          <w:szCs w:val="26"/>
          <w:lang w:eastAsia="ru-RU"/>
        </w:rPr>
        <w:t xml:space="preserve"> </w:t>
      </w:r>
      <w:r w:rsidRPr="00653DB5">
        <w:rPr>
          <w:rFonts w:ascii="Times New Roman" w:eastAsia="Times New Roman" w:hAnsi="Times New Roman" w:cs="Times New Roman"/>
          <w:i/>
          <w:color w:val="000000" w:themeColor="text1"/>
          <w:sz w:val="26"/>
          <w:szCs w:val="26"/>
          <w:lang w:eastAsia="ru-RU"/>
        </w:rPr>
        <w:t>raportate de furnizori</w:t>
      </w:r>
    </w:p>
    <w:p w:rsidR="00C47DB9" w:rsidRPr="00653DB5" w:rsidRDefault="00C47DB9" w:rsidP="00C47DB9">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rPr>
      </w:pPr>
      <w:r w:rsidRPr="00653DB5">
        <w:rPr>
          <w:rFonts w:ascii="Times New Roman" w:eastAsia="Times New Roman" w:hAnsi="Times New Roman" w:cs="Times New Roman"/>
          <w:color w:val="000000" w:themeColor="text1"/>
          <w:sz w:val="26"/>
          <w:szCs w:val="26"/>
        </w:rPr>
        <w:t>IHH pentru piaţa de furnizare cu ridicata a unor segmente-trunchi de linii închiriate din Republica Moldova (pe baza datelor prezentate în Tabelul nr.</w:t>
      </w:r>
      <w:r w:rsidR="005E2284" w:rsidRPr="00653DB5">
        <w:rPr>
          <w:rFonts w:ascii="Times New Roman" w:eastAsia="Times New Roman" w:hAnsi="Times New Roman" w:cs="Times New Roman"/>
          <w:color w:val="000000" w:themeColor="text1"/>
          <w:sz w:val="26"/>
          <w:szCs w:val="26"/>
        </w:rPr>
        <w:t>4</w:t>
      </w:r>
      <w:r w:rsidRPr="00653DB5">
        <w:rPr>
          <w:rFonts w:ascii="Times New Roman" w:eastAsia="Times New Roman" w:hAnsi="Times New Roman" w:cs="Times New Roman"/>
          <w:color w:val="000000" w:themeColor="text1"/>
          <w:sz w:val="26"/>
          <w:szCs w:val="26"/>
        </w:rPr>
        <w:t>) este de 0,</w:t>
      </w:r>
      <w:r w:rsidR="005C4033" w:rsidRPr="00653DB5">
        <w:rPr>
          <w:rFonts w:ascii="Times New Roman" w:eastAsia="Times New Roman" w:hAnsi="Times New Roman" w:cs="Times New Roman"/>
          <w:color w:val="000000" w:themeColor="text1"/>
          <w:sz w:val="26"/>
          <w:szCs w:val="26"/>
        </w:rPr>
        <w:t>47</w:t>
      </w:r>
      <w:r w:rsidR="00DE43A9" w:rsidRPr="00653DB5">
        <w:rPr>
          <w:rFonts w:ascii="Times New Roman" w:eastAsia="Times New Roman" w:hAnsi="Times New Roman" w:cs="Times New Roman"/>
          <w:color w:val="000000" w:themeColor="text1"/>
          <w:sz w:val="26"/>
          <w:szCs w:val="26"/>
        </w:rPr>
        <w:t>03</w:t>
      </w:r>
      <w:r w:rsidRPr="00653DB5">
        <w:rPr>
          <w:rFonts w:ascii="Times New Roman" w:hAnsi="Times New Roman" w:cs="Times New Roman"/>
          <w:color w:val="000000" w:themeColor="text1"/>
          <w:sz w:val="26"/>
          <w:szCs w:val="26"/>
        </w:rPr>
        <w:t xml:space="preserve"> în funcţie de </w:t>
      </w:r>
      <w:r w:rsidRPr="00653DB5">
        <w:rPr>
          <w:rFonts w:ascii="Times New Roman" w:hAnsi="Times New Roman" w:cs="Times New Roman"/>
          <w:color w:val="000000" w:themeColor="text1"/>
          <w:sz w:val="26"/>
          <w:szCs w:val="26"/>
        </w:rPr>
        <w:lastRenderedPageBreak/>
        <w:t>venitul obţinut din furnizarea segmentelor-trunchi de linii închiriate şi de 0,</w:t>
      </w:r>
      <w:r w:rsidR="00DE43A9" w:rsidRPr="00653DB5">
        <w:rPr>
          <w:rFonts w:ascii="Times New Roman" w:hAnsi="Times New Roman" w:cs="Times New Roman"/>
          <w:color w:val="000000" w:themeColor="text1"/>
          <w:sz w:val="26"/>
          <w:szCs w:val="26"/>
        </w:rPr>
        <w:t>2959</w:t>
      </w:r>
      <w:r w:rsidRPr="00653DB5">
        <w:rPr>
          <w:rFonts w:ascii="Times New Roman" w:hAnsi="Times New Roman" w:cs="Times New Roman"/>
          <w:color w:val="000000" w:themeColor="text1"/>
          <w:sz w:val="26"/>
          <w:szCs w:val="26"/>
        </w:rPr>
        <w:t xml:space="preserve"> în funcţie de numărul de circuite furnizate. </w:t>
      </w:r>
      <w:r w:rsidR="009317AF" w:rsidRPr="00653DB5">
        <w:rPr>
          <w:rFonts w:ascii="Times New Roman" w:hAnsi="Times New Roman" w:cs="Times New Roman"/>
          <w:color w:val="000000" w:themeColor="text1"/>
          <w:sz w:val="26"/>
          <w:szCs w:val="26"/>
        </w:rPr>
        <w:t>Astfel</w:t>
      </w:r>
      <w:r w:rsidR="00811E34" w:rsidRPr="00653DB5">
        <w:rPr>
          <w:rFonts w:ascii="Times New Roman" w:hAnsi="Times New Roman" w:cs="Times New Roman"/>
          <w:color w:val="000000" w:themeColor="text1"/>
          <w:sz w:val="26"/>
          <w:szCs w:val="26"/>
        </w:rPr>
        <w:t>:</w:t>
      </w:r>
    </w:p>
    <w:p w:rsidR="00811E34" w:rsidRPr="00653DB5" w:rsidRDefault="00811E34" w:rsidP="00047108">
      <w:pPr>
        <w:pStyle w:val="ListParagraph"/>
        <w:widowControl/>
        <w:numPr>
          <w:ilvl w:val="0"/>
          <w:numId w:val="64"/>
        </w:numPr>
        <w:tabs>
          <w:tab w:val="left" w:pos="1276"/>
        </w:tabs>
        <w:autoSpaceDE w:val="0"/>
        <w:autoSpaceDN w:val="0"/>
        <w:adjustRightInd w:val="0"/>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color w:val="000000" w:themeColor="text1"/>
          <w:sz w:val="26"/>
          <w:szCs w:val="26"/>
          <w:lang w:eastAsia="ru-RU"/>
        </w:rPr>
        <w:t xml:space="preserve">IHH în funcție de venituri </w:t>
      </w:r>
      <w:r w:rsidR="009317AF" w:rsidRPr="00653DB5">
        <w:rPr>
          <w:rFonts w:ascii="Times New Roman" w:eastAsia="Times New Roman" w:hAnsi="Times New Roman" w:cs="Times New Roman"/>
          <w:color w:val="000000" w:themeColor="text1"/>
          <w:sz w:val="26"/>
          <w:szCs w:val="26"/>
          <w:lang w:eastAsia="ru-RU"/>
        </w:rPr>
        <w:t xml:space="preserve">din </w:t>
      </w:r>
      <w:r w:rsidR="009317AF" w:rsidRPr="00653DB5">
        <w:rPr>
          <w:rFonts w:ascii="Times New Roman" w:eastAsia="Times New Roman" w:hAnsi="Times New Roman" w:cs="Times New Roman"/>
          <w:color w:val="000000" w:themeColor="text1"/>
          <w:sz w:val="26"/>
          <w:szCs w:val="26"/>
        </w:rPr>
        <w:t>furnizarea cu ridicata a unor segmente-trunchi de linii închiriate</w:t>
      </w:r>
      <w:r w:rsidR="00DE11D0" w:rsidRPr="00653DB5">
        <w:rPr>
          <w:rFonts w:ascii="Times New Roman" w:eastAsia="Times New Roman" w:hAnsi="Times New Roman" w:cs="Times New Roman"/>
          <w:color w:val="000000" w:themeColor="text1"/>
          <w:sz w:val="26"/>
          <w:szCs w:val="26"/>
        </w:rPr>
        <w:t xml:space="preserve"> segmente-trunchi</w:t>
      </w:r>
      <w:r w:rsidR="009317AF" w:rsidRPr="00653DB5">
        <w:rPr>
          <w:rFonts w:ascii="Times New Roman" w:eastAsia="Times New Roman" w:hAnsi="Times New Roman" w:cs="Times New Roman"/>
          <w:color w:val="000000" w:themeColor="text1"/>
          <w:sz w:val="26"/>
          <w:szCs w:val="26"/>
        </w:rPr>
        <w:t xml:space="preserve"> </w:t>
      </w:r>
      <w:r w:rsidRPr="00653DB5">
        <w:rPr>
          <w:rFonts w:ascii="Times New Roman" w:eastAsia="Times New Roman" w:hAnsi="Times New Roman" w:cs="Times New Roman"/>
          <w:color w:val="000000" w:themeColor="text1"/>
          <w:sz w:val="26"/>
          <w:szCs w:val="26"/>
          <w:lang w:eastAsia="ru-RU"/>
        </w:rPr>
        <w:t xml:space="preserve">s-a micșorat de la 1 în 2010 (S.A.„Moldtelecom” - monopol) la 0,6169 în 2014 (S.A.„Moldtelecom” – </w:t>
      </w:r>
      <w:r w:rsidR="00555ED4" w:rsidRPr="00653DB5">
        <w:rPr>
          <w:rFonts w:ascii="Times New Roman" w:eastAsia="Times New Roman" w:hAnsi="Times New Roman" w:cs="Times New Roman"/>
          <w:color w:val="000000" w:themeColor="text1"/>
          <w:sz w:val="26"/>
          <w:szCs w:val="26"/>
          <w:lang w:eastAsia="ru-RU"/>
        </w:rPr>
        <w:t xml:space="preserve">cota </w:t>
      </w:r>
      <w:r w:rsidR="003D5E5F" w:rsidRPr="00653DB5">
        <w:rPr>
          <w:rFonts w:ascii="Times New Roman" w:eastAsia="Times New Roman" w:hAnsi="Times New Roman" w:cs="Times New Roman"/>
          <w:color w:val="000000" w:themeColor="text1"/>
          <w:sz w:val="26"/>
          <w:szCs w:val="26"/>
          <w:lang w:eastAsia="ru-RU"/>
        </w:rPr>
        <w:t xml:space="preserve">de </w:t>
      </w:r>
      <w:r w:rsidRPr="00653DB5">
        <w:rPr>
          <w:rFonts w:ascii="Times New Roman" w:eastAsia="Times New Roman" w:hAnsi="Times New Roman" w:cs="Times New Roman"/>
          <w:color w:val="000000" w:themeColor="text1"/>
          <w:sz w:val="26"/>
          <w:szCs w:val="26"/>
          <w:lang w:eastAsia="ru-RU"/>
        </w:rPr>
        <w:t>75%), în 2016 la 0,</w:t>
      </w:r>
      <w:r w:rsidR="003D5E5F" w:rsidRPr="00653DB5">
        <w:rPr>
          <w:rFonts w:ascii="Times New Roman" w:eastAsia="Times New Roman" w:hAnsi="Times New Roman" w:cs="Times New Roman"/>
          <w:color w:val="000000" w:themeColor="text1"/>
          <w:sz w:val="26"/>
          <w:szCs w:val="26"/>
          <w:lang w:eastAsia="ru-RU"/>
        </w:rPr>
        <w:t>4703</w:t>
      </w:r>
      <w:r w:rsidRPr="00653DB5">
        <w:rPr>
          <w:rFonts w:ascii="Times New Roman" w:eastAsia="Times New Roman" w:hAnsi="Times New Roman" w:cs="Times New Roman"/>
          <w:color w:val="000000" w:themeColor="text1"/>
          <w:sz w:val="26"/>
          <w:szCs w:val="26"/>
          <w:lang w:eastAsia="ru-RU"/>
        </w:rPr>
        <w:t xml:space="preserve"> (S.A.„Moldtelecom” – </w:t>
      </w:r>
      <w:r w:rsidR="00555ED4" w:rsidRPr="00653DB5">
        <w:rPr>
          <w:rFonts w:ascii="Times New Roman" w:eastAsia="Times New Roman" w:hAnsi="Times New Roman" w:cs="Times New Roman"/>
          <w:color w:val="000000" w:themeColor="text1"/>
          <w:sz w:val="26"/>
          <w:szCs w:val="26"/>
          <w:lang w:eastAsia="ru-RU"/>
        </w:rPr>
        <w:t xml:space="preserve">cota </w:t>
      </w:r>
      <w:r w:rsidR="003D5E5F" w:rsidRPr="00653DB5">
        <w:rPr>
          <w:rFonts w:ascii="Times New Roman" w:eastAsia="Times New Roman" w:hAnsi="Times New Roman" w:cs="Times New Roman"/>
          <w:color w:val="000000" w:themeColor="text1"/>
          <w:sz w:val="26"/>
          <w:szCs w:val="26"/>
          <w:lang w:eastAsia="ru-RU"/>
        </w:rPr>
        <w:t xml:space="preserve">de </w:t>
      </w:r>
      <w:r w:rsidRPr="00653DB5">
        <w:rPr>
          <w:rFonts w:ascii="Times New Roman" w:eastAsia="Times New Roman" w:hAnsi="Times New Roman" w:cs="Times New Roman"/>
          <w:color w:val="000000" w:themeColor="text1"/>
          <w:sz w:val="26"/>
          <w:szCs w:val="26"/>
          <w:lang w:eastAsia="ru-RU"/>
        </w:rPr>
        <w:t>3</w:t>
      </w:r>
      <w:r w:rsidR="00DE43A9" w:rsidRPr="00653DB5">
        <w:rPr>
          <w:rFonts w:ascii="Times New Roman" w:eastAsia="Times New Roman" w:hAnsi="Times New Roman" w:cs="Times New Roman"/>
          <w:color w:val="000000" w:themeColor="text1"/>
          <w:sz w:val="26"/>
          <w:szCs w:val="26"/>
          <w:lang w:eastAsia="ru-RU"/>
        </w:rPr>
        <w:t>8</w:t>
      </w:r>
      <w:r w:rsidRPr="00653DB5">
        <w:rPr>
          <w:rFonts w:ascii="Times New Roman" w:eastAsia="Times New Roman" w:hAnsi="Times New Roman" w:cs="Times New Roman"/>
          <w:color w:val="000000" w:themeColor="text1"/>
          <w:sz w:val="26"/>
          <w:szCs w:val="26"/>
          <w:lang w:eastAsia="ru-RU"/>
        </w:rPr>
        <w:t>%)</w:t>
      </w:r>
      <w:r w:rsidR="00FB5388" w:rsidRPr="00653DB5">
        <w:rPr>
          <w:rFonts w:ascii="Times New Roman" w:eastAsia="Times New Roman" w:hAnsi="Times New Roman" w:cs="Times New Roman"/>
          <w:color w:val="000000" w:themeColor="text1"/>
          <w:sz w:val="26"/>
          <w:szCs w:val="26"/>
          <w:lang w:eastAsia="ru-RU"/>
        </w:rPr>
        <w:t>;</w:t>
      </w:r>
      <w:r w:rsidRPr="00653DB5">
        <w:rPr>
          <w:rFonts w:ascii="Times New Roman" w:eastAsia="Times New Roman" w:hAnsi="Times New Roman" w:cs="Times New Roman"/>
          <w:color w:val="000000" w:themeColor="text1"/>
          <w:sz w:val="26"/>
          <w:szCs w:val="26"/>
          <w:lang w:eastAsia="ru-RU"/>
        </w:rPr>
        <w:t xml:space="preserve"> </w:t>
      </w:r>
    </w:p>
    <w:p w:rsidR="00811E34" w:rsidRPr="00653DB5" w:rsidRDefault="00FB5388" w:rsidP="00047108">
      <w:pPr>
        <w:pStyle w:val="ListParagraph"/>
        <w:widowControl/>
        <w:numPr>
          <w:ilvl w:val="0"/>
          <w:numId w:val="64"/>
        </w:numPr>
        <w:tabs>
          <w:tab w:val="left" w:pos="1276"/>
        </w:tabs>
        <w:autoSpaceDE w:val="0"/>
        <w:autoSpaceDN w:val="0"/>
        <w:adjustRightInd w:val="0"/>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color w:val="000000" w:themeColor="text1"/>
          <w:sz w:val="26"/>
          <w:szCs w:val="26"/>
          <w:lang w:eastAsia="ru-RU"/>
        </w:rPr>
        <w:t xml:space="preserve">IHH în funcție de circuite furnizate s-a micșorat de la 1 în 2010 (S.A.„Moldtelecom” - monopol) la 0,3817 în 2014 (S.A.„Moldtelecom” – </w:t>
      </w:r>
      <w:r w:rsidR="00555ED4" w:rsidRPr="00653DB5">
        <w:rPr>
          <w:rFonts w:ascii="Times New Roman" w:eastAsia="Times New Roman" w:hAnsi="Times New Roman" w:cs="Times New Roman"/>
          <w:color w:val="000000" w:themeColor="text1"/>
          <w:sz w:val="26"/>
          <w:szCs w:val="26"/>
          <w:lang w:eastAsia="ru-RU"/>
        </w:rPr>
        <w:t xml:space="preserve">cota </w:t>
      </w:r>
      <w:r w:rsidR="003D5E5F" w:rsidRPr="00653DB5">
        <w:rPr>
          <w:rFonts w:ascii="Times New Roman" w:eastAsia="Times New Roman" w:hAnsi="Times New Roman" w:cs="Times New Roman"/>
          <w:color w:val="000000" w:themeColor="text1"/>
          <w:sz w:val="26"/>
          <w:szCs w:val="26"/>
          <w:lang w:eastAsia="ru-RU"/>
        </w:rPr>
        <w:t xml:space="preserve">de </w:t>
      </w:r>
      <w:r w:rsidRPr="00653DB5">
        <w:rPr>
          <w:rFonts w:ascii="Times New Roman" w:eastAsia="Times New Roman" w:hAnsi="Times New Roman" w:cs="Times New Roman"/>
          <w:color w:val="000000" w:themeColor="text1"/>
          <w:sz w:val="26"/>
          <w:szCs w:val="26"/>
          <w:lang w:eastAsia="ru-RU"/>
        </w:rPr>
        <w:t>51%), în 2016 la 0,</w:t>
      </w:r>
      <w:r w:rsidR="00DE43A9" w:rsidRPr="00653DB5">
        <w:rPr>
          <w:rFonts w:ascii="Times New Roman" w:eastAsia="Times New Roman" w:hAnsi="Times New Roman" w:cs="Times New Roman"/>
          <w:color w:val="000000" w:themeColor="text1"/>
          <w:sz w:val="26"/>
          <w:szCs w:val="26"/>
          <w:lang w:eastAsia="ru-RU"/>
        </w:rPr>
        <w:t>2959</w:t>
      </w:r>
      <w:r w:rsidRPr="00653DB5">
        <w:rPr>
          <w:rFonts w:ascii="Times New Roman" w:eastAsia="Times New Roman" w:hAnsi="Times New Roman" w:cs="Times New Roman"/>
          <w:color w:val="000000" w:themeColor="text1"/>
          <w:sz w:val="26"/>
          <w:szCs w:val="26"/>
          <w:lang w:eastAsia="ru-RU"/>
        </w:rPr>
        <w:t xml:space="preserve"> (S.A.„Moldtelecom” – </w:t>
      </w:r>
      <w:r w:rsidR="003D5E5F" w:rsidRPr="00653DB5">
        <w:rPr>
          <w:rFonts w:ascii="Times New Roman" w:eastAsia="Times New Roman" w:hAnsi="Times New Roman" w:cs="Times New Roman"/>
          <w:color w:val="000000" w:themeColor="text1"/>
          <w:sz w:val="26"/>
          <w:szCs w:val="26"/>
          <w:lang w:eastAsia="ru-RU"/>
        </w:rPr>
        <w:t xml:space="preserve">cota de </w:t>
      </w:r>
      <w:r w:rsidR="00DE43A9" w:rsidRPr="00653DB5">
        <w:rPr>
          <w:rFonts w:ascii="Times New Roman" w:eastAsia="Times New Roman" w:hAnsi="Times New Roman" w:cs="Times New Roman"/>
          <w:color w:val="000000" w:themeColor="text1"/>
          <w:sz w:val="26"/>
          <w:szCs w:val="26"/>
          <w:lang w:eastAsia="ru-RU"/>
        </w:rPr>
        <w:t>40</w:t>
      </w:r>
      <w:r w:rsidRPr="00653DB5">
        <w:rPr>
          <w:rFonts w:ascii="Times New Roman" w:eastAsia="Times New Roman" w:hAnsi="Times New Roman" w:cs="Times New Roman"/>
          <w:color w:val="000000" w:themeColor="text1"/>
          <w:sz w:val="26"/>
          <w:szCs w:val="26"/>
          <w:lang w:eastAsia="ru-RU"/>
        </w:rPr>
        <w:t>%</w:t>
      </w:r>
      <w:r w:rsidR="00555ED4" w:rsidRPr="00653DB5">
        <w:rPr>
          <w:rFonts w:ascii="Times New Roman" w:eastAsia="Times New Roman" w:hAnsi="Times New Roman" w:cs="Times New Roman"/>
          <w:color w:val="000000" w:themeColor="text1"/>
          <w:sz w:val="26"/>
          <w:szCs w:val="26"/>
          <w:lang w:eastAsia="ru-RU"/>
        </w:rPr>
        <w:t>).</w:t>
      </w:r>
    </w:p>
    <w:p w:rsidR="00C47DB9" w:rsidRPr="00653DB5" w:rsidRDefault="00C47DB9" w:rsidP="00C47DB9">
      <w:pPr>
        <w:widowControl/>
        <w:tabs>
          <w:tab w:val="left" w:pos="1276"/>
        </w:tabs>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r w:rsidRPr="00653DB5">
        <w:rPr>
          <w:rFonts w:ascii="Times New Roman" w:eastAsia="Times New Roman" w:hAnsi="Times New Roman" w:cs="Times New Roman"/>
          <w:iCs/>
          <w:color w:val="000000" w:themeColor="text1"/>
          <w:sz w:val="26"/>
          <w:szCs w:val="26"/>
        </w:rPr>
        <w:t xml:space="preserve">Prin urmare, </w:t>
      </w:r>
      <w:r w:rsidR="003D5E5F" w:rsidRPr="00653DB5">
        <w:rPr>
          <w:rFonts w:ascii="Times New Roman" w:eastAsia="Times New Roman" w:hAnsi="Times New Roman" w:cs="Times New Roman"/>
          <w:iCs/>
          <w:color w:val="000000" w:themeColor="text1"/>
          <w:sz w:val="26"/>
          <w:szCs w:val="26"/>
        </w:rPr>
        <w:t xml:space="preserve">diminuarea substanțială a cotelor de piață în funcție de </w:t>
      </w:r>
      <w:r w:rsidR="003D5E5F" w:rsidRPr="00653DB5">
        <w:rPr>
          <w:rFonts w:ascii="Times New Roman" w:eastAsia="Times New Roman" w:hAnsi="Times New Roman" w:cs="Times New Roman"/>
          <w:color w:val="000000" w:themeColor="text1"/>
          <w:sz w:val="26"/>
          <w:szCs w:val="26"/>
          <w:lang w:eastAsia="ru-RU"/>
        </w:rPr>
        <w:t xml:space="preserve">venituri din </w:t>
      </w:r>
      <w:r w:rsidR="003D5E5F" w:rsidRPr="00653DB5">
        <w:rPr>
          <w:rFonts w:ascii="Times New Roman" w:eastAsia="Times New Roman" w:hAnsi="Times New Roman" w:cs="Times New Roman"/>
          <w:color w:val="000000" w:themeColor="text1"/>
          <w:sz w:val="26"/>
          <w:szCs w:val="26"/>
        </w:rPr>
        <w:t xml:space="preserve">furnizarea cu ridicata a unor segmente-trunchi de linii închiriate și </w:t>
      </w:r>
      <w:r w:rsidR="003D5E5F" w:rsidRPr="00653DB5">
        <w:rPr>
          <w:rFonts w:ascii="Times New Roman" w:eastAsia="Times New Roman" w:hAnsi="Times New Roman" w:cs="Times New Roman"/>
          <w:color w:val="000000" w:themeColor="text1"/>
          <w:sz w:val="26"/>
          <w:szCs w:val="26"/>
          <w:lang w:eastAsia="ru-RU"/>
        </w:rPr>
        <w:t>în funcție de circuitele furnizate, cât și a</w:t>
      </w:r>
      <w:r w:rsidR="003D5E5F" w:rsidRPr="00653DB5">
        <w:rPr>
          <w:rFonts w:ascii="Times New Roman" w:eastAsia="Times New Roman" w:hAnsi="Times New Roman" w:cs="Times New Roman"/>
          <w:iCs/>
          <w:color w:val="000000" w:themeColor="text1"/>
          <w:sz w:val="26"/>
          <w:szCs w:val="26"/>
        </w:rPr>
        <w:t xml:space="preserve"> </w:t>
      </w:r>
      <w:r w:rsidR="00F1472C" w:rsidRPr="00653DB5">
        <w:rPr>
          <w:rFonts w:ascii="Times New Roman" w:eastAsia="Times New Roman" w:hAnsi="Times New Roman" w:cs="Times New Roman"/>
          <w:color w:val="000000" w:themeColor="text1"/>
          <w:sz w:val="26"/>
          <w:szCs w:val="26"/>
          <w:lang w:eastAsia="ru-RU"/>
        </w:rPr>
        <w:t>IHH</w:t>
      </w:r>
      <w:r w:rsidRPr="00653DB5">
        <w:rPr>
          <w:rFonts w:ascii="Times New Roman" w:eastAsia="Times New Roman" w:hAnsi="Times New Roman" w:cs="Times New Roman"/>
          <w:color w:val="000000" w:themeColor="text1"/>
          <w:sz w:val="26"/>
          <w:szCs w:val="26"/>
          <w:lang w:eastAsia="ru-RU"/>
        </w:rPr>
        <w:t xml:space="preserve"> indică </w:t>
      </w:r>
      <w:r w:rsidR="00CC414F" w:rsidRPr="00653DB5">
        <w:rPr>
          <w:rFonts w:ascii="Times New Roman" w:eastAsia="Times New Roman" w:hAnsi="Times New Roman" w:cs="Times New Roman"/>
          <w:color w:val="000000" w:themeColor="text1"/>
          <w:sz w:val="26"/>
          <w:szCs w:val="26"/>
          <w:lang w:eastAsia="ru-RU"/>
        </w:rPr>
        <w:t>asupra faptului că acest criteriu nu este îndeplinit</w:t>
      </w:r>
      <w:r w:rsidRPr="00653DB5">
        <w:rPr>
          <w:rFonts w:ascii="Times New Roman" w:eastAsia="Times New Roman" w:hAnsi="Times New Roman" w:cs="Times New Roman"/>
          <w:color w:val="000000" w:themeColor="text1"/>
          <w:sz w:val="26"/>
          <w:szCs w:val="26"/>
          <w:lang w:eastAsia="ru-RU"/>
        </w:rPr>
        <w:t>.</w:t>
      </w:r>
    </w:p>
    <w:p w:rsidR="00F1472C" w:rsidRPr="00653DB5" w:rsidRDefault="00F1472C" w:rsidP="00C47DB9">
      <w:pPr>
        <w:widowControl/>
        <w:tabs>
          <w:tab w:val="left" w:pos="1276"/>
        </w:tabs>
        <w:autoSpaceDE w:val="0"/>
        <w:autoSpaceDN w:val="0"/>
        <w:adjustRightInd w:val="0"/>
        <w:ind w:firstLine="567"/>
        <w:jc w:val="both"/>
        <w:rPr>
          <w:rFonts w:ascii="Times New Roman" w:eastAsia="Times New Roman" w:hAnsi="Times New Roman" w:cs="Times New Roman"/>
          <w:color w:val="000000" w:themeColor="text1"/>
          <w:sz w:val="26"/>
          <w:szCs w:val="26"/>
          <w:lang w:eastAsia="ru-RU"/>
        </w:rPr>
      </w:pPr>
    </w:p>
    <w:p w:rsidR="00022183" w:rsidRPr="00653DB5" w:rsidRDefault="00022183" w:rsidP="00C47DB9">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rPr>
      </w:pPr>
      <w:r w:rsidRPr="00653DB5">
        <w:rPr>
          <w:rFonts w:ascii="Times New Roman" w:hAnsi="Times New Roman" w:cs="Times New Roman"/>
          <w:color w:val="000000" w:themeColor="text1"/>
          <w:sz w:val="26"/>
          <w:szCs w:val="26"/>
        </w:rPr>
        <w:t xml:space="preserve">Astfel, </w:t>
      </w:r>
      <w:r w:rsidRPr="00653DB5">
        <w:rPr>
          <w:rFonts w:ascii="Times New Roman" w:hAnsi="Times New Roman" w:cs="Times New Roman"/>
          <w:b/>
          <w:color w:val="000000" w:themeColor="text1"/>
          <w:sz w:val="26"/>
          <w:szCs w:val="26"/>
        </w:rPr>
        <w:t>ANRCETI concluzionează că acest criteriu nu este îndeplinit</w:t>
      </w:r>
      <w:r w:rsidR="00D5760C" w:rsidRPr="00653DB5">
        <w:rPr>
          <w:rFonts w:ascii="Times New Roman" w:hAnsi="Times New Roman" w:cs="Times New Roman"/>
          <w:b/>
          <w:color w:val="000000" w:themeColor="text1"/>
          <w:sz w:val="26"/>
          <w:szCs w:val="26"/>
        </w:rPr>
        <w:t xml:space="preserve"> </w:t>
      </w:r>
      <w:r w:rsidR="00D5760C" w:rsidRPr="00653DB5">
        <w:rPr>
          <w:rFonts w:ascii="Times New Roman" w:hAnsi="Times New Roman" w:cs="Times New Roman"/>
          <w:color w:val="000000" w:themeColor="text1"/>
          <w:sz w:val="26"/>
          <w:szCs w:val="26"/>
        </w:rPr>
        <w:t>pe piața relevantă a produsului.</w:t>
      </w:r>
    </w:p>
    <w:p w:rsidR="00F1472C" w:rsidRPr="00653DB5" w:rsidRDefault="00F1472C" w:rsidP="00C47DB9">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rPr>
      </w:pPr>
    </w:p>
    <w:p w:rsidR="00022183" w:rsidRPr="00653DB5" w:rsidRDefault="00022183" w:rsidP="008C6767">
      <w:pPr>
        <w:pStyle w:val="BodyText0"/>
        <w:ind w:firstLine="567"/>
        <w:jc w:val="both"/>
        <w:rPr>
          <w:rFonts w:eastAsia="Times New Roman"/>
          <w:lang w:val="ro-RO" w:eastAsia="ru-RU"/>
        </w:rPr>
      </w:pPr>
      <w:bookmarkStart w:id="338" w:name="_Toc425322798"/>
      <w:bookmarkStart w:id="339" w:name="_Toc368664507"/>
      <w:bookmarkStart w:id="340" w:name="_Toc368664693"/>
      <w:bookmarkStart w:id="341" w:name="_Toc368664947"/>
      <w:bookmarkStart w:id="342" w:name="_Toc368665700"/>
      <w:bookmarkStart w:id="343" w:name="_Toc368665828"/>
      <w:bookmarkStart w:id="344" w:name="_Toc368665904"/>
      <w:bookmarkStart w:id="345" w:name="_Toc368665973"/>
      <w:bookmarkStart w:id="346" w:name="_Toc368666055"/>
      <w:bookmarkStart w:id="347" w:name="_Toc368666195"/>
      <w:bookmarkStart w:id="348" w:name="_Toc368666249"/>
      <w:bookmarkStart w:id="349" w:name="_Toc368666304"/>
      <w:bookmarkStart w:id="350" w:name="_Toc368666409"/>
      <w:bookmarkStart w:id="351" w:name="_Toc368666580"/>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653DB5">
        <w:rPr>
          <w:rFonts w:eastAsia="Times New Roman"/>
          <w:color w:val="000000" w:themeColor="text1"/>
          <w:sz w:val="26"/>
          <w:szCs w:val="26"/>
          <w:lang w:val="ro-RO" w:eastAsia="ru-RU"/>
        </w:rPr>
        <w:t xml:space="preserve">În iterațiile anterioare ale pieței </w:t>
      </w:r>
      <w:r w:rsidR="007D39BE" w:rsidRPr="00653DB5">
        <w:rPr>
          <w:rFonts w:eastAsia="Times New Roman"/>
          <w:color w:val="000000" w:themeColor="text1"/>
          <w:sz w:val="26"/>
          <w:szCs w:val="26"/>
          <w:lang w:val="ro-RO" w:eastAsia="ru-RU"/>
        </w:rPr>
        <w:t>de furnizare cu ridicata a unor segmente-trunchi de linii închiriate, indiferent de tehnologia utilizată pentru punerea la dispoziţie de capacitate închiriată sau rezervată</w:t>
      </w:r>
      <w:r w:rsidRPr="00653DB5">
        <w:rPr>
          <w:rFonts w:eastAsia="Times New Roman"/>
          <w:color w:val="000000" w:themeColor="text1"/>
          <w:sz w:val="26"/>
          <w:szCs w:val="26"/>
          <w:lang w:val="ro-RO" w:eastAsia="ru-RU"/>
        </w:rPr>
        <w:t>, acest criteriu a fost analizat și determinat relevant în exercițiul testului celor trei criterii. În prezenta analiză, având în vedere că exigențele celui de-al doilea criteriu nu sunt îndeplinite, ANRCETI consideră că nu mai este necesară analizarea măsurii în care aplicarea în mod exclusiv a legislaţiei concurenţei nu este suficientă pentru remedierea problemelor concurenţiale.</w:t>
      </w:r>
    </w:p>
    <w:p w:rsidR="007D39BE" w:rsidRPr="00653DB5" w:rsidRDefault="007D39BE" w:rsidP="008C6767">
      <w:pPr>
        <w:pStyle w:val="Default"/>
        <w:ind w:firstLine="567"/>
        <w:jc w:val="both"/>
        <w:rPr>
          <w:b/>
          <w:color w:val="000000" w:themeColor="text1"/>
          <w:sz w:val="26"/>
          <w:szCs w:val="26"/>
          <w:lang w:val="ro-RO"/>
        </w:rPr>
      </w:pPr>
    </w:p>
    <w:p w:rsidR="007D39BE" w:rsidRPr="00653DB5" w:rsidRDefault="002750F8" w:rsidP="008C6767">
      <w:pPr>
        <w:pStyle w:val="Default"/>
        <w:ind w:firstLine="567"/>
        <w:jc w:val="both"/>
        <w:rPr>
          <w:rStyle w:val="longtext1"/>
          <w:sz w:val="26"/>
          <w:szCs w:val="26"/>
          <w:shd w:val="clear" w:color="auto" w:fill="FFFFFF"/>
          <w:lang w:val="ro-RO"/>
        </w:rPr>
      </w:pPr>
      <w:r w:rsidRPr="00653DB5">
        <w:rPr>
          <w:rStyle w:val="longtext1"/>
          <w:sz w:val="26"/>
          <w:szCs w:val="26"/>
          <w:shd w:val="clear" w:color="auto" w:fill="FFFFFF"/>
          <w:lang w:val="ro-RO"/>
        </w:rPr>
        <w:t xml:space="preserve">Concluzie: </w:t>
      </w:r>
      <w:r w:rsidR="007D39BE" w:rsidRPr="00653DB5">
        <w:rPr>
          <w:rStyle w:val="longtext1"/>
          <w:color w:val="000000" w:themeColor="text1"/>
          <w:sz w:val="26"/>
          <w:szCs w:val="26"/>
          <w:shd w:val="clear" w:color="auto" w:fill="FFFFFF"/>
          <w:lang w:val="ro-RO"/>
        </w:rPr>
        <w:t xml:space="preserve">În cadrul pieţei identificate, ANRCETI este de părere că barierele înalte la intrarea pe piaţă continuă să existe, însă există o tendinţă către o concurenţă vizibilă în spatele acestor bariere, </w:t>
      </w:r>
      <w:r w:rsidR="004501D9" w:rsidRPr="00653DB5">
        <w:rPr>
          <w:rStyle w:val="longtext1"/>
          <w:color w:val="000000" w:themeColor="text1"/>
          <w:sz w:val="26"/>
          <w:szCs w:val="26"/>
          <w:shd w:val="clear" w:color="auto" w:fill="FFFFFF"/>
          <w:lang w:val="ro-RO"/>
        </w:rPr>
        <w:t>determinată prin evoluția cotelor de piață în funcție de venituri și circuite furnizate de linii închiriate segmente-trunchi, dar și evoluția indicatorului IHH</w:t>
      </w:r>
      <w:r w:rsidR="007D39BE" w:rsidRPr="00653DB5">
        <w:rPr>
          <w:rStyle w:val="longtext1"/>
          <w:color w:val="000000" w:themeColor="text1"/>
          <w:sz w:val="26"/>
          <w:szCs w:val="26"/>
          <w:shd w:val="clear" w:color="auto" w:fill="FFFFFF"/>
          <w:lang w:val="ro-RO"/>
        </w:rPr>
        <w:t>. Astfel, testul celor trei criterii pe piața analizată este eșuat. Această piaţă, prin urmare, nu este susceptibilă reglementării preventive</w:t>
      </w:r>
      <w:r w:rsidR="004501D9" w:rsidRPr="00653DB5">
        <w:rPr>
          <w:rStyle w:val="longtext1"/>
          <w:color w:val="000000" w:themeColor="text1"/>
          <w:sz w:val="26"/>
          <w:szCs w:val="26"/>
          <w:shd w:val="clear" w:color="auto" w:fill="FFFFFF"/>
          <w:lang w:val="ro-RO"/>
        </w:rPr>
        <w:t>.</w:t>
      </w:r>
    </w:p>
    <w:p w:rsidR="00A42B42" w:rsidRPr="00653DB5" w:rsidRDefault="00A42B42" w:rsidP="00EB4E21">
      <w:pPr>
        <w:pStyle w:val="Default"/>
        <w:rPr>
          <w:lang w:val="ro-RO" w:eastAsia="en-GB"/>
        </w:rPr>
      </w:pPr>
    </w:p>
    <w:p w:rsidR="00A41EA7" w:rsidRPr="00653DB5" w:rsidRDefault="00C50E9A" w:rsidP="008C6767">
      <w:pPr>
        <w:pStyle w:val="Default"/>
        <w:numPr>
          <w:ilvl w:val="1"/>
          <w:numId w:val="80"/>
        </w:numPr>
        <w:tabs>
          <w:tab w:val="left" w:pos="993"/>
        </w:tabs>
        <w:ind w:left="0" w:firstLine="567"/>
        <w:outlineLvl w:val="0"/>
        <w:rPr>
          <w:color w:val="000000" w:themeColor="text1"/>
          <w:sz w:val="26"/>
          <w:szCs w:val="26"/>
          <w:lang w:val="ro-RO"/>
        </w:rPr>
      </w:pPr>
      <w:bookmarkStart w:id="352" w:name="_Toc368666306"/>
      <w:bookmarkStart w:id="353" w:name="_Toc368666411"/>
      <w:bookmarkStart w:id="354" w:name="_Toc368666582"/>
      <w:bookmarkStart w:id="355" w:name="_Toc368666583"/>
      <w:bookmarkStart w:id="356" w:name="_Toc422317023"/>
      <w:bookmarkStart w:id="357" w:name="_Toc422318620"/>
      <w:bookmarkStart w:id="358" w:name="_Toc485634406"/>
      <w:bookmarkEnd w:id="352"/>
      <w:bookmarkEnd w:id="353"/>
      <w:bookmarkEnd w:id="354"/>
      <w:r w:rsidRPr="00653DB5">
        <w:rPr>
          <w:b/>
          <w:color w:val="000000" w:themeColor="text1"/>
          <w:sz w:val="26"/>
          <w:szCs w:val="26"/>
          <w:lang w:val="ro-RO"/>
        </w:rPr>
        <w:t>Concluzii privind identificarea pieței relevante</w:t>
      </w:r>
      <w:bookmarkEnd w:id="355"/>
      <w:bookmarkEnd w:id="356"/>
      <w:bookmarkEnd w:id="357"/>
      <w:bookmarkEnd w:id="358"/>
    </w:p>
    <w:p w:rsidR="00A42B42" w:rsidRPr="00653DB5" w:rsidRDefault="00A42B42" w:rsidP="008C6767">
      <w:pPr>
        <w:pStyle w:val="Bodytext100"/>
        <w:shd w:val="clear" w:color="auto" w:fill="auto"/>
        <w:spacing w:before="0" w:after="0" w:line="240" w:lineRule="auto"/>
        <w:ind w:right="20" w:firstLine="567"/>
        <w:rPr>
          <w:color w:val="000000" w:themeColor="text1"/>
          <w:sz w:val="26"/>
          <w:szCs w:val="26"/>
        </w:rPr>
      </w:pPr>
    </w:p>
    <w:p w:rsidR="002B1C7E" w:rsidRPr="00653DB5" w:rsidRDefault="00F3749E"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ANRCETI a aplicat Testul Monopolistului Ipotetic pentru a identifica limitele pieţei furnizării cu ridicata a unor segmente-trunchi de linii închiriate indiferent de tehnologia utilizată pentru punerea la dispoziţie de capacitate închiriată sau rezervată</w:t>
      </w:r>
      <w:r w:rsidR="002B1C7E" w:rsidRPr="00653DB5">
        <w:rPr>
          <w:color w:val="000000" w:themeColor="text1"/>
          <w:sz w:val="26"/>
          <w:szCs w:val="26"/>
        </w:rPr>
        <w:t xml:space="preserve"> din punct de vedere al produsului și din punct de vedere geografic</w:t>
      </w:r>
      <w:r w:rsidRPr="00653DB5">
        <w:rPr>
          <w:color w:val="000000" w:themeColor="text1"/>
          <w:sz w:val="26"/>
          <w:szCs w:val="26"/>
        </w:rPr>
        <w:t>.</w:t>
      </w:r>
    </w:p>
    <w:p w:rsidR="00323627" w:rsidRPr="00653DB5" w:rsidRDefault="002B1C7E"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Astfel, piața identificată este -</w:t>
      </w:r>
      <w:r w:rsidR="00FB1894">
        <w:rPr>
          <w:color w:val="000000" w:themeColor="text1"/>
          <w:sz w:val="26"/>
          <w:szCs w:val="26"/>
        </w:rPr>
        <w:t xml:space="preserve"> </w:t>
      </w:r>
      <w:r w:rsidRPr="00653DB5">
        <w:rPr>
          <w:color w:val="000000" w:themeColor="text1"/>
          <w:sz w:val="26"/>
          <w:szCs w:val="26"/>
        </w:rPr>
        <w:t xml:space="preserve">piaţa furnizării cu ridicata a unor segmente-trunchi de linii închiriate indiferent de tehnologia utilizată pentru punerea la dispoziţie de capacitate închiriată sau rezervată. Piaţa dată este naţională, iar </w:t>
      </w:r>
      <w:r w:rsidR="00323627" w:rsidRPr="00653DB5">
        <w:rPr>
          <w:color w:val="000000" w:themeColor="text1"/>
          <w:sz w:val="26"/>
          <w:szCs w:val="26"/>
        </w:rPr>
        <w:t>segmentul de reţea aferent serviciului de linii închiriate segmente-trunchi reprezintă segment de rețea delimitat de două puncte de interconectare pentru linii închiriate situate la nivelul reţelei de transport naţionale (</w:t>
      </w:r>
      <w:proofErr w:type="spellStart"/>
      <w:r w:rsidR="00323627" w:rsidRPr="00653DB5">
        <w:rPr>
          <w:color w:val="000000" w:themeColor="text1"/>
          <w:sz w:val="26"/>
          <w:szCs w:val="26"/>
        </w:rPr>
        <w:t>backbone</w:t>
      </w:r>
      <w:proofErr w:type="spellEnd"/>
      <w:r w:rsidR="00323627" w:rsidRPr="00653DB5">
        <w:rPr>
          <w:color w:val="000000" w:themeColor="text1"/>
          <w:sz w:val="26"/>
          <w:szCs w:val="26"/>
        </w:rPr>
        <w:t xml:space="preserve">) sau al reţelei de transport </w:t>
      </w:r>
      <w:proofErr w:type="spellStart"/>
      <w:r w:rsidR="00323627" w:rsidRPr="00653DB5">
        <w:rPr>
          <w:color w:val="000000" w:themeColor="text1"/>
          <w:sz w:val="26"/>
          <w:szCs w:val="26"/>
        </w:rPr>
        <w:t>interlocalităţi</w:t>
      </w:r>
      <w:proofErr w:type="spellEnd"/>
      <w:r w:rsidR="00323627" w:rsidRPr="00653DB5">
        <w:rPr>
          <w:color w:val="000000" w:themeColor="text1"/>
          <w:sz w:val="26"/>
          <w:szCs w:val="26"/>
        </w:rPr>
        <w:t xml:space="preserve">. </w:t>
      </w:r>
    </w:p>
    <w:p w:rsidR="00323627" w:rsidRPr="00653DB5" w:rsidRDefault="00323627"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Aplicarea Testului Monop</w:t>
      </w:r>
      <w:r w:rsidR="00EA4D23" w:rsidRPr="00653DB5">
        <w:rPr>
          <w:color w:val="000000" w:themeColor="text1"/>
          <w:sz w:val="26"/>
          <w:szCs w:val="26"/>
        </w:rPr>
        <w:t>o</w:t>
      </w:r>
      <w:r w:rsidRPr="00653DB5">
        <w:rPr>
          <w:color w:val="000000" w:themeColor="text1"/>
          <w:sz w:val="26"/>
          <w:szCs w:val="26"/>
        </w:rPr>
        <w:t xml:space="preserve">listului Ipotetic a demonstrat că piaţa furnizării cu ridicata a </w:t>
      </w:r>
      <w:r w:rsidRPr="00653DB5">
        <w:rPr>
          <w:color w:val="000000" w:themeColor="text1"/>
          <w:sz w:val="26"/>
          <w:szCs w:val="26"/>
        </w:rPr>
        <w:lastRenderedPageBreak/>
        <w:t xml:space="preserve">unor segmente-trunchi de linii închiriate, indiferent de tehnologia utilizată pentru punerea la dispoziţie de capacitate închiriată sau rezervată cuprinde servicii de capacităţi de transmitere cu interfeţe: SDH, MPLS, </w:t>
      </w:r>
      <w:proofErr w:type="spellStart"/>
      <w:r w:rsidRPr="00653DB5">
        <w:rPr>
          <w:color w:val="000000" w:themeColor="text1"/>
          <w:sz w:val="26"/>
          <w:szCs w:val="26"/>
        </w:rPr>
        <w:t>Ethernet</w:t>
      </w:r>
      <w:proofErr w:type="spellEnd"/>
      <w:r w:rsidRPr="00653DB5">
        <w:rPr>
          <w:color w:val="000000" w:themeColor="text1"/>
          <w:sz w:val="26"/>
          <w:szCs w:val="26"/>
        </w:rPr>
        <w:t xml:space="preserve"> şi WDM şi servicii de acces la fibra optică neechipată.</w:t>
      </w:r>
    </w:p>
    <w:p w:rsidR="00323627" w:rsidRPr="00653DB5" w:rsidRDefault="002506F9"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Ulterior, ANRCETI a aplicat testul celor trei criterii pentru a determina susceptibilitatea pieței la reglementarea preventivă. Cu toate că piața serviciilor de linii închiriate segmente-trunchi este caracterizată prin existența barierelor înalte la intrare pe piață, iar aplicarea legislației concurenței ar putea fi insuficientă pentru remedierea problemelor concurențiale, totuși există tendință către o concurență eficientă pe piață. În susținerea ipotezei sale de existență a unei concurențe efective pe piață, ANRCETI găsește importante următoarele argumente:</w:t>
      </w:r>
    </w:p>
    <w:p w:rsidR="002506F9" w:rsidRPr="00653DB5" w:rsidRDefault="002506F9"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 xml:space="preserve">1) </w:t>
      </w:r>
      <w:r w:rsidR="00A24ACE" w:rsidRPr="00653DB5">
        <w:rPr>
          <w:b/>
          <w:i/>
          <w:color w:val="000000" w:themeColor="text1"/>
          <w:sz w:val="26"/>
          <w:szCs w:val="26"/>
        </w:rPr>
        <w:t>numărul furnizorilor de linii închiriate segmente-trunchi</w:t>
      </w:r>
      <w:r w:rsidR="00A24ACE" w:rsidRPr="00653DB5">
        <w:rPr>
          <w:color w:val="000000" w:themeColor="text1"/>
          <w:sz w:val="26"/>
          <w:szCs w:val="26"/>
        </w:rPr>
        <w:t xml:space="preserve"> - </w:t>
      </w:r>
      <w:r w:rsidR="007232CA" w:rsidRPr="00653DB5">
        <w:rPr>
          <w:color w:val="000000" w:themeColor="text1"/>
          <w:sz w:val="26"/>
          <w:szCs w:val="26"/>
        </w:rPr>
        <w:t>dezvoltarea infrastructuri</w:t>
      </w:r>
      <w:r w:rsidR="00723B57" w:rsidRPr="00653DB5">
        <w:rPr>
          <w:color w:val="000000" w:themeColor="text1"/>
          <w:sz w:val="26"/>
          <w:szCs w:val="26"/>
        </w:rPr>
        <w:t>i furnizorilor de servicii de comunicații electronice a generat creșterea</w:t>
      </w:r>
      <w:r w:rsidR="007232CA" w:rsidRPr="00653DB5">
        <w:rPr>
          <w:color w:val="000000" w:themeColor="text1"/>
          <w:sz w:val="26"/>
          <w:szCs w:val="26"/>
        </w:rPr>
        <w:t xml:space="preserve"> </w:t>
      </w:r>
      <w:r w:rsidR="00551ED8" w:rsidRPr="00653DB5">
        <w:rPr>
          <w:color w:val="000000" w:themeColor="text1"/>
          <w:sz w:val="26"/>
          <w:szCs w:val="26"/>
        </w:rPr>
        <w:t>numărul</w:t>
      </w:r>
      <w:r w:rsidR="00723B57" w:rsidRPr="00653DB5">
        <w:rPr>
          <w:color w:val="000000" w:themeColor="text1"/>
          <w:sz w:val="26"/>
          <w:szCs w:val="26"/>
        </w:rPr>
        <w:t>ui de</w:t>
      </w:r>
      <w:r w:rsidR="00551ED8" w:rsidRPr="00653DB5">
        <w:rPr>
          <w:color w:val="000000" w:themeColor="text1"/>
          <w:sz w:val="26"/>
          <w:szCs w:val="26"/>
        </w:rPr>
        <w:t xml:space="preserve"> furnizori care oferă</w:t>
      </w:r>
      <w:r w:rsidR="00723B57" w:rsidRPr="00653DB5">
        <w:rPr>
          <w:color w:val="000000" w:themeColor="text1"/>
          <w:sz w:val="26"/>
          <w:szCs w:val="26"/>
        </w:rPr>
        <w:t xml:space="preserve"> sau pot oferi</w:t>
      </w:r>
      <w:r w:rsidR="00551ED8" w:rsidRPr="00653DB5">
        <w:rPr>
          <w:color w:val="000000" w:themeColor="text1"/>
          <w:sz w:val="26"/>
          <w:szCs w:val="26"/>
        </w:rPr>
        <w:t xml:space="preserve"> servicii de linii închiriate</w:t>
      </w:r>
      <w:r w:rsidR="00723B57" w:rsidRPr="00653DB5">
        <w:rPr>
          <w:color w:val="000000" w:themeColor="text1"/>
          <w:sz w:val="26"/>
          <w:szCs w:val="26"/>
        </w:rPr>
        <w:t xml:space="preserve"> segmente-trunchi: </w:t>
      </w:r>
      <w:r w:rsidR="0060707B" w:rsidRPr="00653DB5">
        <w:rPr>
          <w:color w:val="000000" w:themeColor="text1"/>
          <w:sz w:val="26"/>
          <w:szCs w:val="26"/>
        </w:rPr>
        <w:t xml:space="preserve">de la </w:t>
      </w:r>
      <w:r w:rsidR="00551ED8" w:rsidRPr="00653DB5">
        <w:rPr>
          <w:color w:val="000000" w:themeColor="text1"/>
          <w:sz w:val="26"/>
          <w:szCs w:val="26"/>
        </w:rPr>
        <w:t>1</w:t>
      </w:r>
      <w:r w:rsidR="00723B57" w:rsidRPr="00653DB5">
        <w:rPr>
          <w:color w:val="000000" w:themeColor="text1"/>
          <w:sz w:val="26"/>
          <w:szCs w:val="26"/>
        </w:rPr>
        <w:t xml:space="preserve"> furnizor</w:t>
      </w:r>
      <w:r w:rsidR="00551ED8" w:rsidRPr="00653DB5">
        <w:rPr>
          <w:color w:val="000000" w:themeColor="text1"/>
          <w:sz w:val="26"/>
          <w:szCs w:val="26"/>
        </w:rPr>
        <w:t xml:space="preserve"> în anul 2010 (S.A.„Moldtelecom”) la 5 furnizori în anul 2016</w:t>
      </w:r>
      <w:r w:rsidR="0060707B" w:rsidRPr="00653DB5">
        <w:rPr>
          <w:color w:val="000000" w:themeColor="text1"/>
          <w:sz w:val="26"/>
          <w:szCs w:val="26"/>
        </w:rPr>
        <w:t>, iar ponderea ocupării fibrelor optice la acești furnizori indică asupra disponibilității capacităților de linii închiriate segmente-trunchi ce pot fi furnizate</w:t>
      </w:r>
      <w:r w:rsidR="00551ED8" w:rsidRPr="00653DB5">
        <w:rPr>
          <w:color w:val="000000" w:themeColor="text1"/>
          <w:sz w:val="26"/>
          <w:szCs w:val="26"/>
        </w:rPr>
        <w:t>;</w:t>
      </w:r>
    </w:p>
    <w:p w:rsidR="00551ED8" w:rsidRPr="00653DB5" w:rsidRDefault="00551ED8"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 xml:space="preserve">2) </w:t>
      </w:r>
      <w:r w:rsidRPr="00653DB5">
        <w:rPr>
          <w:b/>
          <w:i/>
          <w:color w:val="000000" w:themeColor="text1"/>
          <w:sz w:val="26"/>
          <w:szCs w:val="26"/>
        </w:rPr>
        <w:t>numărul circuitelor furnizate de linii închiriate segmente-trunchi</w:t>
      </w:r>
      <w:r w:rsidR="00521D9B" w:rsidRPr="00653DB5">
        <w:rPr>
          <w:b/>
          <w:i/>
          <w:color w:val="000000" w:themeColor="text1"/>
          <w:sz w:val="26"/>
          <w:szCs w:val="26"/>
        </w:rPr>
        <w:t xml:space="preserve"> </w:t>
      </w:r>
      <w:r w:rsidR="0060707B" w:rsidRPr="00653DB5">
        <w:rPr>
          <w:color w:val="000000" w:themeColor="text1"/>
          <w:sz w:val="26"/>
          <w:szCs w:val="26"/>
        </w:rPr>
        <w:t>- cota de piață</w:t>
      </w:r>
      <w:r w:rsidR="00F14869">
        <w:rPr>
          <w:color w:val="000000" w:themeColor="text1"/>
          <w:sz w:val="26"/>
          <w:szCs w:val="26"/>
        </w:rPr>
        <w:t>,</w:t>
      </w:r>
      <w:r w:rsidR="0060707B" w:rsidRPr="00653DB5">
        <w:rPr>
          <w:color w:val="000000" w:themeColor="text1"/>
          <w:sz w:val="26"/>
          <w:szCs w:val="26"/>
        </w:rPr>
        <w:t xml:space="preserve"> în funcție de</w:t>
      </w:r>
      <w:r w:rsidR="002A6A73" w:rsidRPr="00653DB5">
        <w:rPr>
          <w:color w:val="000000" w:themeColor="text1"/>
          <w:sz w:val="26"/>
          <w:szCs w:val="26"/>
        </w:rPr>
        <w:t xml:space="preserve"> numărul de circuite furnizate de linii închiriate segmente-trunchi</w:t>
      </w:r>
      <w:r w:rsidR="00F14869">
        <w:rPr>
          <w:color w:val="000000" w:themeColor="text1"/>
          <w:sz w:val="26"/>
          <w:szCs w:val="26"/>
        </w:rPr>
        <w:t>,</w:t>
      </w:r>
      <w:r w:rsidR="002A6A73" w:rsidRPr="00653DB5">
        <w:rPr>
          <w:color w:val="000000" w:themeColor="text1"/>
          <w:sz w:val="26"/>
          <w:szCs w:val="26"/>
        </w:rPr>
        <w:t xml:space="preserve"> </w:t>
      </w:r>
      <w:r w:rsidR="00F14869" w:rsidRPr="00F14869">
        <w:rPr>
          <w:color w:val="000000" w:themeColor="text1"/>
          <w:sz w:val="26"/>
          <w:szCs w:val="26"/>
        </w:rPr>
        <w:t>a furnizorului S.A.„Moldtelecom” (desemnat cu putere semnificativă pe piață prin Hotărârea Consiliului de Administraţie al ANRCETI nr.23 din 15.09.2011) s-a micșorat de la 100% în anul 2010 la –51,23% în anul 2014</w:t>
      </w:r>
      <w:r w:rsidR="00CB6948">
        <w:rPr>
          <w:color w:val="000000" w:themeColor="text1"/>
          <w:sz w:val="26"/>
          <w:szCs w:val="26"/>
        </w:rPr>
        <w:t xml:space="preserve"> </w:t>
      </w:r>
      <w:r w:rsidR="00F14869" w:rsidRPr="00F14869">
        <w:rPr>
          <w:color w:val="000000" w:themeColor="text1"/>
          <w:sz w:val="26"/>
          <w:szCs w:val="26"/>
        </w:rPr>
        <w:t>și la 39,86% în  anul 2016;</w:t>
      </w:r>
    </w:p>
    <w:p w:rsidR="00423EAC" w:rsidRPr="00653DB5" w:rsidRDefault="00423EAC"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 xml:space="preserve">3) </w:t>
      </w:r>
      <w:r w:rsidR="002A6A73" w:rsidRPr="00653DB5">
        <w:rPr>
          <w:b/>
          <w:i/>
          <w:color w:val="000000" w:themeColor="text1"/>
          <w:sz w:val="26"/>
          <w:szCs w:val="26"/>
        </w:rPr>
        <w:t>venitul obținut din furnizarea</w:t>
      </w:r>
      <w:r w:rsidR="00F06C41" w:rsidRPr="00653DB5">
        <w:rPr>
          <w:b/>
          <w:i/>
          <w:color w:val="000000" w:themeColor="text1"/>
          <w:sz w:val="26"/>
          <w:szCs w:val="26"/>
        </w:rPr>
        <w:t xml:space="preserve"> de</w:t>
      </w:r>
      <w:r w:rsidR="002A6A73" w:rsidRPr="00653DB5">
        <w:rPr>
          <w:b/>
          <w:i/>
          <w:color w:val="000000" w:themeColor="text1"/>
          <w:sz w:val="26"/>
          <w:szCs w:val="26"/>
        </w:rPr>
        <w:t xml:space="preserve"> linii închiriate segmente-trunchi</w:t>
      </w:r>
      <w:r w:rsidR="002A6A73" w:rsidRPr="00653DB5">
        <w:rPr>
          <w:color w:val="000000" w:themeColor="text1"/>
          <w:sz w:val="26"/>
          <w:szCs w:val="26"/>
        </w:rPr>
        <w:t xml:space="preserve"> - c</w:t>
      </w:r>
      <w:r w:rsidRPr="00653DB5">
        <w:rPr>
          <w:color w:val="000000" w:themeColor="text1"/>
          <w:sz w:val="26"/>
          <w:szCs w:val="26"/>
        </w:rPr>
        <w:t>ota de piață</w:t>
      </w:r>
      <w:r w:rsidR="00107BF3">
        <w:rPr>
          <w:color w:val="000000" w:themeColor="text1"/>
          <w:sz w:val="26"/>
          <w:szCs w:val="26"/>
        </w:rPr>
        <w:t>,</w:t>
      </w:r>
      <w:r w:rsidRPr="00653DB5">
        <w:rPr>
          <w:color w:val="000000" w:themeColor="text1"/>
          <w:sz w:val="26"/>
          <w:szCs w:val="26"/>
        </w:rPr>
        <w:t xml:space="preserve"> în funcție de venitul obținut din furnizarea</w:t>
      </w:r>
      <w:r w:rsidR="002A6A73" w:rsidRPr="00653DB5">
        <w:rPr>
          <w:color w:val="000000" w:themeColor="text1"/>
          <w:sz w:val="26"/>
          <w:szCs w:val="26"/>
        </w:rPr>
        <w:t xml:space="preserve"> serviciului de</w:t>
      </w:r>
      <w:r w:rsidRPr="00653DB5">
        <w:rPr>
          <w:color w:val="000000" w:themeColor="text1"/>
          <w:sz w:val="26"/>
          <w:szCs w:val="26"/>
        </w:rPr>
        <w:t xml:space="preserve"> linii închiriate segmente-trunchi, </w:t>
      </w:r>
      <w:r w:rsidR="00107BF3">
        <w:rPr>
          <w:color w:val="000000" w:themeColor="text1"/>
          <w:sz w:val="26"/>
          <w:szCs w:val="26"/>
        </w:rPr>
        <w:t xml:space="preserve">a </w:t>
      </w:r>
      <w:r w:rsidRPr="00653DB5">
        <w:rPr>
          <w:color w:val="000000" w:themeColor="text1"/>
          <w:sz w:val="26"/>
          <w:szCs w:val="26"/>
        </w:rPr>
        <w:t>furnizorul</w:t>
      </w:r>
      <w:r w:rsidR="00107BF3">
        <w:rPr>
          <w:color w:val="000000" w:themeColor="text1"/>
          <w:sz w:val="26"/>
          <w:szCs w:val="26"/>
        </w:rPr>
        <w:t>ui</w:t>
      </w:r>
      <w:r w:rsidRPr="00653DB5">
        <w:rPr>
          <w:color w:val="000000" w:themeColor="text1"/>
          <w:sz w:val="26"/>
          <w:szCs w:val="26"/>
        </w:rPr>
        <w:t xml:space="preserve"> </w:t>
      </w:r>
      <w:r w:rsidR="00107BF3" w:rsidRPr="00107BF3">
        <w:rPr>
          <w:color w:val="000000" w:themeColor="text1"/>
          <w:sz w:val="26"/>
          <w:szCs w:val="26"/>
        </w:rPr>
        <w:t>S.A.„Moldtelecom” s-a micșorat  de la 100% în anul 2010, la 75,64% în anul 2014 și la 37,74% în anul 2016</w:t>
      </w:r>
      <w:r w:rsidRPr="00653DB5">
        <w:rPr>
          <w:color w:val="000000" w:themeColor="text1"/>
          <w:sz w:val="26"/>
          <w:szCs w:val="26"/>
        </w:rPr>
        <w:t>;</w:t>
      </w:r>
    </w:p>
    <w:p w:rsidR="00423EAC" w:rsidRPr="00653DB5" w:rsidRDefault="00423EAC"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 xml:space="preserve">4) </w:t>
      </w:r>
      <w:r w:rsidR="002A6A73" w:rsidRPr="00653DB5">
        <w:rPr>
          <w:b/>
          <w:i/>
          <w:color w:val="000000" w:themeColor="text1"/>
          <w:sz w:val="26"/>
          <w:szCs w:val="26"/>
        </w:rPr>
        <w:t>nivelul de concentrare a pieței</w:t>
      </w:r>
      <w:r w:rsidR="002A6A73" w:rsidRPr="00653DB5">
        <w:rPr>
          <w:color w:val="000000" w:themeColor="text1"/>
          <w:sz w:val="26"/>
          <w:szCs w:val="26"/>
        </w:rPr>
        <w:t xml:space="preserve"> - </w:t>
      </w:r>
      <w:r w:rsidRPr="00653DB5">
        <w:rPr>
          <w:color w:val="000000" w:themeColor="text1"/>
          <w:sz w:val="26"/>
          <w:szCs w:val="26"/>
        </w:rPr>
        <w:t>valoarea indicatorului IHH s-a micșorat în felul următor: în funcție de venituri de la 1 în anul 2010 la 0,4</w:t>
      </w:r>
      <w:r w:rsidR="002A6A73" w:rsidRPr="00653DB5">
        <w:rPr>
          <w:color w:val="000000" w:themeColor="text1"/>
          <w:sz w:val="26"/>
          <w:szCs w:val="26"/>
        </w:rPr>
        <w:t>703</w:t>
      </w:r>
      <w:r w:rsidRPr="00653DB5">
        <w:rPr>
          <w:color w:val="000000" w:themeColor="text1"/>
          <w:sz w:val="26"/>
          <w:szCs w:val="26"/>
        </w:rPr>
        <w:t xml:space="preserve"> în anul 2016, iar în funcție de circuite furnizate</w:t>
      </w:r>
      <w:r w:rsidR="007232CA" w:rsidRPr="00653DB5">
        <w:rPr>
          <w:color w:val="000000" w:themeColor="text1"/>
          <w:sz w:val="26"/>
          <w:szCs w:val="26"/>
        </w:rPr>
        <w:t xml:space="preserve"> de la 1 în 2010 la 0,</w:t>
      </w:r>
      <w:r w:rsidR="002A6A73" w:rsidRPr="00653DB5">
        <w:rPr>
          <w:color w:val="000000" w:themeColor="text1"/>
          <w:sz w:val="26"/>
          <w:szCs w:val="26"/>
        </w:rPr>
        <w:t>2959</w:t>
      </w:r>
      <w:r w:rsidR="007232CA" w:rsidRPr="00653DB5">
        <w:rPr>
          <w:color w:val="000000" w:themeColor="text1"/>
          <w:sz w:val="26"/>
          <w:szCs w:val="26"/>
        </w:rPr>
        <w:t xml:space="preserve"> în anul 2016. </w:t>
      </w:r>
      <w:r w:rsidR="002A6A73" w:rsidRPr="00653DB5">
        <w:rPr>
          <w:color w:val="000000" w:themeColor="text1"/>
          <w:sz w:val="26"/>
          <w:szCs w:val="26"/>
        </w:rPr>
        <w:t>Astfel, se înregistrează</w:t>
      </w:r>
      <w:r w:rsidR="007232CA" w:rsidRPr="00653DB5">
        <w:rPr>
          <w:color w:val="000000" w:themeColor="text1"/>
          <w:sz w:val="26"/>
          <w:szCs w:val="26"/>
        </w:rPr>
        <w:t xml:space="preserve"> </w:t>
      </w:r>
      <w:r w:rsidR="00220CD8" w:rsidRPr="00653DB5">
        <w:rPr>
          <w:color w:val="000000" w:themeColor="text1"/>
          <w:sz w:val="26"/>
          <w:szCs w:val="26"/>
        </w:rPr>
        <w:t>o reducere a gradului</w:t>
      </w:r>
      <w:r w:rsidR="007232CA" w:rsidRPr="00653DB5">
        <w:rPr>
          <w:color w:val="000000" w:themeColor="text1"/>
          <w:sz w:val="26"/>
          <w:szCs w:val="26"/>
        </w:rPr>
        <w:t xml:space="preserve"> de concentrare a pieței.</w:t>
      </w:r>
    </w:p>
    <w:p w:rsidR="00C825FA" w:rsidRPr="00653DB5" w:rsidRDefault="00723B57"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 xml:space="preserve">ANRCETI ajunge la concluzia că </w:t>
      </w:r>
      <w:r w:rsidR="00C825FA" w:rsidRPr="00653DB5">
        <w:rPr>
          <w:color w:val="000000" w:themeColor="text1"/>
          <w:sz w:val="26"/>
          <w:szCs w:val="26"/>
        </w:rPr>
        <w:t xml:space="preserve">furnizorii alternativi de linii închiriate segmente-trunchi produc suficientă presiune concurențială asupra S.A.„Moldtelecom”, furnizorul desemnat anterior cu putere semnificativă pe piața de </w:t>
      </w:r>
      <w:r w:rsidR="00C825FA" w:rsidRPr="00653DB5">
        <w:rPr>
          <w:rStyle w:val="longtext1"/>
          <w:color w:val="000000" w:themeColor="text1"/>
          <w:sz w:val="26"/>
          <w:szCs w:val="26"/>
          <w:shd w:val="clear" w:color="auto" w:fill="FFFFFF"/>
        </w:rPr>
        <w:t>furnizare cu ridicata a unor segmente-trunchi de linii închiriate, indiferent de tehnologia utilizată pentru punerea la dispoziţie de capacitate închiriată sau rezervată</w:t>
      </w:r>
      <w:r w:rsidR="006F54F8" w:rsidRPr="00653DB5">
        <w:rPr>
          <w:color w:val="000000" w:themeColor="text1"/>
          <w:sz w:val="26"/>
          <w:szCs w:val="26"/>
        </w:rPr>
        <w:t>.</w:t>
      </w:r>
    </w:p>
    <w:p w:rsidR="006E684B" w:rsidRPr="00653DB5" w:rsidRDefault="006E684B" w:rsidP="008C6767">
      <w:pPr>
        <w:pStyle w:val="Bodytext100"/>
        <w:shd w:val="clear" w:color="auto" w:fill="auto"/>
        <w:spacing w:before="0" w:after="0" w:line="240" w:lineRule="auto"/>
        <w:ind w:right="20" w:firstLine="567"/>
        <w:rPr>
          <w:color w:val="000000" w:themeColor="text1"/>
          <w:sz w:val="26"/>
          <w:szCs w:val="26"/>
        </w:rPr>
      </w:pPr>
    </w:p>
    <w:p w:rsidR="006E684B" w:rsidRPr="00653DB5" w:rsidRDefault="00C825FA"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În urma acestor constatări, ANRCETI urmează să retragă obligațiile speciale preventive, impuse anterior în sarcina S.A.„Moldtelecom” urmare a determinării puterii sale semnificative pe piața</w:t>
      </w:r>
      <w:r w:rsidR="006E684B" w:rsidRPr="00653DB5">
        <w:rPr>
          <w:color w:val="000000" w:themeColor="text1"/>
          <w:sz w:val="26"/>
          <w:szCs w:val="26"/>
        </w:rPr>
        <w:t xml:space="preserve"> de</w:t>
      </w:r>
      <w:r w:rsidRPr="00653DB5">
        <w:rPr>
          <w:color w:val="000000" w:themeColor="text1"/>
          <w:sz w:val="26"/>
          <w:szCs w:val="26"/>
        </w:rPr>
        <w:t xml:space="preserve"> </w:t>
      </w:r>
      <w:r w:rsidR="006E684B" w:rsidRPr="00653DB5">
        <w:rPr>
          <w:rStyle w:val="longtext1"/>
          <w:color w:val="000000" w:themeColor="text1"/>
          <w:sz w:val="26"/>
          <w:szCs w:val="26"/>
          <w:shd w:val="clear" w:color="auto" w:fill="FFFFFF"/>
        </w:rPr>
        <w:t>furnizare cu ridicata a unor segmente-trunchi de linii închiriate, indiferent de tehnologia utilizată pentru punerea la dispoziţie de capacitate închiriată sau rezervată</w:t>
      </w:r>
      <w:r w:rsidR="006E684B" w:rsidRPr="00653DB5">
        <w:rPr>
          <w:color w:val="000000" w:themeColor="text1"/>
          <w:sz w:val="26"/>
          <w:szCs w:val="26"/>
        </w:rPr>
        <w:t xml:space="preserve"> </w:t>
      </w:r>
      <w:r w:rsidRPr="00653DB5">
        <w:rPr>
          <w:color w:val="000000" w:themeColor="text1"/>
          <w:sz w:val="26"/>
          <w:szCs w:val="26"/>
        </w:rPr>
        <w:t>(Hotărârea Consiliului de Administrație al ANRCETI nr.</w:t>
      </w:r>
      <w:r w:rsidR="006E684B" w:rsidRPr="00653DB5">
        <w:rPr>
          <w:color w:val="000000" w:themeColor="text1"/>
          <w:sz w:val="26"/>
          <w:szCs w:val="26"/>
        </w:rPr>
        <w:t>36</w:t>
      </w:r>
      <w:r w:rsidRPr="00653DB5">
        <w:rPr>
          <w:color w:val="000000" w:themeColor="text1"/>
          <w:sz w:val="26"/>
          <w:szCs w:val="26"/>
        </w:rPr>
        <w:t xml:space="preserve"> din </w:t>
      </w:r>
      <w:r w:rsidR="006E684B" w:rsidRPr="00653DB5">
        <w:rPr>
          <w:color w:val="000000" w:themeColor="text1"/>
          <w:sz w:val="26"/>
          <w:szCs w:val="26"/>
        </w:rPr>
        <w:t>20</w:t>
      </w:r>
      <w:r w:rsidRPr="00653DB5">
        <w:rPr>
          <w:color w:val="000000" w:themeColor="text1"/>
          <w:sz w:val="26"/>
          <w:szCs w:val="26"/>
        </w:rPr>
        <w:t xml:space="preserve">.11.2011). Procedura de retragere a obligațiilor speciale preventive va fi executată în conformitate cu prevederile Regulamentului și ale Legii nr.241/2007. </w:t>
      </w:r>
    </w:p>
    <w:p w:rsidR="006E684B" w:rsidRPr="00653DB5" w:rsidRDefault="006E684B" w:rsidP="008C6767">
      <w:pPr>
        <w:pStyle w:val="Bodytext100"/>
        <w:shd w:val="clear" w:color="auto" w:fill="auto"/>
        <w:spacing w:before="0" w:after="0" w:line="240" w:lineRule="auto"/>
        <w:ind w:right="20" w:firstLine="567"/>
        <w:rPr>
          <w:color w:val="000000" w:themeColor="text1"/>
          <w:sz w:val="26"/>
          <w:szCs w:val="26"/>
        </w:rPr>
      </w:pPr>
      <w:r w:rsidRPr="00653DB5">
        <w:rPr>
          <w:color w:val="000000" w:themeColor="text1"/>
          <w:sz w:val="26"/>
          <w:szCs w:val="26"/>
        </w:rPr>
        <w:t xml:space="preserve">Totodată, piața de </w:t>
      </w:r>
      <w:r w:rsidRPr="00653DB5">
        <w:rPr>
          <w:rStyle w:val="longtext1"/>
          <w:color w:val="000000" w:themeColor="text1"/>
          <w:sz w:val="26"/>
          <w:szCs w:val="26"/>
          <w:shd w:val="clear" w:color="auto" w:fill="FFFFFF"/>
        </w:rPr>
        <w:t xml:space="preserve">furnizare cu ridicata a unor segmente-trunchi de linii închiriate, </w:t>
      </w:r>
      <w:r w:rsidRPr="00653DB5">
        <w:rPr>
          <w:rStyle w:val="longtext1"/>
          <w:color w:val="000000" w:themeColor="text1"/>
          <w:sz w:val="26"/>
          <w:szCs w:val="26"/>
          <w:shd w:val="clear" w:color="auto" w:fill="FFFFFF"/>
        </w:rPr>
        <w:lastRenderedPageBreak/>
        <w:t>indiferent de tehnologia utilizată pentru punerea la dispoziţie de capacitate închiriată sau rezervată</w:t>
      </w:r>
      <w:r w:rsidRPr="00653DB5">
        <w:rPr>
          <w:color w:val="000000" w:themeColor="text1"/>
          <w:sz w:val="26"/>
          <w:szCs w:val="26"/>
        </w:rPr>
        <w:t xml:space="preserve"> urmează a fi </w:t>
      </w:r>
      <w:r w:rsidR="006F54F8" w:rsidRPr="00653DB5">
        <w:rPr>
          <w:color w:val="000000" w:themeColor="text1"/>
          <w:sz w:val="26"/>
          <w:szCs w:val="26"/>
        </w:rPr>
        <w:t>exclusă</w:t>
      </w:r>
      <w:r w:rsidRPr="00653DB5">
        <w:rPr>
          <w:color w:val="000000" w:themeColor="text1"/>
          <w:sz w:val="26"/>
          <w:szCs w:val="26"/>
        </w:rPr>
        <w:t xml:space="preserve"> din lista piețelor relevante de rețele și/sau servicii de comunicații electronice, aprobate prin Hotărârea Consiliului de Administrație al ANRCETI nr.85 din 28.04.2009.</w:t>
      </w:r>
    </w:p>
    <w:p w:rsidR="006E684B" w:rsidRPr="00653DB5" w:rsidRDefault="006E684B" w:rsidP="008C6767">
      <w:pPr>
        <w:pStyle w:val="Bodytext100"/>
        <w:shd w:val="clear" w:color="auto" w:fill="auto"/>
        <w:spacing w:before="0" w:after="0" w:line="240" w:lineRule="auto"/>
        <w:ind w:right="20" w:firstLine="567"/>
        <w:rPr>
          <w:color w:val="000000" w:themeColor="text1"/>
          <w:sz w:val="26"/>
          <w:szCs w:val="26"/>
        </w:rPr>
      </w:pPr>
    </w:p>
    <w:p w:rsidR="00880D26" w:rsidRPr="00653DB5" w:rsidRDefault="008E6117" w:rsidP="00CB6948">
      <w:pPr>
        <w:pStyle w:val="Heading1"/>
        <w:numPr>
          <w:ilvl w:val="0"/>
          <w:numId w:val="78"/>
        </w:numPr>
        <w:spacing w:before="0"/>
        <w:rPr>
          <w:rFonts w:ascii="Times New Roman" w:eastAsia="Times New Roman" w:hAnsi="Times New Roman" w:cs="Times New Roman"/>
          <w:bCs w:val="0"/>
          <w:color w:val="000000" w:themeColor="text1"/>
          <w:kern w:val="32"/>
          <w:sz w:val="26"/>
          <w:szCs w:val="26"/>
          <w:lang w:eastAsia="en-GB"/>
        </w:rPr>
      </w:pPr>
      <w:bookmarkStart w:id="359" w:name="_Toc485634407"/>
      <w:bookmarkStart w:id="360" w:name="_Toc485634408"/>
      <w:bookmarkEnd w:id="359"/>
      <w:r w:rsidRPr="00653DB5">
        <w:rPr>
          <w:rFonts w:ascii="Times New Roman" w:eastAsia="Times New Roman" w:hAnsi="Times New Roman" w:cs="Times New Roman"/>
          <w:bCs w:val="0"/>
          <w:color w:val="000000" w:themeColor="text1"/>
          <w:kern w:val="32"/>
          <w:sz w:val="26"/>
          <w:szCs w:val="26"/>
          <w:lang w:eastAsia="en-GB"/>
        </w:rPr>
        <w:t>Recomandări relevante ale Comisiei Europene</w:t>
      </w:r>
      <w:bookmarkEnd w:id="360"/>
    </w:p>
    <w:p w:rsidR="008E6117" w:rsidRPr="00653DB5" w:rsidRDefault="008E6117" w:rsidP="008C6767">
      <w:pPr>
        <w:pStyle w:val="Bodytext100"/>
        <w:shd w:val="clear" w:color="auto" w:fill="auto"/>
        <w:spacing w:before="0" w:after="0" w:line="240" w:lineRule="auto"/>
        <w:ind w:right="20" w:firstLine="567"/>
        <w:rPr>
          <w:color w:val="000000" w:themeColor="text1"/>
          <w:sz w:val="26"/>
          <w:szCs w:val="26"/>
        </w:rPr>
      </w:pPr>
    </w:p>
    <w:p w:rsidR="004C2A70" w:rsidRPr="00653DB5" w:rsidRDefault="004C2A70"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rPr>
      </w:pPr>
      <w:r w:rsidRPr="00653DB5">
        <w:rPr>
          <w:rStyle w:val="longtext1"/>
          <w:color w:val="000000" w:themeColor="text1"/>
          <w:sz w:val="26"/>
          <w:szCs w:val="26"/>
          <w:shd w:val="clear" w:color="auto" w:fill="FFFFFF"/>
        </w:rPr>
        <w:t xml:space="preserve">Comisia Europeană, prin Recomandarea sa din </w:t>
      </w:r>
      <w:r w:rsidR="00351459" w:rsidRPr="00653DB5">
        <w:rPr>
          <w:rStyle w:val="longtext1"/>
          <w:color w:val="000000" w:themeColor="text1"/>
          <w:sz w:val="26"/>
          <w:szCs w:val="26"/>
          <w:shd w:val="clear" w:color="auto" w:fill="FFFFFF"/>
        </w:rPr>
        <w:t>17</w:t>
      </w:r>
      <w:r w:rsidRPr="00653DB5">
        <w:rPr>
          <w:rStyle w:val="longtext1"/>
          <w:color w:val="000000" w:themeColor="text1"/>
          <w:sz w:val="26"/>
          <w:szCs w:val="26"/>
          <w:shd w:val="clear" w:color="auto" w:fill="FFFFFF"/>
        </w:rPr>
        <w:t xml:space="preserve"> </w:t>
      </w:r>
      <w:r w:rsidR="00351459" w:rsidRPr="00653DB5">
        <w:rPr>
          <w:rStyle w:val="longtext1"/>
          <w:color w:val="000000" w:themeColor="text1"/>
          <w:sz w:val="26"/>
          <w:szCs w:val="26"/>
          <w:shd w:val="clear" w:color="auto" w:fill="FFFFFF"/>
        </w:rPr>
        <w:t>decembrie</w:t>
      </w:r>
      <w:r w:rsidRPr="00653DB5">
        <w:rPr>
          <w:rStyle w:val="longtext1"/>
          <w:color w:val="000000" w:themeColor="text1"/>
          <w:sz w:val="26"/>
          <w:szCs w:val="26"/>
          <w:shd w:val="clear" w:color="auto" w:fill="FFFFFF"/>
        </w:rPr>
        <w:t xml:space="preserve"> 20</w:t>
      </w:r>
      <w:r w:rsidR="00351459" w:rsidRPr="00653DB5">
        <w:rPr>
          <w:rStyle w:val="longtext1"/>
          <w:color w:val="000000" w:themeColor="text1"/>
          <w:sz w:val="26"/>
          <w:szCs w:val="26"/>
          <w:shd w:val="clear" w:color="auto" w:fill="FFFFFF"/>
        </w:rPr>
        <w:t>07</w:t>
      </w:r>
      <w:r w:rsidRPr="00653DB5">
        <w:rPr>
          <w:rStyle w:val="longtext1"/>
          <w:color w:val="000000" w:themeColor="text1"/>
          <w:sz w:val="26"/>
          <w:szCs w:val="26"/>
          <w:shd w:val="clear" w:color="auto" w:fill="FFFFFF"/>
        </w:rPr>
        <w:t xml:space="preserve"> (</w:t>
      </w:r>
      <w:proofErr w:type="spellStart"/>
      <w:r w:rsidRPr="00653DB5">
        <w:rPr>
          <w:rStyle w:val="longtext1"/>
          <w:color w:val="000000" w:themeColor="text1"/>
          <w:sz w:val="26"/>
          <w:szCs w:val="26"/>
          <w:shd w:val="clear" w:color="auto" w:fill="FFFFFF"/>
        </w:rPr>
        <w:t>20</w:t>
      </w:r>
      <w:r w:rsidR="00351459" w:rsidRPr="00653DB5">
        <w:rPr>
          <w:rStyle w:val="longtext1"/>
          <w:color w:val="000000" w:themeColor="text1"/>
          <w:sz w:val="26"/>
          <w:szCs w:val="26"/>
          <w:shd w:val="clear" w:color="auto" w:fill="FFFFFF"/>
        </w:rPr>
        <w:t>07</w:t>
      </w:r>
      <w:proofErr w:type="spellEnd"/>
      <w:r w:rsidRPr="00653DB5">
        <w:rPr>
          <w:rStyle w:val="longtext1"/>
          <w:color w:val="000000" w:themeColor="text1"/>
          <w:sz w:val="26"/>
          <w:szCs w:val="26"/>
          <w:shd w:val="clear" w:color="auto" w:fill="FFFFFF"/>
        </w:rPr>
        <w:t>/</w:t>
      </w:r>
      <w:r w:rsidR="00351459" w:rsidRPr="00653DB5">
        <w:rPr>
          <w:rStyle w:val="longtext1"/>
          <w:color w:val="000000" w:themeColor="text1"/>
          <w:sz w:val="26"/>
          <w:szCs w:val="26"/>
          <w:shd w:val="clear" w:color="auto" w:fill="FFFFFF"/>
        </w:rPr>
        <w:t>879</w:t>
      </w:r>
      <w:r w:rsidRPr="00653DB5">
        <w:rPr>
          <w:rStyle w:val="longtext1"/>
          <w:color w:val="000000" w:themeColor="text1"/>
          <w:sz w:val="26"/>
          <w:szCs w:val="26"/>
          <w:shd w:val="clear" w:color="auto" w:fill="FFFFFF"/>
        </w:rPr>
        <w:t>/</w:t>
      </w:r>
      <w:r w:rsidR="00351459" w:rsidRPr="00653DB5">
        <w:rPr>
          <w:rStyle w:val="longtext1"/>
          <w:color w:val="000000" w:themeColor="text1"/>
          <w:sz w:val="26"/>
          <w:szCs w:val="26"/>
          <w:shd w:val="clear" w:color="auto" w:fill="FFFFFF"/>
        </w:rPr>
        <w:t>C</w:t>
      </w:r>
      <w:r w:rsidRPr="00653DB5">
        <w:rPr>
          <w:rStyle w:val="longtext1"/>
          <w:color w:val="000000" w:themeColor="text1"/>
          <w:sz w:val="26"/>
          <w:szCs w:val="26"/>
          <w:shd w:val="clear" w:color="auto" w:fill="FFFFFF"/>
        </w:rPr>
        <w:t xml:space="preserve">E) a aprobat lista piețelor relevante de produse și de servicii din sectorul comunicațiilor electronice care pot face obiectul unei reglementări </w:t>
      </w:r>
      <w:r w:rsidRPr="00653DB5">
        <w:rPr>
          <w:rStyle w:val="longtext1"/>
          <w:i/>
          <w:color w:val="000000" w:themeColor="text1"/>
          <w:sz w:val="26"/>
          <w:szCs w:val="26"/>
          <w:shd w:val="clear" w:color="auto" w:fill="FFFFFF"/>
        </w:rPr>
        <w:t>ex-ante</w:t>
      </w:r>
      <w:r w:rsidRPr="00653DB5">
        <w:rPr>
          <w:rStyle w:val="longtext1"/>
          <w:color w:val="000000" w:themeColor="text1"/>
          <w:sz w:val="26"/>
          <w:szCs w:val="26"/>
          <w:shd w:val="clear" w:color="auto" w:fill="FFFFFF"/>
        </w:rPr>
        <w:t xml:space="preserve">, în conformitate cu Directiva 2002/21/CE a Parlamentului European și a Consiliului privind un cadru de reglementare comun pentru rețelele și serviciile de comunicații electronice. </w:t>
      </w:r>
    </w:p>
    <w:p w:rsidR="00351459" w:rsidRPr="00653DB5" w:rsidRDefault="00351459"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rPr>
      </w:pPr>
      <w:r w:rsidRPr="00653DB5">
        <w:rPr>
          <w:rStyle w:val="longtext1"/>
          <w:color w:val="000000" w:themeColor="text1"/>
          <w:sz w:val="26"/>
          <w:szCs w:val="26"/>
          <w:shd w:val="clear" w:color="auto" w:fill="FFFFFF"/>
        </w:rPr>
        <w:t xml:space="preserve">Piața </w:t>
      </w:r>
      <w:r w:rsidRPr="00653DB5">
        <w:rPr>
          <w:color w:val="000000" w:themeColor="text1"/>
          <w:sz w:val="26"/>
          <w:szCs w:val="26"/>
        </w:rPr>
        <w:t xml:space="preserve">de </w:t>
      </w:r>
      <w:r w:rsidRPr="00653DB5">
        <w:rPr>
          <w:rStyle w:val="longtext1"/>
          <w:color w:val="000000" w:themeColor="text1"/>
          <w:sz w:val="26"/>
          <w:szCs w:val="26"/>
          <w:shd w:val="clear" w:color="auto" w:fill="FFFFFF"/>
        </w:rPr>
        <w:t>furnizare cu ridicata a unor segmente-trunchi de linii închiriate, indiferent de tehnologia utilizată pentru punerea la dispoziţie de capacitate închiriată sau rezervată nu se mai regăsește în lista piețelor susceptibile reglementării preventive, inclusă anterior în Recomandarea 2003/</w:t>
      </w:r>
      <w:r w:rsidR="00115A61" w:rsidRPr="00653DB5">
        <w:rPr>
          <w:rStyle w:val="longtext1"/>
          <w:color w:val="000000" w:themeColor="text1"/>
          <w:sz w:val="26"/>
          <w:szCs w:val="26"/>
          <w:shd w:val="clear" w:color="auto" w:fill="FFFFFF"/>
        </w:rPr>
        <w:t xml:space="preserve">311/CE. </w:t>
      </w:r>
    </w:p>
    <w:p w:rsidR="00115A61" w:rsidRPr="00653DB5" w:rsidRDefault="00115A61"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rPr>
      </w:pPr>
      <w:r w:rsidRPr="00653DB5">
        <w:rPr>
          <w:rStyle w:val="longtext1"/>
          <w:color w:val="000000" w:themeColor="text1"/>
          <w:sz w:val="26"/>
          <w:szCs w:val="26"/>
          <w:shd w:val="clear" w:color="auto" w:fill="FFFFFF"/>
        </w:rPr>
        <w:t>În nota explicativă</w:t>
      </w:r>
      <w:r w:rsidR="006C77DC" w:rsidRPr="00653DB5">
        <w:rPr>
          <w:rStyle w:val="FootnoteReference"/>
          <w:color w:val="000000" w:themeColor="text1"/>
          <w:sz w:val="26"/>
          <w:szCs w:val="26"/>
          <w:shd w:val="clear" w:color="auto" w:fill="FFFFFF"/>
        </w:rPr>
        <w:footnoteReference w:id="6"/>
      </w:r>
      <w:r w:rsidRPr="00653DB5">
        <w:rPr>
          <w:rStyle w:val="longtext1"/>
          <w:color w:val="000000" w:themeColor="text1"/>
          <w:sz w:val="26"/>
          <w:szCs w:val="26"/>
          <w:shd w:val="clear" w:color="auto" w:fill="FFFFFF"/>
        </w:rPr>
        <w:t xml:space="preserve"> la Recomandarea 2007/879/CE, Comisia Europeană, în sprijinul eliminării pieței menționate din lista piețelor relevante, aduce următoarele argumente:</w:t>
      </w:r>
    </w:p>
    <w:p w:rsidR="00115A61" w:rsidRPr="00653DB5" w:rsidRDefault="00115A61"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rPr>
      </w:pPr>
      <w:r w:rsidRPr="00653DB5">
        <w:rPr>
          <w:rStyle w:val="longtext1"/>
          <w:color w:val="000000" w:themeColor="text1"/>
          <w:sz w:val="26"/>
          <w:szCs w:val="26"/>
          <w:shd w:val="clear" w:color="auto" w:fill="FFFFFF"/>
        </w:rPr>
        <w:t>1) dezvoltarea rețelelor alternative de comunicații electronice față de rețeaua furnizorilor istorici</w:t>
      </w:r>
      <w:r w:rsidR="0095284C" w:rsidRPr="00653DB5">
        <w:rPr>
          <w:rStyle w:val="longtext1"/>
          <w:color w:val="000000" w:themeColor="text1"/>
          <w:sz w:val="26"/>
          <w:szCs w:val="26"/>
          <w:shd w:val="clear" w:color="auto" w:fill="FFFFFF"/>
        </w:rPr>
        <w:t xml:space="preserve"> a permis unui număr mare de furnizori să ofere servicii de linii închiriate segmente-trunchi;</w:t>
      </w:r>
    </w:p>
    <w:p w:rsidR="0095284C" w:rsidRPr="00653DB5" w:rsidRDefault="0095284C"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rPr>
      </w:pPr>
      <w:r w:rsidRPr="00653DB5">
        <w:rPr>
          <w:rStyle w:val="longtext1"/>
          <w:color w:val="000000" w:themeColor="text1"/>
          <w:sz w:val="26"/>
          <w:szCs w:val="26"/>
          <w:shd w:val="clear" w:color="auto" w:fill="FFFFFF"/>
        </w:rPr>
        <w:t xml:space="preserve">2) cu toate că în unele state membre rețelele furnizorilor nu permit furnizarea serviciilor de linii închiriate segmente-trunchi pe </w:t>
      </w:r>
      <w:r w:rsidR="00220CD8" w:rsidRPr="00653DB5">
        <w:rPr>
          <w:rStyle w:val="longtext1"/>
          <w:color w:val="000000" w:themeColor="text1"/>
          <w:sz w:val="26"/>
          <w:szCs w:val="26"/>
          <w:shd w:val="clear" w:color="auto" w:fill="FFFFFF"/>
        </w:rPr>
        <w:t>întreg</w:t>
      </w:r>
      <w:r w:rsidRPr="00653DB5">
        <w:rPr>
          <w:rStyle w:val="longtext1"/>
          <w:color w:val="000000" w:themeColor="text1"/>
          <w:sz w:val="26"/>
          <w:szCs w:val="26"/>
          <w:shd w:val="clear" w:color="auto" w:fill="FFFFFF"/>
        </w:rPr>
        <w:t xml:space="preserve"> teritoriu național, aceștia au capacități să furnizeze servicii</w:t>
      </w:r>
      <w:r w:rsidR="006C77DC" w:rsidRPr="00653DB5">
        <w:rPr>
          <w:rStyle w:val="longtext1"/>
          <w:color w:val="000000" w:themeColor="text1"/>
          <w:sz w:val="26"/>
          <w:szCs w:val="26"/>
          <w:shd w:val="clear" w:color="auto" w:fill="FFFFFF"/>
        </w:rPr>
        <w:t xml:space="preserve"> de linii închiriate segmente-trunchi</w:t>
      </w:r>
      <w:r w:rsidRPr="00653DB5">
        <w:rPr>
          <w:rStyle w:val="longtext1"/>
          <w:color w:val="000000" w:themeColor="text1"/>
          <w:sz w:val="26"/>
          <w:szCs w:val="26"/>
          <w:shd w:val="clear" w:color="auto" w:fill="FFFFFF"/>
        </w:rPr>
        <w:t xml:space="preserve"> în zonele cele mai solicitate;</w:t>
      </w:r>
    </w:p>
    <w:p w:rsidR="0095284C" w:rsidRPr="00653DB5" w:rsidRDefault="0095284C"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rPr>
      </w:pPr>
      <w:r w:rsidRPr="00653DB5">
        <w:rPr>
          <w:rStyle w:val="longtext1"/>
          <w:color w:val="000000" w:themeColor="text1"/>
          <w:sz w:val="26"/>
          <w:szCs w:val="26"/>
          <w:shd w:val="clear" w:color="auto" w:fill="FFFFFF"/>
        </w:rPr>
        <w:t xml:space="preserve">3) </w:t>
      </w:r>
      <w:r w:rsidR="006F54F8" w:rsidRPr="00653DB5">
        <w:rPr>
          <w:rStyle w:val="longtext1"/>
          <w:color w:val="000000" w:themeColor="text1"/>
          <w:sz w:val="26"/>
          <w:szCs w:val="26"/>
          <w:shd w:val="clear" w:color="auto" w:fill="FFFFFF"/>
        </w:rPr>
        <w:t>deși sunt</w:t>
      </w:r>
      <w:r w:rsidRPr="00653DB5">
        <w:rPr>
          <w:rStyle w:val="longtext1"/>
          <w:color w:val="000000" w:themeColor="text1"/>
          <w:sz w:val="26"/>
          <w:szCs w:val="26"/>
          <w:shd w:val="clear" w:color="auto" w:fill="FFFFFF"/>
        </w:rPr>
        <w:t xml:space="preserve"> prezen</w:t>
      </w:r>
      <w:r w:rsidR="006F54F8" w:rsidRPr="00653DB5">
        <w:rPr>
          <w:rStyle w:val="longtext1"/>
          <w:color w:val="000000" w:themeColor="text1"/>
          <w:sz w:val="26"/>
          <w:szCs w:val="26"/>
          <w:shd w:val="clear" w:color="auto" w:fill="FFFFFF"/>
        </w:rPr>
        <w:t>te</w:t>
      </w:r>
      <w:r w:rsidRPr="00653DB5">
        <w:rPr>
          <w:rStyle w:val="longtext1"/>
          <w:color w:val="000000" w:themeColor="text1"/>
          <w:sz w:val="26"/>
          <w:szCs w:val="26"/>
          <w:shd w:val="clear" w:color="auto" w:fill="FFFFFF"/>
        </w:rPr>
        <w:t xml:space="preserve"> bariere înalte de intrare pe piață, testul celor trei criterii este eșuat pe piața de furnizare cu ridicata a liniilor închiriate segmente-trunchi, ca urmare a </w:t>
      </w:r>
      <w:r w:rsidR="006F54F8" w:rsidRPr="00653DB5">
        <w:rPr>
          <w:rStyle w:val="longtext1"/>
          <w:color w:val="000000" w:themeColor="text1"/>
          <w:sz w:val="26"/>
          <w:szCs w:val="26"/>
          <w:shd w:val="clear" w:color="auto" w:fill="FFFFFF"/>
        </w:rPr>
        <w:t>observării unei</w:t>
      </w:r>
      <w:r w:rsidRPr="00653DB5">
        <w:rPr>
          <w:rStyle w:val="longtext1"/>
          <w:color w:val="000000" w:themeColor="text1"/>
          <w:sz w:val="26"/>
          <w:szCs w:val="26"/>
          <w:shd w:val="clear" w:color="auto" w:fill="FFFFFF"/>
        </w:rPr>
        <w:t xml:space="preserve"> tendințe către o concurență efectivă</w:t>
      </w:r>
      <w:r w:rsidR="006C77DC" w:rsidRPr="00653DB5">
        <w:rPr>
          <w:rStyle w:val="longtext1"/>
          <w:color w:val="000000" w:themeColor="text1"/>
          <w:sz w:val="26"/>
          <w:szCs w:val="26"/>
          <w:shd w:val="clear" w:color="auto" w:fill="FFFFFF"/>
        </w:rPr>
        <w:t>.</w:t>
      </w:r>
    </w:p>
    <w:p w:rsidR="006C77DC" w:rsidRPr="00653DB5" w:rsidRDefault="006C77DC"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rPr>
      </w:pPr>
      <w:r w:rsidRPr="00653DB5">
        <w:rPr>
          <w:rStyle w:val="longtext1"/>
          <w:color w:val="000000" w:themeColor="text1"/>
          <w:sz w:val="26"/>
          <w:szCs w:val="26"/>
          <w:shd w:val="clear" w:color="auto" w:fill="FFFFFF"/>
        </w:rPr>
        <w:t xml:space="preserve">În asemenea condiții, piața menționată a fost </w:t>
      </w:r>
      <w:r w:rsidR="00573874" w:rsidRPr="00653DB5">
        <w:rPr>
          <w:rStyle w:val="longtext1"/>
          <w:color w:val="000000" w:themeColor="text1"/>
          <w:sz w:val="26"/>
          <w:szCs w:val="26"/>
          <w:shd w:val="clear" w:color="auto" w:fill="FFFFFF"/>
        </w:rPr>
        <w:t xml:space="preserve">exclusă </w:t>
      </w:r>
      <w:r w:rsidRPr="00653DB5">
        <w:rPr>
          <w:rStyle w:val="longtext1"/>
          <w:color w:val="000000" w:themeColor="text1"/>
          <w:sz w:val="26"/>
          <w:szCs w:val="26"/>
          <w:shd w:val="clear" w:color="auto" w:fill="FFFFFF"/>
        </w:rPr>
        <w:t>din lista piețelor susceptibile reglementării preventive</w:t>
      </w:r>
      <w:r w:rsidR="00220CD8" w:rsidRPr="00653DB5">
        <w:rPr>
          <w:rStyle w:val="longtext1"/>
          <w:color w:val="000000" w:themeColor="text1"/>
          <w:sz w:val="26"/>
          <w:szCs w:val="26"/>
          <w:shd w:val="clear" w:color="auto" w:fill="FFFFFF"/>
        </w:rPr>
        <w:t xml:space="preserve"> a</w:t>
      </w:r>
      <w:r w:rsidRPr="00653DB5">
        <w:rPr>
          <w:rStyle w:val="longtext1"/>
          <w:color w:val="000000" w:themeColor="text1"/>
          <w:sz w:val="26"/>
          <w:szCs w:val="26"/>
          <w:shd w:val="clear" w:color="auto" w:fill="FFFFFF"/>
        </w:rPr>
        <w:t xml:space="preserve"> Recomand</w:t>
      </w:r>
      <w:r w:rsidR="00220CD8" w:rsidRPr="00653DB5">
        <w:rPr>
          <w:rStyle w:val="longtext1"/>
          <w:color w:val="000000" w:themeColor="text1"/>
          <w:sz w:val="26"/>
          <w:szCs w:val="26"/>
          <w:shd w:val="clear" w:color="auto" w:fill="FFFFFF"/>
        </w:rPr>
        <w:t>ă</w:t>
      </w:r>
      <w:r w:rsidRPr="00653DB5">
        <w:rPr>
          <w:rStyle w:val="longtext1"/>
          <w:color w:val="000000" w:themeColor="text1"/>
          <w:sz w:val="26"/>
          <w:szCs w:val="26"/>
          <w:shd w:val="clear" w:color="auto" w:fill="FFFFFF"/>
        </w:rPr>
        <w:t>r</w:t>
      </w:r>
      <w:r w:rsidR="00220CD8" w:rsidRPr="00653DB5">
        <w:rPr>
          <w:rStyle w:val="longtext1"/>
          <w:color w:val="000000" w:themeColor="text1"/>
          <w:sz w:val="26"/>
          <w:szCs w:val="26"/>
          <w:shd w:val="clear" w:color="auto" w:fill="FFFFFF"/>
        </w:rPr>
        <w:t>ii</w:t>
      </w:r>
      <w:r w:rsidRPr="00653DB5">
        <w:rPr>
          <w:rStyle w:val="longtext1"/>
          <w:color w:val="000000" w:themeColor="text1"/>
          <w:sz w:val="26"/>
          <w:szCs w:val="26"/>
          <w:shd w:val="clear" w:color="auto" w:fill="FFFFFF"/>
        </w:rPr>
        <w:t xml:space="preserve"> 2007/879/CE.</w:t>
      </w:r>
    </w:p>
    <w:p w:rsidR="006C77DC" w:rsidRPr="00653DB5" w:rsidRDefault="006C77DC"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rPr>
      </w:pPr>
      <w:r w:rsidRPr="00653DB5">
        <w:rPr>
          <w:rStyle w:val="longtext1"/>
          <w:color w:val="000000" w:themeColor="text1"/>
          <w:sz w:val="26"/>
          <w:szCs w:val="26"/>
          <w:shd w:val="clear" w:color="auto" w:fill="FFFFFF"/>
        </w:rPr>
        <w:t xml:space="preserve">Totodată menționăm că piața </w:t>
      </w:r>
      <w:r w:rsidRPr="00653DB5">
        <w:rPr>
          <w:color w:val="000000" w:themeColor="text1"/>
          <w:sz w:val="26"/>
          <w:szCs w:val="26"/>
        </w:rPr>
        <w:t xml:space="preserve">de </w:t>
      </w:r>
      <w:r w:rsidRPr="00653DB5">
        <w:rPr>
          <w:rStyle w:val="longtext1"/>
          <w:color w:val="000000" w:themeColor="text1"/>
          <w:sz w:val="26"/>
          <w:szCs w:val="26"/>
          <w:shd w:val="clear" w:color="auto" w:fill="FFFFFF"/>
        </w:rPr>
        <w:t>furnizare cu ridicata a unor segmente-trunchi de linii închiriate, indiferent de tehnologia utilizată pentru punerea la dispoziţie de capacitate închiriată sau rezervată nu se regăsește nici în Recomandarea Comisiei Europene din 9 octombrie 2014 (</w:t>
      </w:r>
      <w:proofErr w:type="spellStart"/>
      <w:r w:rsidRPr="00653DB5">
        <w:rPr>
          <w:rStyle w:val="longtext1"/>
          <w:color w:val="000000" w:themeColor="text1"/>
          <w:sz w:val="26"/>
          <w:szCs w:val="26"/>
          <w:shd w:val="clear" w:color="auto" w:fill="FFFFFF"/>
        </w:rPr>
        <w:t>2014</w:t>
      </w:r>
      <w:proofErr w:type="spellEnd"/>
      <w:r w:rsidRPr="00653DB5">
        <w:rPr>
          <w:rStyle w:val="longtext1"/>
          <w:color w:val="000000" w:themeColor="text1"/>
          <w:sz w:val="26"/>
          <w:szCs w:val="26"/>
          <w:shd w:val="clear" w:color="auto" w:fill="FFFFFF"/>
        </w:rPr>
        <w:t xml:space="preserve">/710/UE) privind lista piețelor relevante de produse și de servicii din sectorul comunicațiilor electronice care pot face obiectul unei reglementări </w:t>
      </w:r>
      <w:r w:rsidRPr="00653DB5">
        <w:rPr>
          <w:rStyle w:val="longtext1"/>
          <w:i/>
          <w:color w:val="000000" w:themeColor="text1"/>
          <w:sz w:val="26"/>
          <w:szCs w:val="26"/>
          <w:shd w:val="clear" w:color="auto" w:fill="FFFFFF"/>
        </w:rPr>
        <w:t>ex-ante</w:t>
      </w:r>
      <w:r w:rsidRPr="00653DB5">
        <w:rPr>
          <w:rStyle w:val="longtext1"/>
          <w:color w:val="000000" w:themeColor="text1"/>
          <w:sz w:val="26"/>
          <w:szCs w:val="26"/>
          <w:shd w:val="clear" w:color="auto" w:fill="FFFFFF"/>
        </w:rPr>
        <w:t xml:space="preserve">. </w:t>
      </w:r>
    </w:p>
    <w:p w:rsidR="006E684B" w:rsidRPr="00653DB5" w:rsidRDefault="006E684B" w:rsidP="008C6767">
      <w:pPr>
        <w:pStyle w:val="Bodytext100"/>
        <w:shd w:val="clear" w:color="auto" w:fill="auto"/>
        <w:spacing w:before="0" w:after="0" w:line="240" w:lineRule="auto"/>
        <w:ind w:right="20" w:firstLine="567"/>
        <w:rPr>
          <w:color w:val="000000" w:themeColor="text1"/>
          <w:sz w:val="26"/>
          <w:szCs w:val="26"/>
        </w:rPr>
      </w:pPr>
    </w:p>
    <w:p w:rsidR="006E684B" w:rsidRPr="00653DB5" w:rsidRDefault="00971856" w:rsidP="00CB6948">
      <w:pPr>
        <w:pStyle w:val="Heading1"/>
        <w:numPr>
          <w:ilvl w:val="0"/>
          <w:numId w:val="78"/>
        </w:numPr>
        <w:spacing w:before="0"/>
        <w:rPr>
          <w:rFonts w:ascii="Times New Roman" w:eastAsia="Times New Roman" w:hAnsi="Times New Roman" w:cs="Times New Roman"/>
          <w:bCs w:val="0"/>
          <w:color w:val="000000" w:themeColor="text1"/>
          <w:kern w:val="32"/>
          <w:sz w:val="26"/>
          <w:szCs w:val="26"/>
          <w:lang w:eastAsia="en-GB"/>
        </w:rPr>
      </w:pPr>
      <w:bookmarkStart w:id="361" w:name="_Toc485634409"/>
      <w:r w:rsidRPr="00653DB5">
        <w:rPr>
          <w:rFonts w:ascii="Times New Roman" w:eastAsia="Times New Roman" w:hAnsi="Times New Roman" w:cs="Times New Roman"/>
          <w:bCs w:val="0"/>
          <w:color w:val="000000" w:themeColor="text1"/>
          <w:kern w:val="32"/>
          <w:sz w:val="26"/>
          <w:szCs w:val="26"/>
          <w:lang w:eastAsia="en-GB"/>
        </w:rPr>
        <w:t>Concluzii generale</w:t>
      </w:r>
      <w:bookmarkEnd w:id="361"/>
    </w:p>
    <w:p w:rsidR="006E684B" w:rsidRPr="00653DB5" w:rsidRDefault="006E684B" w:rsidP="008C6767">
      <w:pPr>
        <w:pStyle w:val="Bodytext100"/>
        <w:shd w:val="clear" w:color="auto" w:fill="auto"/>
        <w:spacing w:before="0" w:after="0" w:line="240" w:lineRule="auto"/>
        <w:ind w:right="20" w:firstLine="567"/>
        <w:rPr>
          <w:color w:val="000000" w:themeColor="text1"/>
          <w:sz w:val="26"/>
          <w:szCs w:val="26"/>
        </w:rPr>
      </w:pPr>
    </w:p>
    <w:p w:rsidR="00323627" w:rsidRPr="00653DB5" w:rsidRDefault="006E684B" w:rsidP="008C6767">
      <w:pPr>
        <w:pStyle w:val="Bodytext100"/>
        <w:shd w:val="clear" w:color="auto" w:fill="auto"/>
        <w:spacing w:before="0" w:after="0" w:line="240" w:lineRule="auto"/>
        <w:ind w:right="20" w:firstLine="567"/>
        <w:rPr>
          <w:rStyle w:val="longtext1"/>
          <w:sz w:val="26"/>
          <w:szCs w:val="26"/>
          <w:shd w:val="clear" w:color="auto" w:fill="FFFFFF"/>
        </w:rPr>
      </w:pPr>
      <w:r w:rsidRPr="00653DB5">
        <w:rPr>
          <w:rStyle w:val="longtext1"/>
          <w:color w:val="000000" w:themeColor="text1"/>
          <w:sz w:val="26"/>
          <w:szCs w:val="26"/>
          <w:shd w:val="clear" w:color="auto" w:fill="FFFFFF"/>
        </w:rPr>
        <w:t xml:space="preserve">ANRCETI a găsit că o serie de indicii arată asupra faptului că piața dată nu mai întrunește cerințele testului celor trei criterii și, prin urmare, nu mai este susceptibilă </w:t>
      </w:r>
      <w:r w:rsidRPr="00653DB5">
        <w:rPr>
          <w:rStyle w:val="longtext1"/>
          <w:color w:val="000000" w:themeColor="text1"/>
          <w:sz w:val="26"/>
          <w:szCs w:val="26"/>
          <w:shd w:val="clear" w:color="auto" w:fill="FFFFFF"/>
        </w:rPr>
        <w:lastRenderedPageBreak/>
        <w:t xml:space="preserve">reglementării </w:t>
      </w:r>
      <w:r w:rsidRPr="00653DB5">
        <w:rPr>
          <w:rStyle w:val="longtext1"/>
          <w:i/>
          <w:color w:val="000000" w:themeColor="text1"/>
          <w:sz w:val="26"/>
          <w:szCs w:val="26"/>
          <w:shd w:val="clear" w:color="auto" w:fill="FFFFFF"/>
        </w:rPr>
        <w:t>ex-ante</w:t>
      </w:r>
      <w:r w:rsidRPr="00653DB5">
        <w:rPr>
          <w:rStyle w:val="longtext1"/>
          <w:color w:val="000000" w:themeColor="text1"/>
          <w:sz w:val="26"/>
          <w:szCs w:val="26"/>
          <w:shd w:val="clear" w:color="auto" w:fill="FFFFFF"/>
        </w:rPr>
        <w:t>. Prin urmare și sub condiția acestei consultări publice, ANRCETI ar urma să ia decizia de retragere a obligațiilor impuse S.A.„Moldtelecom” în legătură cu puterea semnificativă pe care a exercitat-o anterior pe această piață. În conformitate cu prevederea art.43, alin.(4) al Legii nr.241/2007, ANRCETI, cu cel puţin 30 de zile înainte de retragerea oricăror obligaţii impuse unui anumit furnizor, trebuie să aducă această intenţie la cunoştinţa persoanelor care au încheiat acorduri de interconectare sau de acces cu furnizorul respectiv, pentru a le permite să găsească furnizori alternativi sau să renegocieze acordul încheiat. ANRCETI consideră că pentru asigurarea procesului tranzitoriu în bune condiții este necesar ca</w:t>
      </w:r>
      <w:r w:rsidR="00244A5C">
        <w:rPr>
          <w:rStyle w:val="longtext1"/>
          <w:color w:val="000000" w:themeColor="text1"/>
          <w:sz w:val="26"/>
          <w:szCs w:val="26"/>
          <w:shd w:val="clear" w:color="auto" w:fill="FFFFFF"/>
        </w:rPr>
        <w:t>,</w:t>
      </w:r>
      <w:r w:rsidRPr="00653DB5">
        <w:rPr>
          <w:rStyle w:val="longtext1"/>
          <w:color w:val="000000" w:themeColor="text1"/>
          <w:sz w:val="26"/>
          <w:szCs w:val="26"/>
          <w:shd w:val="clear" w:color="auto" w:fill="FFFFFF"/>
        </w:rPr>
        <w:t xml:space="preserve"> data din care obligațiile stabilite vor fi retrase să fie stabilită pentru 01 </w:t>
      </w:r>
      <w:r w:rsidR="00005804" w:rsidRPr="00653DB5">
        <w:rPr>
          <w:rStyle w:val="longtext1"/>
          <w:color w:val="000000" w:themeColor="text1"/>
          <w:sz w:val="26"/>
          <w:szCs w:val="26"/>
          <w:shd w:val="clear" w:color="auto" w:fill="FFFFFF"/>
        </w:rPr>
        <w:t>ianuarie</w:t>
      </w:r>
      <w:r w:rsidRPr="00653DB5">
        <w:rPr>
          <w:rStyle w:val="longtext1"/>
          <w:color w:val="000000" w:themeColor="text1"/>
          <w:sz w:val="26"/>
          <w:szCs w:val="26"/>
          <w:shd w:val="clear" w:color="auto" w:fill="FFFFFF"/>
        </w:rPr>
        <w:t xml:space="preserve"> 201</w:t>
      </w:r>
      <w:r w:rsidR="00005804" w:rsidRPr="00653DB5">
        <w:rPr>
          <w:rStyle w:val="longtext1"/>
          <w:color w:val="000000" w:themeColor="text1"/>
          <w:sz w:val="26"/>
          <w:szCs w:val="26"/>
          <w:shd w:val="clear" w:color="auto" w:fill="FFFFFF"/>
        </w:rPr>
        <w:t>8</w:t>
      </w:r>
      <w:r w:rsidRPr="00653DB5">
        <w:rPr>
          <w:rStyle w:val="longtext1"/>
          <w:color w:val="000000" w:themeColor="text1"/>
          <w:sz w:val="26"/>
          <w:szCs w:val="26"/>
          <w:shd w:val="clear" w:color="auto" w:fill="FFFFFF"/>
        </w:rPr>
        <w:t xml:space="preserve">, acesta fiind considerat un termen rezonabil și suficient. Suplimentar la aceasta, ANRCETI </w:t>
      </w:r>
      <w:r w:rsidR="00244A5C">
        <w:rPr>
          <w:rStyle w:val="longtext1"/>
          <w:color w:val="000000" w:themeColor="text1"/>
          <w:sz w:val="26"/>
          <w:szCs w:val="26"/>
          <w:shd w:val="clear" w:color="auto" w:fill="FFFFFF"/>
        </w:rPr>
        <w:t>urmează</w:t>
      </w:r>
      <w:r w:rsidRPr="00653DB5">
        <w:rPr>
          <w:rStyle w:val="longtext1"/>
          <w:color w:val="000000" w:themeColor="text1"/>
          <w:sz w:val="26"/>
          <w:szCs w:val="26"/>
          <w:shd w:val="clear" w:color="auto" w:fill="FFFFFF"/>
        </w:rPr>
        <w:t xml:space="preserve"> să excludă piața </w:t>
      </w:r>
      <w:r w:rsidR="00971856" w:rsidRPr="00653DB5">
        <w:rPr>
          <w:color w:val="000000" w:themeColor="text1"/>
          <w:sz w:val="26"/>
          <w:szCs w:val="26"/>
        </w:rPr>
        <w:t xml:space="preserve">de </w:t>
      </w:r>
      <w:r w:rsidR="00971856" w:rsidRPr="00653DB5">
        <w:rPr>
          <w:rStyle w:val="longtext1"/>
          <w:color w:val="000000" w:themeColor="text1"/>
          <w:sz w:val="26"/>
          <w:szCs w:val="26"/>
          <w:shd w:val="clear" w:color="auto" w:fill="FFFFFF"/>
        </w:rPr>
        <w:t>furnizare cu ridicata a unor segmente-trunchi de linii închiriate, indiferent de tehnologia utilizată pentru punerea la dispoziţie de capacitate închiriată sau rezervată</w:t>
      </w:r>
      <w:r w:rsidRPr="00653DB5">
        <w:rPr>
          <w:rStyle w:val="longtext1"/>
          <w:color w:val="000000" w:themeColor="text1"/>
          <w:sz w:val="26"/>
          <w:szCs w:val="26"/>
          <w:shd w:val="clear" w:color="auto" w:fill="FFFFFF"/>
        </w:rPr>
        <w:t xml:space="preserve"> (Piața </w:t>
      </w:r>
      <w:r w:rsidR="00971856" w:rsidRPr="00653DB5">
        <w:rPr>
          <w:rStyle w:val="longtext1"/>
          <w:color w:val="000000" w:themeColor="text1"/>
          <w:sz w:val="26"/>
          <w:szCs w:val="26"/>
          <w:shd w:val="clear" w:color="auto" w:fill="FFFFFF"/>
        </w:rPr>
        <w:t>8</w:t>
      </w:r>
      <w:r w:rsidRPr="00653DB5">
        <w:rPr>
          <w:rStyle w:val="longtext1"/>
          <w:color w:val="000000" w:themeColor="text1"/>
          <w:sz w:val="26"/>
          <w:szCs w:val="26"/>
          <w:shd w:val="clear" w:color="auto" w:fill="FFFFFF"/>
        </w:rPr>
        <w:t xml:space="preserve">) din Lista pieţelor relevante de reţele şi/sau servicii de comunicaţii electronice, definită prin Hotărârea Consiliului de Administrație al ANRCETI nr.85 din 28 </w:t>
      </w:r>
      <w:r w:rsidR="00EA4D23" w:rsidRPr="00653DB5">
        <w:rPr>
          <w:rStyle w:val="longtext1"/>
          <w:color w:val="000000" w:themeColor="text1"/>
          <w:sz w:val="26"/>
          <w:szCs w:val="26"/>
          <w:shd w:val="clear" w:color="auto" w:fill="FFFFFF"/>
        </w:rPr>
        <w:t>aprilie</w:t>
      </w:r>
      <w:r w:rsidRPr="00653DB5">
        <w:rPr>
          <w:rStyle w:val="longtext1"/>
          <w:color w:val="000000" w:themeColor="text1"/>
          <w:sz w:val="26"/>
          <w:szCs w:val="26"/>
          <w:shd w:val="clear" w:color="auto" w:fill="FFFFFF"/>
        </w:rPr>
        <w:t xml:space="preserve"> 2009.</w:t>
      </w:r>
    </w:p>
    <w:p w:rsidR="00323627" w:rsidRPr="00653DB5" w:rsidRDefault="00323627" w:rsidP="008C6767">
      <w:pPr>
        <w:pStyle w:val="Bodytext100"/>
        <w:shd w:val="clear" w:color="auto" w:fill="auto"/>
        <w:spacing w:before="0" w:after="0" w:line="240" w:lineRule="auto"/>
        <w:ind w:right="20" w:firstLine="567"/>
        <w:rPr>
          <w:rStyle w:val="longtext1"/>
          <w:sz w:val="26"/>
          <w:szCs w:val="26"/>
          <w:shd w:val="clear" w:color="auto" w:fill="FFFFFF"/>
        </w:rPr>
      </w:pPr>
    </w:p>
    <w:p w:rsidR="00323627" w:rsidRPr="00653DB5" w:rsidRDefault="00323627" w:rsidP="008C6767">
      <w:pPr>
        <w:pStyle w:val="Bodytext100"/>
        <w:shd w:val="clear" w:color="auto" w:fill="auto"/>
        <w:spacing w:before="0" w:after="0" w:line="240" w:lineRule="auto"/>
        <w:ind w:right="20" w:firstLine="567"/>
        <w:rPr>
          <w:rStyle w:val="longtext1"/>
          <w:sz w:val="26"/>
          <w:szCs w:val="26"/>
          <w:shd w:val="clear" w:color="auto" w:fill="FFFFFF"/>
        </w:rPr>
      </w:pPr>
    </w:p>
    <w:p w:rsidR="00323627" w:rsidRPr="00653DB5" w:rsidRDefault="00323627" w:rsidP="008C6767">
      <w:pPr>
        <w:pStyle w:val="Bodytext100"/>
        <w:shd w:val="clear" w:color="auto" w:fill="auto"/>
        <w:spacing w:before="0" w:after="0" w:line="240" w:lineRule="auto"/>
        <w:ind w:right="20" w:firstLine="567"/>
        <w:rPr>
          <w:color w:val="000000" w:themeColor="text1"/>
          <w:sz w:val="26"/>
          <w:szCs w:val="26"/>
        </w:rPr>
      </w:pPr>
    </w:p>
    <w:p w:rsidR="00323627" w:rsidRPr="00653DB5" w:rsidRDefault="00323627" w:rsidP="008C6767">
      <w:pPr>
        <w:pStyle w:val="Bodytext100"/>
        <w:shd w:val="clear" w:color="auto" w:fill="auto"/>
        <w:spacing w:before="0" w:after="0" w:line="240" w:lineRule="auto"/>
        <w:ind w:right="20" w:firstLine="567"/>
        <w:rPr>
          <w:color w:val="000000" w:themeColor="text1"/>
          <w:sz w:val="26"/>
          <w:szCs w:val="26"/>
        </w:rPr>
      </w:pPr>
    </w:p>
    <w:p w:rsidR="00323627" w:rsidRPr="00653DB5" w:rsidRDefault="00323627" w:rsidP="008C6767">
      <w:pPr>
        <w:pStyle w:val="Bodytext100"/>
        <w:shd w:val="clear" w:color="auto" w:fill="auto"/>
        <w:spacing w:before="0" w:after="0" w:line="240" w:lineRule="auto"/>
        <w:ind w:right="20" w:firstLine="567"/>
        <w:rPr>
          <w:color w:val="000000" w:themeColor="text1"/>
          <w:sz w:val="26"/>
          <w:szCs w:val="26"/>
        </w:rPr>
      </w:pPr>
    </w:p>
    <w:p w:rsidR="00323627" w:rsidRPr="00653DB5" w:rsidRDefault="00323627" w:rsidP="008C6767">
      <w:pPr>
        <w:pStyle w:val="Bodytext100"/>
        <w:shd w:val="clear" w:color="auto" w:fill="auto"/>
        <w:spacing w:before="0" w:after="0" w:line="240" w:lineRule="auto"/>
        <w:ind w:right="20" w:firstLine="567"/>
        <w:rPr>
          <w:color w:val="000000" w:themeColor="text1"/>
          <w:sz w:val="26"/>
          <w:szCs w:val="26"/>
        </w:rPr>
      </w:pPr>
    </w:p>
    <w:p w:rsidR="00790A2F" w:rsidRPr="00653DB5" w:rsidRDefault="00790A2F" w:rsidP="00047108">
      <w:pPr>
        <w:pStyle w:val="Bodytext100"/>
        <w:shd w:val="clear" w:color="auto" w:fill="auto"/>
        <w:spacing w:before="0" w:after="0" w:line="240" w:lineRule="auto"/>
        <w:ind w:right="20" w:firstLine="567"/>
        <w:rPr>
          <w:color w:val="000000" w:themeColor="text1"/>
          <w:sz w:val="26"/>
          <w:szCs w:val="26"/>
        </w:rPr>
      </w:pPr>
      <w:bookmarkStart w:id="362" w:name="_Toc425322807"/>
      <w:bookmarkStart w:id="363" w:name="_Toc368664515"/>
      <w:bookmarkStart w:id="364" w:name="_Toc368664701"/>
      <w:bookmarkStart w:id="365" w:name="_Toc368664955"/>
      <w:bookmarkStart w:id="366" w:name="_Toc368665708"/>
      <w:bookmarkStart w:id="367" w:name="_Toc368665836"/>
      <w:bookmarkStart w:id="368" w:name="_Toc368665912"/>
      <w:bookmarkStart w:id="369" w:name="_Toc368665981"/>
      <w:bookmarkStart w:id="370" w:name="_Toc368666063"/>
      <w:bookmarkStart w:id="371" w:name="_Toc368666203"/>
      <w:bookmarkStart w:id="372" w:name="_Toc368666257"/>
      <w:bookmarkStart w:id="373" w:name="_Toc368666314"/>
      <w:bookmarkStart w:id="374" w:name="_Toc368666419"/>
      <w:bookmarkStart w:id="375" w:name="_Toc368666590"/>
      <w:bookmarkStart w:id="376" w:name="_Toc368664519"/>
      <w:bookmarkStart w:id="377" w:name="_Toc368664705"/>
      <w:bookmarkStart w:id="378" w:name="_Toc368664959"/>
      <w:bookmarkStart w:id="379" w:name="_Toc368665712"/>
      <w:bookmarkStart w:id="380" w:name="_Toc368665840"/>
      <w:bookmarkStart w:id="381" w:name="_Toc368665916"/>
      <w:bookmarkStart w:id="382" w:name="_Toc368665985"/>
      <w:bookmarkStart w:id="383" w:name="_Toc368666067"/>
      <w:bookmarkStart w:id="384" w:name="_Toc368666207"/>
      <w:bookmarkStart w:id="385" w:name="_Toc368666261"/>
      <w:bookmarkStart w:id="386" w:name="_Toc368666318"/>
      <w:bookmarkStart w:id="387" w:name="_Toc368666423"/>
      <w:bookmarkStart w:id="388" w:name="_Toc368666594"/>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sectPr w:rsidR="00790A2F" w:rsidRPr="00653DB5" w:rsidSect="00445352">
      <w:footerReference w:type="default" r:id="rId15"/>
      <w:type w:val="nextColumn"/>
      <w:pgSz w:w="12242" w:h="15842" w:code="1"/>
      <w:pgMar w:top="1259" w:right="1077"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21F" w:rsidRDefault="0081121F">
      <w:r>
        <w:separator/>
      </w:r>
    </w:p>
  </w:endnote>
  <w:endnote w:type="continuationSeparator" w:id="0">
    <w:p w:rsidR="0081121F" w:rsidRDefault="0081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76796"/>
      <w:docPartObj>
        <w:docPartGallery w:val="Page Numbers (Bottom of Page)"/>
        <w:docPartUnique/>
      </w:docPartObj>
    </w:sdtPr>
    <w:sdtEndPr>
      <w:rPr>
        <w:rFonts w:ascii="Times New Roman" w:hAnsi="Times New Roman" w:cs="Times New Roman"/>
        <w:noProof/>
        <w:sz w:val="23"/>
        <w:szCs w:val="23"/>
      </w:rPr>
    </w:sdtEndPr>
    <w:sdtContent>
      <w:p w:rsidR="00FB1894" w:rsidRPr="00A817B5" w:rsidRDefault="00FB1894">
        <w:pPr>
          <w:pStyle w:val="Footer"/>
          <w:jc w:val="right"/>
          <w:rPr>
            <w:rFonts w:ascii="Times New Roman" w:hAnsi="Times New Roman" w:cs="Times New Roman"/>
            <w:sz w:val="23"/>
            <w:szCs w:val="23"/>
          </w:rPr>
        </w:pPr>
        <w:r w:rsidRPr="00A817B5">
          <w:rPr>
            <w:rFonts w:ascii="Times New Roman" w:hAnsi="Times New Roman" w:cs="Times New Roman"/>
            <w:sz w:val="23"/>
            <w:szCs w:val="23"/>
          </w:rPr>
          <w:fldChar w:fldCharType="begin"/>
        </w:r>
        <w:r w:rsidRPr="00A817B5">
          <w:rPr>
            <w:rFonts w:ascii="Times New Roman" w:hAnsi="Times New Roman" w:cs="Times New Roman"/>
            <w:sz w:val="23"/>
            <w:szCs w:val="23"/>
          </w:rPr>
          <w:instrText xml:space="preserve"> PAGE   \* MERGEFORMAT </w:instrText>
        </w:r>
        <w:r w:rsidRPr="00A817B5">
          <w:rPr>
            <w:rFonts w:ascii="Times New Roman" w:hAnsi="Times New Roman" w:cs="Times New Roman"/>
            <w:sz w:val="23"/>
            <w:szCs w:val="23"/>
          </w:rPr>
          <w:fldChar w:fldCharType="separate"/>
        </w:r>
        <w:r w:rsidR="00485285">
          <w:rPr>
            <w:rFonts w:ascii="Times New Roman" w:hAnsi="Times New Roman" w:cs="Times New Roman"/>
            <w:noProof/>
            <w:sz w:val="23"/>
            <w:szCs w:val="23"/>
          </w:rPr>
          <w:t>2</w:t>
        </w:r>
        <w:r w:rsidRPr="00A817B5">
          <w:rPr>
            <w:rFonts w:ascii="Times New Roman" w:hAnsi="Times New Roman" w:cs="Times New Roman"/>
            <w:noProof/>
            <w:sz w:val="23"/>
            <w:szCs w:val="23"/>
          </w:rPr>
          <w:fldChar w:fldCharType="end"/>
        </w:r>
      </w:p>
    </w:sdtContent>
  </w:sdt>
  <w:p w:rsidR="00FB1894" w:rsidRDefault="00FB189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47084"/>
      <w:docPartObj>
        <w:docPartGallery w:val="Page Numbers (Bottom of Page)"/>
        <w:docPartUnique/>
      </w:docPartObj>
    </w:sdtPr>
    <w:sdtEndPr>
      <w:rPr>
        <w:rFonts w:ascii="Times New Roman" w:hAnsi="Times New Roman" w:cs="Times New Roman"/>
        <w:noProof/>
        <w:sz w:val="23"/>
        <w:szCs w:val="23"/>
      </w:rPr>
    </w:sdtEndPr>
    <w:sdtContent>
      <w:p w:rsidR="00FB1894" w:rsidRPr="00A817B5" w:rsidRDefault="00FB1894">
        <w:pPr>
          <w:pStyle w:val="Footer"/>
          <w:jc w:val="right"/>
          <w:rPr>
            <w:rFonts w:ascii="Times New Roman" w:hAnsi="Times New Roman" w:cs="Times New Roman"/>
            <w:sz w:val="23"/>
            <w:szCs w:val="23"/>
          </w:rPr>
        </w:pPr>
        <w:r w:rsidRPr="00A817B5">
          <w:rPr>
            <w:rFonts w:ascii="Times New Roman" w:hAnsi="Times New Roman" w:cs="Times New Roman"/>
            <w:sz w:val="23"/>
            <w:szCs w:val="23"/>
          </w:rPr>
          <w:fldChar w:fldCharType="begin"/>
        </w:r>
        <w:r w:rsidRPr="00A817B5">
          <w:rPr>
            <w:rFonts w:ascii="Times New Roman" w:hAnsi="Times New Roman" w:cs="Times New Roman"/>
            <w:sz w:val="23"/>
            <w:szCs w:val="23"/>
          </w:rPr>
          <w:instrText xml:space="preserve"> PAGE   \* MERGEFORMAT </w:instrText>
        </w:r>
        <w:r w:rsidRPr="00A817B5">
          <w:rPr>
            <w:rFonts w:ascii="Times New Roman" w:hAnsi="Times New Roman" w:cs="Times New Roman"/>
            <w:sz w:val="23"/>
            <w:szCs w:val="23"/>
          </w:rPr>
          <w:fldChar w:fldCharType="separate"/>
        </w:r>
        <w:r w:rsidR="00485285">
          <w:rPr>
            <w:rFonts w:ascii="Times New Roman" w:hAnsi="Times New Roman" w:cs="Times New Roman"/>
            <w:noProof/>
            <w:sz w:val="23"/>
            <w:szCs w:val="23"/>
          </w:rPr>
          <w:t>24</w:t>
        </w:r>
        <w:r w:rsidRPr="00A817B5">
          <w:rPr>
            <w:rFonts w:ascii="Times New Roman" w:hAnsi="Times New Roman" w:cs="Times New Roman"/>
            <w:noProof/>
            <w:sz w:val="23"/>
            <w:szCs w:val="23"/>
          </w:rPr>
          <w:fldChar w:fldCharType="end"/>
        </w:r>
      </w:p>
    </w:sdtContent>
  </w:sdt>
  <w:p w:rsidR="00FB1894" w:rsidRDefault="00FB189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21F" w:rsidRDefault="0081121F">
      <w:r>
        <w:separator/>
      </w:r>
    </w:p>
  </w:footnote>
  <w:footnote w:type="continuationSeparator" w:id="0">
    <w:p w:rsidR="0081121F" w:rsidRDefault="0081121F">
      <w:r>
        <w:continuationSeparator/>
      </w:r>
    </w:p>
  </w:footnote>
  <w:footnote w:id="1">
    <w:p w:rsidR="00FB1894" w:rsidRPr="00BA3BE4" w:rsidRDefault="00FB1894" w:rsidP="00920211">
      <w:pPr>
        <w:pStyle w:val="FootnoteText"/>
        <w:jc w:val="both"/>
        <w:rPr>
          <w:color w:val="000000" w:themeColor="text1"/>
        </w:rPr>
      </w:pPr>
      <w:r w:rsidRPr="00BA3BE4">
        <w:rPr>
          <w:rStyle w:val="FootnoteReference"/>
          <w:color w:val="000000" w:themeColor="text1"/>
        </w:rPr>
        <w:footnoteRef/>
      </w:r>
      <w:r w:rsidRPr="00BA3BE4">
        <w:rPr>
          <w:rFonts w:ascii="Times New Roman" w:hAnsi="Times New Roman" w:cs="Times New Roman"/>
          <w:color w:val="000000" w:themeColor="text1"/>
        </w:rPr>
        <w:t xml:space="preserve">EC (2003) 311, </w:t>
      </w:r>
      <w:proofErr w:type="spellStart"/>
      <w:r w:rsidRPr="00BA3BE4">
        <w:rPr>
          <w:rFonts w:ascii="Times New Roman" w:hAnsi="Times New Roman" w:cs="Times New Roman"/>
          <w:color w:val="000000" w:themeColor="text1"/>
        </w:rPr>
        <w:t>Commission</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recommendation</w:t>
      </w:r>
      <w:proofErr w:type="spellEnd"/>
      <w:r w:rsidRPr="00BA3BE4">
        <w:rPr>
          <w:rFonts w:ascii="Times New Roman" w:hAnsi="Times New Roman" w:cs="Times New Roman"/>
          <w:color w:val="000000" w:themeColor="text1"/>
        </w:rPr>
        <w:t xml:space="preserve"> on relevant product </w:t>
      </w:r>
      <w:proofErr w:type="spellStart"/>
      <w:r w:rsidRPr="00BA3BE4">
        <w:rPr>
          <w:rFonts w:ascii="Times New Roman" w:hAnsi="Times New Roman" w:cs="Times New Roman"/>
          <w:color w:val="000000" w:themeColor="text1"/>
        </w:rPr>
        <w:t>and</w:t>
      </w:r>
      <w:proofErr w:type="spellEnd"/>
      <w:r w:rsidRPr="00BA3BE4">
        <w:rPr>
          <w:rFonts w:ascii="Times New Roman" w:hAnsi="Times New Roman" w:cs="Times New Roman"/>
          <w:color w:val="000000" w:themeColor="text1"/>
        </w:rPr>
        <w:t xml:space="preserve"> service </w:t>
      </w:r>
      <w:proofErr w:type="spellStart"/>
      <w:r w:rsidRPr="00BA3BE4">
        <w:rPr>
          <w:rFonts w:ascii="Times New Roman" w:hAnsi="Times New Roman" w:cs="Times New Roman"/>
          <w:color w:val="000000" w:themeColor="text1"/>
        </w:rPr>
        <w:t>markets</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within</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the</w:t>
      </w:r>
      <w:proofErr w:type="spellEnd"/>
      <w:r w:rsidRPr="00BA3BE4">
        <w:rPr>
          <w:rFonts w:ascii="Times New Roman" w:hAnsi="Times New Roman" w:cs="Times New Roman"/>
          <w:color w:val="000000" w:themeColor="text1"/>
        </w:rPr>
        <w:t xml:space="preserve"> electronic </w:t>
      </w:r>
      <w:proofErr w:type="spellStart"/>
      <w:r w:rsidRPr="00BA3BE4">
        <w:rPr>
          <w:rFonts w:ascii="Times New Roman" w:hAnsi="Times New Roman" w:cs="Times New Roman"/>
          <w:color w:val="000000" w:themeColor="text1"/>
        </w:rPr>
        <w:t>communications</w:t>
      </w:r>
      <w:proofErr w:type="spellEnd"/>
      <w:r w:rsidRPr="00BA3BE4">
        <w:rPr>
          <w:rFonts w:ascii="Times New Roman" w:hAnsi="Times New Roman" w:cs="Times New Roman"/>
          <w:color w:val="000000" w:themeColor="text1"/>
        </w:rPr>
        <w:t xml:space="preserve"> sector </w:t>
      </w:r>
      <w:proofErr w:type="spellStart"/>
      <w:r w:rsidRPr="00BA3BE4">
        <w:rPr>
          <w:rFonts w:ascii="Times New Roman" w:hAnsi="Times New Roman" w:cs="Times New Roman"/>
          <w:color w:val="000000" w:themeColor="text1"/>
        </w:rPr>
        <w:t>susceptible</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to</w:t>
      </w:r>
      <w:proofErr w:type="spellEnd"/>
      <w:r w:rsidRPr="00BA3BE4">
        <w:rPr>
          <w:rFonts w:ascii="Times New Roman" w:hAnsi="Times New Roman" w:cs="Times New Roman"/>
          <w:color w:val="000000" w:themeColor="text1"/>
        </w:rPr>
        <w:t xml:space="preserve"> ex ante </w:t>
      </w:r>
      <w:proofErr w:type="spellStart"/>
      <w:r w:rsidRPr="00BA3BE4">
        <w:rPr>
          <w:rFonts w:ascii="Times New Roman" w:hAnsi="Times New Roman" w:cs="Times New Roman"/>
          <w:color w:val="000000" w:themeColor="text1"/>
        </w:rPr>
        <w:t>regulation</w:t>
      </w:r>
      <w:proofErr w:type="spellEnd"/>
      <w:r w:rsidRPr="00BA3BE4">
        <w:rPr>
          <w:rFonts w:ascii="Times New Roman" w:hAnsi="Times New Roman" w:cs="Times New Roman"/>
          <w:color w:val="000000" w:themeColor="text1"/>
        </w:rPr>
        <w:t xml:space="preserve"> in </w:t>
      </w:r>
      <w:proofErr w:type="spellStart"/>
      <w:r w:rsidRPr="00BA3BE4">
        <w:rPr>
          <w:rFonts w:ascii="Times New Roman" w:hAnsi="Times New Roman" w:cs="Times New Roman"/>
          <w:color w:val="000000" w:themeColor="text1"/>
        </w:rPr>
        <w:t>accordance</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with</w:t>
      </w:r>
      <w:proofErr w:type="spellEnd"/>
      <w:r w:rsidRPr="00BA3BE4">
        <w:rPr>
          <w:rFonts w:ascii="Times New Roman" w:hAnsi="Times New Roman" w:cs="Times New Roman"/>
          <w:color w:val="000000" w:themeColor="text1"/>
        </w:rPr>
        <w:t xml:space="preserve"> Directive 2002/21/EC of </w:t>
      </w:r>
      <w:proofErr w:type="spellStart"/>
      <w:r w:rsidRPr="00BA3BE4">
        <w:rPr>
          <w:rFonts w:ascii="Times New Roman" w:hAnsi="Times New Roman" w:cs="Times New Roman"/>
          <w:color w:val="000000" w:themeColor="text1"/>
        </w:rPr>
        <w:t>the</w:t>
      </w:r>
      <w:proofErr w:type="spellEnd"/>
      <w:r w:rsidRPr="00BA3BE4">
        <w:rPr>
          <w:rFonts w:ascii="Times New Roman" w:hAnsi="Times New Roman" w:cs="Times New Roman"/>
          <w:color w:val="000000" w:themeColor="text1"/>
        </w:rPr>
        <w:t xml:space="preserve"> European </w:t>
      </w:r>
      <w:proofErr w:type="spellStart"/>
      <w:r w:rsidRPr="00BA3BE4">
        <w:rPr>
          <w:rFonts w:ascii="Times New Roman" w:hAnsi="Times New Roman" w:cs="Times New Roman"/>
          <w:color w:val="000000" w:themeColor="text1"/>
        </w:rPr>
        <w:t>Parliament</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and</w:t>
      </w:r>
      <w:proofErr w:type="spellEnd"/>
      <w:r w:rsidRPr="00BA3BE4">
        <w:rPr>
          <w:rFonts w:ascii="Times New Roman" w:hAnsi="Times New Roman" w:cs="Times New Roman"/>
          <w:color w:val="000000" w:themeColor="text1"/>
        </w:rPr>
        <w:t xml:space="preserve"> of </w:t>
      </w:r>
      <w:proofErr w:type="spellStart"/>
      <w:r w:rsidRPr="00BA3BE4">
        <w:rPr>
          <w:rFonts w:ascii="Times New Roman" w:hAnsi="Times New Roman" w:cs="Times New Roman"/>
          <w:color w:val="000000" w:themeColor="text1"/>
        </w:rPr>
        <w:t>the</w:t>
      </w:r>
      <w:proofErr w:type="spellEnd"/>
      <w:r w:rsidRPr="00BA3BE4">
        <w:rPr>
          <w:rFonts w:ascii="Times New Roman" w:hAnsi="Times New Roman" w:cs="Times New Roman"/>
          <w:color w:val="000000" w:themeColor="text1"/>
        </w:rPr>
        <w:t xml:space="preserve"> Council on a </w:t>
      </w:r>
      <w:proofErr w:type="spellStart"/>
      <w:r w:rsidRPr="00BA3BE4">
        <w:rPr>
          <w:rFonts w:ascii="Times New Roman" w:hAnsi="Times New Roman" w:cs="Times New Roman"/>
          <w:color w:val="000000" w:themeColor="text1"/>
        </w:rPr>
        <w:t>common</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regulatory</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framework</w:t>
      </w:r>
      <w:proofErr w:type="spellEnd"/>
      <w:r w:rsidRPr="00BA3BE4">
        <w:rPr>
          <w:rFonts w:ascii="Times New Roman" w:hAnsi="Times New Roman" w:cs="Times New Roman"/>
          <w:color w:val="000000" w:themeColor="text1"/>
        </w:rPr>
        <w:t xml:space="preserve"> for electronic </w:t>
      </w:r>
      <w:proofErr w:type="spellStart"/>
      <w:r w:rsidRPr="00BA3BE4">
        <w:rPr>
          <w:rFonts w:ascii="Times New Roman" w:hAnsi="Times New Roman" w:cs="Times New Roman"/>
          <w:color w:val="000000" w:themeColor="text1"/>
        </w:rPr>
        <w:t>communications</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networks</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and</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services</w:t>
      </w:r>
      <w:proofErr w:type="spellEnd"/>
      <w:r w:rsidRPr="00BA3BE4">
        <w:rPr>
          <w:rFonts w:ascii="Times New Roman" w:hAnsi="Times New Roman" w:cs="Times New Roman"/>
          <w:color w:val="000000" w:themeColor="text1"/>
        </w:rPr>
        <w:t>.</w:t>
      </w:r>
    </w:p>
  </w:footnote>
  <w:footnote w:id="2">
    <w:p w:rsidR="00FB1894" w:rsidRPr="00BA3BE4" w:rsidRDefault="00FB1894" w:rsidP="00BA3714">
      <w:pPr>
        <w:pStyle w:val="FootnoteText"/>
        <w:rPr>
          <w:rFonts w:ascii="Times New Roman" w:hAnsi="Times New Roman" w:cs="Times New Roman"/>
          <w:color w:val="000000" w:themeColor="text1"/>
        </w:rPr>
      </w:pPr>
      <w:r w:rsidRPr="00BA3BE4">
        <w:rPr>
          <w:rStyle w:val="FootnoteReference"/>
          <w:rFonts w:ascii="Times New Roman" w:hAnsi="Times New Roman" w:cs="Times New Roman"/>
          <w:color w:val="000000" w:themeColor="text1"/>
        </w:rPr>
        <w:footnoteRef/>
      </w:r>
      <w:r w:rsidRPr="00BA3BE4">
        <w:rPr>
          <w:rFonts w:ascii="Times New Roman" w:hAnsi="Times New Roman" w:cs="Times New Roman"/>
          <w:color w:val="000000" w:themeColor="text1"/>
        </w:rPr>
        <w:t xml:space="preserve"> Notă explicativă la Recomandarea CE, </w:t>
      </w:r>
      <w:r w:rsidRPr="00BA3BE4">
        <w:rPr>
          <w:rFonts w:ascii="Times New Roman" w:hAnsi="Times New Roman" w:cs="Times New Roman"/>
          <w:color w:val="000000" w:themeColor="text1"/>
          <w:lang w:eastAsia="ru-RU"/>
        </w:rPr>
        <w:t>secţiunea 4.2.3 „Conexiuni dedicate şi de capacitate (linii închiriate)”.</w:t>
      </w:r>
    </w:p>
  </w:footnote>
  <w:footnote w:id="3">
    <w:p w:rsidR="00FB1894" w:rsidRPr="00BA3BE4" w:rsidRDefault="00FB1894">
      <w:pPr>
        <w:pStyle w:val="Footnote0"/>
        <w:shd w:val="clear" w:color="auto" w:fill="auto"/>
        <w:tabs>
          <w:tab w:val="left" w:pos="135"/>
        </w:tabs>
        <w:ind w:left="20" w:right="60"/>
        <w:rPr>
          <w:color w:val="000000" w:themeColor="text1"/>
        </w:rPr>
      </w:pPr>
      <w:r w:rsidRPr="00BA3BE4">
        <w:rPr>
          <w:rStyle w:val="Footnote1"/>
          <w:color w:val="000000" w:themeColor="text1"/>
          <w:vertAlign w:val="superscript"/>
        </w:rPr>
        <w:footnoteRef/>
      </w:r>
      <w:r w:rsidRPr="00BA3BE4">
        <w:rPr>
          <w:rStyle w:val="Footnote1"/>
          <w:color w:val="000000" w:themeColor="text1"/>
        </w:rPr>
        <w:tab/>
        <w:t>Pct. 44 din Regulamentul privind identificarea şi analiza pieţelor relevante din domeniul comunicaţiilor electronice şi desemnarea furnizorilor de reţele şi/sau servicii de comunicaţii electronice cu putere semnificativă pe aceste pieţe Nr. 55 din 29 decembrie 2008.</w:t>
      </w:r>
    </w:p>
  </w:footnote>
  <w:footnote w:id="4">
    <w:p w:rsidR="00FB1894" w:rsidRPr="00BA3BE4" w:rsidRDefault="00FB1894" w:rsidP="00485D09">
      <w:pPr>
        <w:pStyle w:val="FootnoteText"/>
        <w:rPr>
          <w:rFonts w:ascii="Times New Roman" w:hAnsi="Times New Roman" w:cs="Times New Roman"/>
          <w:color w:val="000000" w:themeColor="text1"/>
        </w:rPr>
      </w:pPr>
      <w:r w:rsidRPr="00BA3BE4">
        <w:rPr>
          <w:rStyle w:val="FootnoteReference"/>
          <w:rFonts w:ascii="Times New Roman" w:hAnsi="Times New Roman" w:cs="Times New Roman"/>
          <w:color w:val="000000" w:themeColor="text1"/>
        </w:rPr>
        <w:footnoteRef/>
      </w:r>
      <w:r w:rsidRPr="00BA3BE4">
        <w:rPr>
          <w:rFonts w:ascii="Times New Roman" w:hAnsi="Times New Roman" w:cs="Times New Roman"/>
          <w:color w:val="000000" w:themeColor="text1"/>
        </w:rPr>
        <w:t xml:space="preserve"> Instrucţiunile CE (2002/C 165/03), paragrafele 81-82</w:t>
      </w:r>
    </w:p>
  </w:footnote>
  <w:footnote w:id="5">
    <w:p w:rsidR="00FB1894" w:rsidRPr="001136D9" w:rsidRDefault="00FB1894" w:rsidP="001136D9">
      <w:pPr>
        <w:pStyle w:val="FootnoteText"/>
        <w:jc w:val="both"/>
        <w:rPr>
          <w:rFonts w:ascii="Times New Roman" w:hAnsi="Times New Roman" w:cs="Times New Roman"/>
          <w:color w:val="000000" w:themeColor="text1"/>
        </w:rPr>
      </w:pPr>
      <w:r w:rsidRPr="001136D9">
        <w:rPr>
          <w:rStyle w:val="FootnoteReference"/>
          <w:rFonts w:ascii="Times New Roman" w:hAnsi="Times New Roman" w:cs="Times New Roman"/>
          <w:color w:val="000000" w:themeColor="text1"/>
        </w:rPr>
        <w:footnoteRef/>
      </w:r>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Commission</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guidelines</w:t>
      </w:r>
      <w:proofErr w:type="spellEnd"/>
      <w:r w:rsidRPr="001136D9">
        <w:rPr>
          <w:rFonts w:ascii="Times New Roman" w:hAnsi="Times New Roman" w:cs="Times New Roman"/>
          <w:color w:val="000000" w:themeColor="text1"/>
        </w:rPr>
        <w:t xml:space="preserve"> on market </w:t>
      </w:r>
      <w:proofErr w:type="spellStart"/>
      <w:r w:rsidRPr="001136D9">
        <w:rPr>
          <w:rFonts w:ascii="Times New Roman" w:hAnsi="Times New Roman" w:cs="Times New Roman"/>
          <w:color w:val="000000" w:themeColor="text1"/>
        </w:rPr>
        <w:t>analysis</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and</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the</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assessment</w:t>
      </w:r>
      <w:proofErr w:type="spellEnd"/>
      <w:r w:rsidRPr="001136D9">
        <w:rPr>
          <w:rFonts w:ascii="Times New Roman" w:hAnsi="Times New Roman" w:cs="Times New Roman"/>
          <w:color w:val="000000" w:themeColor="text1"/>
        </w:rPr>
        <w:t xml:space="preserve"> of </w:t>
      </w:r>
      <w:proofErr w:type="spellStart"/>
      <w:r w:rsidRPr="001136D9">
        <w:rPr>
          <w:rFonts w:ascii="Times New Roman" w:hAnsi="Times New Roman" w:cs="Times New Roman"/>
          <w:color w:val="000000" w:themeColor="text1"/>
        </w:rPr>
        <w:t>significant</w:t>
      </w:r>
      <w:proofErr w:type="spellEnd"/>
      <w:r w:rsidRPr="001136D9">
        <w:rPr>
          <w:rFonts w:ascii="Times New Roman" w:hAnsi="Times New Roman" w:cs="Times New Roman"/>
          <w:color w:val="000000" w:themeColor="text1"/>
        </w:rPr>
        <w:t xml:space="preserve"> market </w:t>
      </w:r>
      <w:proofErr w:type="spellStart"/>
      <w:r w:rsidRPr="001136D9">
        <w:rPr>
          <w:rFonts w:ascii="Times New Roman" w:hAnsi="Times New Roman" w:cs="Times New Roman"/>
          <w:color w:val="000000" w:themeColor="text1"/>
        </w:rPr>
        <w:t>power</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under</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the</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Community</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regulatory</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framework</w:t>
      </w:r>
      <w:proofErr w:type="spellEnd"/>
      <w:r w:rsidRPr="001136D9">
        <w:rPr>
          <w:rFonts w:ascii="Times New Roman" w:hAnsi="Times New Roman" w:cs="Times New Roman"/>
          <w:color w:val="000000" w:themeColor="text1"/>
        </w:rPr>
        <w:t xml:space="preserve"> for electronic </w:t>
      </w:r>
      <w:proofErr w:type="spellStart"/>
      <w:r w:rsidRPr="001136D9">
        <w:rPr>
          <w:rFonts w:ascii="Times New Roman" w:hAnsi="Times New Roman" w:cs="Times New Roman"/>
          <w:color w:val="000000" w:themeColor="text1"/>
        </w:rPr>
        <w:t>communications</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networks</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and</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services</w:t>
      </w:r>
      <w:proofErr w:type="spellEnd"/>
      <w:r w:rsidRPr="001136D9">
        <w:rPr>
          <w:rFonts w:ascii="Times New Roman" w:hAnsi="Times New Roman" w:cs="Times New Roman"/>
          <w:color w:val="000000" w:themeColor="text1"/>
        </w:rPr>
        <w:t xml:space="preserve"> (2002/C 165/03)</w:t>
      </w:r>
    </w:p>
  </w:footnote>
  <w:footnote w:id="6">
    <w:p w:rsidR="00FB1894" w:rsidRPr="00145C1A" w:rsidRDefault="00FB1894" w:rsidP="00047108">
      <w:pPr>
        <w:widowControl/>
        <w:autoSpaceDE w:val="0"/>
        <w:autoSpaceDN w:val="0"/>
        <w:adjustRightInd w:val="0"/>
        <w:jc w:val="both"/>
      </w:pPr>
      <w:r>
        <w:rPr>
          <w:rStyle w:val="FootnoteReference"/>
        </w:rPr>
        <w:footnoteRef/>
      </w:r>
      <w:r>
        <w:t xml:space="preserve"> </w:t>
      </w:r>
      <w:proofErr w:type="spellStart"/>
      <w:r w:rsidRPr="00047108">
        <w:rPr>
          <w:rFonts w:ascii="Times New Roman" w:hAnsi="Times New Roman" w:cs="Times New Roman"/>
          <w:sz w:val="20"/>
          <w:szCs w:val="20"/>
        </w:rPr>
        <w:t>Explanatory</w:t>
      </w:r>
      <w:proofErr w:type="spellEnd"/>
      <w:r w:rsidRPr="00047108">
        <w:rPr>
          <w:rFonts w:ascii="Times New Roman" w:hAnsi="Times New Roman" w:cs="Times New Roman"/>
          <w:sz w:val="20"/>
          <w:szCs w:val="20"/>
        </w:rPr>
        <w:t xml:space="preserve"> note </w:t>
      </w:r>
      <w:proofErr w:type="spellStart"/>
      <w:r w:rsidRPr="00047108">
        <w:rPr>
          <w:rFonts w:ascii="Times New Roman" w:hAnsi="Times New Roman" w:cs="Times New Roman"/>
          <w:sz w:val="20"/>
          <w:szCs w:val="20"/>
        </w:rPr>
        <w:t>to</w:t>
      </w:r>
      <w:proofErr w:type="spellEnd"/>
      <w:r w:rsidRPr="00047108">
        <w:rPr>
          <w:rFonts w:ascii="Times New Roman" w:hAnsi="Times New Roman" w:cs="Times New Roman"/>
          <w:sz w:val="20"/>
          <w:szCs w:val="20"/>
        </w:rPr>
        <w:t xml:space="preserve"> </w:t>
      </w:r>
      <w:proofErr w:type="spellStart"/>
      <w:r w:rsidRPr="00047108">
        <w:rPr>
          <w:rFonts w:ascii="Times New Roman" w:hAnsi="Times New Roman" w:cs="Times New Roman"/>
          <w:sz w:val="20"/>
          <w:szCs w:val="20"/>
        </w:rPr>
        <w:t>the</w:t>
      </w:r>
      <w:proofErr w:type="spellEnd"/>
      <w:r w:rsidRPr="00047108">
        <w:rPr>
          <w:rFonts w:ascii="Times New Roman" w:hAnsi="Times New Roman" w:cs="Times New Roman"/>
          <w:sz w:val="20"/>
          <w:szCs w:val="20"/>
        </w:rPr>
        <w:t xml:space="preserve"> </w:t>
      </w:r>
      <w:r w:rsidRPr="00047108">
        <w:rPr>
          <w:rFonts w:ascii="Times New Roman" w:hAnsi="Times New Roman" w:cs="Times New Roman"/>
          <w:bCs/>
          <w:color w:val="auto"/>
          <w:sz w:val="20"/>
          <w:szCs w:val="20"/>
          <w:lang w:val="en-US"/>
        </w:rPr>
        <w:t>Commission Recommendation on Relevant Product and Service Markets within the electronic communications sector susceptible to ex ante regulation in accordance with Directive 2002/21/EC of the European Parliament and of the Council on a common</w:t>
      </w:r>
      <w:r>
        <w:rPr>
          <w:rFonts w:ascii="Times New Roman" w:hAnsi="Times New Roman" w:cs="Times New Roman"/>
          <w:bCs/>
          <w:color w:val="auto"/>
          <w:sz w:val="20"/>
          <w:szCs w:val="20"/>
          <w:lang w:val="en-US"/>
        </w:rPr>
        <w:t xml:space="preserve"> </w:t>
      </w:r>
      <w:r w:rsidRPr="00047108">
        <w:rPr>
          <w:rFonts w:ascii="Times New Roman" w:hAnsi="Times New Roman" w:cs="Times New Roman"/>
          <w:bCs/>
          <w:color w:val="auto"/>
          <w:sz w:val="20"/>
          <w:szCs w:val="20"/>
          <w:lang w:val="en-US"/>
        </w:rPr>
        <w:t>regulatory framework for electronic communications networks and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94" w:rsidRDefault="00FB1894">
    <w:pPr>
      <w:rPr>
        <w:sz w:val="2"/>
        <w:szCs w:val="2"/>
      </w:rPr>
    </w:pPr>
    <w:r>
      <w:rPr>
        <w:noProof/>
        <w:lang w:val="en-US"/>
      </w:rPr>
      <mc:AlternateContent>
        <mc:Choice Requires="wps">
          <w:drawing>
            <wp:anchor distT="0" distB="0" distL="63500" distR="63500" simplePos="0" relativeHeight="251658240" behindDoc="1" locked="0" layoutInCell="1" allowOverlap="1" wp14:anchorId="378F061B" wp14:editId="04EA04D1">
              <wp:simplePos x="0" y="0"/>
              <wp:positionH relativeFrom="page">
                <wp:posOffset>1114425</wp:posOffset>
              </wp:positionH>
              <wp:positionV relativeFrom="page">
                <wp:posOffset>276225</wp:posOffset>
              </wp:positionV>
              <wp:extent cx="5362575" cy="2190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94" w:rsidRPr="008D5BD2" w:rsidRDefault="00FB1894">
                          <w:pPr>
                            <w:pStyle w:val="Headerorfooter0"/>
                            <w:shd w:val="clear" w:color="auto" w:fill="auto"/>
                            <w:spacing w:line="240" w:lineRule="auto"/>
                            <w:rPr>
                              <w:color w:val="003366"/>
                              <w:sz w:val="16"/>
                              <w:szCs w:val="16"/>
                            </w:rPr>
                          </w:pPr>
                          <w:r w:rsidRPr="008D5BD2">
                            <w:rPr>
                              <w:rStyle w:val="Headerorfooter1"/>
                              <w:b/>
                              <w:bCs/>
                              <w:color w:val="003366"/>
                              <w:sz w:val="16"/>
                              <w:szCs w:val="16"/>
                            </w:rPr>
                            <w:t>Agenţia Naţională pentru Reglementare în Comunicaţii Electronice şi Tehnologia Informaţiei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75pt;margin-top:21.75pt;width:422.25pt;height:17.2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ObrA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" filled="f" stroked="f">
              <v:textbox inset="0,0,0,0">
                <w:txbxContent>
                  <w:p w:rsidR="00FB1894" w:rsidRPr="008D5BD2" w:rsidRDefault="00FB1894">
                    <w:pPr>
                      <w:pStyle w:val="Headerorfooter0"/>
                      <w:shd w:val="clear" w:color="auto" w:fill="auto"/>
                      <w:spacing w:line="240" w:lineRule="auto"/>
                      <w:rPr>
                        <w:color w:val="003366"/>
                        <w:sz w:val="16"/>
                        <w:szCs w:val="16"/>
                      </w:rPr>
                    </w:pPr>
                    <w:r w:rsidRPr="008D5BD2">
                      <w:rPr>
                        <w:rStyle w:val="Headerorfooter1"/>
                        <w:b/>
                        <w:bCs/>
                        <w:color w:val="003366"/>
                        <w:sz w:val="16"/>
                        <w:szCs w:val="16"/>
                      </w:rPr>
                      <w:t>Agenţia Naţională pentru Reglementare în Comunicaţii Electronice şi Tehnologia Informaţiei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308"/>
    <w:multiLevelType w:val="hybridMultilevel"/>
    <w:tmpl w:val="14AA06D4"/>
    <w:lvl w:ilvl="0" w:tplc="7748928C">
      <w:numFmt w:val="bullet"/>
      <w:lvlText w:val="-"/>
      <w:lvlJc w:val="left"/>
      <w:pPr>
        <w:ind w:left="1100" w:hanging="360"/>
      </w:pPr>
      <w:rPr>
        <w:rFonts w:ascii="Times New Roman" w:eastAsia="Times New Roman" w:hAnsi="Times New Roman" w:cs="Times New Roman" w:hint="default"/>
        <w:b/>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nsid w:val="03D40007"/>
    <w:multiLevelType w:val="hybridMultilevel"/>
    <w:tmpl w:val="7F569A0A"/>
    <w:lvl w:ilvl="0" w:tplc="0A56D368">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44B60D3"/>
    <w:multiLevelType w:val="hybridMultilevel"/>
    <w:tmpl w:val="91BC7018"/>
    <w:lvl w:ilvl="0" w:tplc="FFFFFFFF">
      <w:numFmt w:val="decimal"/>
      <w:lvlText w:val=""/>
      <w:lvlJc w:val="left"/>
      <w:pPr>
        <w:ind w:left="1460" w:hanging="360"/>
      </w:pPr>
    </w:lvl>
    <w:lvl w:ilvl="1" w:tplc="04180019" w:tentative="1">
      <w:start w:val="1"/>
      <w:numFmt w:val="lowerLetter"/>
      <w:lvlText w:val="%2."/>
      <w:lvlJc w:val="left"/>
      <w:pPr>
        <w:ind w:left="2180" w:hanging="360"/>
      </w:pPr>
    </w:lvl>
    <w:lvl w:ilvl="2" w:tplc="0418001B" w:tentative="1">
      <w:start w:val="1"/>
      <w:numFmt w:val="lowerRoman"/>
      <w:lvlText w:val="%3."/>
      <w:lvlJc w:val="right"/>
      <w:pPr>
        <w:ind w:left="2900" w:hanging="180"/>
      </w:pPr>
    </w:lvl>
    <w:lvl w:ilvl="3" w:tplc="0418000F" w:tentative="1">
      <w:start w:val="1"/>
      <w:numFmt w:val="decimal"/>
      <w:lvlText w:val="%4."/>
      <w:lvlJc w:val="left"/>
      <w:pPr>
        <w:ind w:left="3620" w:hanging="360"/>
      </w:pPr>
    </w:lvl>
    <w:lvl w:ilvl="4" w:tplc="04180019" w:tentative="1">
      <w:start w:val="1"/>
      <w:numFmt w:val="lowerLetter"/>
      <w:lvlText w:val="%5."/>
      <w:lvlJc w:val="left"/>
      <w:pPr>
        <w:ind w:left="4340" w:hanging="360"/>
      </w:pPr>
    </w:lvl>
    <w:lvl w:ilvl="5" w:tplc="0418001B" w:tentative="1">
      <w:start w:val="1"/>
      <w:numFmt w:val="lowerRoman"/>
      <w:lvlText w:val="%6."/>
      <w:lvlJc w:val="right"/>
      <w:pPr>
        <w:ind w:left="5060" w:hanging="180"/>
      </w:pPr>
    </w:lvl>
    <w:lvl w:ilvl="6" w:tplc="0418000F" w:tentative="1">
      <w:start w:val="1"/>
      <w:numFmt w:val="decimal"/>
      <w:lvlText w:val="%7."/>
      <w:lvlJc w:val="left"/>
      <w:pPr>
        <w:ind w:left="5780" w:hanging="360"/>
      </w:pPr>
    </w:lvl>
    <w:lvl w:ilvl="7" w:tplc="04180019" w:tentative="1">
      <w:start w:val="1"/>
      <w:numFmt w:val="lowerLetter"/>
      <w:lvlText w:val="%8."/>
      <w:lvlJc w:val="left"/>
      <w:pPr>
        <w:ind w:left="6500" w:hanging="360"/>
      </w:pPr>
    </w:lvl>
    <w:lvl w:ilvl="8" w:tplc="0418001B" w:tentative="1">
      <w:start w:val="1"/>
      <w:numFmt w:val="lowerRoman"/>
      <w:lvlText w:val="%9."/>
      <w:lvlJc w:val="right"/>
      <w:pPr>
        <w:ind w:left="7220" w:hanging="180"/>
      </w:pPr>
    </w:lvl>
  </w:abstractNum>
  <w:abstractNum w:abstractNumId="3">
    <w:nsid w:val="05B65253"/>
    <w:multiLevelType w:val="multilevel"/>
    <w:tmpl w:val="D89C59A8"/>
    <w:lvl w:ilvl="0">
      <w:start w:val="1"/>
      <w:numFmt w:val="lowerLetter"/>
      <w:lvlText w:val="%1)"/>
      <w:lvlJc w:val="left"/>
      <w:rPr>
        <w:rFonts w:ascii="Times New Roman" w:eastAsia="Times New Roman" w:hAnsi="Times New Roman" w:cs="Times New Roman"/>
        <w:b/>
        <w:bCs w:val="0"/>
        <w:i w:val="0"/>
        <w:iCs w:val="0"/>
        <w:smallCaps w:val="0"/>
        <w:strike w:val="0"/>
        <w:color w:val="000000" w:themeColor="text1"/>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800EB"/>
    <w:multiLevelType w:val="hybridMultilevel"/>
    <w:tmpl w:val="F16668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EE2288F"/>
    <w:multiLevelType w:val="multilevel"/>
    <w:tmpl w:val="CF2E9C06"/>
    <w:lvl w:ilvl="0">
      <w:start w:val="1"/>
      <w:numFmt w:val="decimal"/>
      <w:lvlText w:val="%1."/>
      <w:lvlJc w:val="left"/>
      <w:rPr>
        <w:rFonts w:hint="default"/>
        <w:b/>
        <w:bCs w:val="0"/>
        <w:i w:val="0"/>
        <w:iCs w:val="0"/>
        <w:smallCaps w:val="0"/>
        <w:strike w:val="0"/>
        <w:color w:val="365F91" w:themeColor="accent1" w:themeShade="BF"/>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147054"/>
    <w:multiLevelType w:val="multilevel"/>
    <w:tmpl w:val="039A97E6"/>
    <w:lvl w:ilvl="0">
      <w:start w:val="1"/>
      <w:numFmt w:val="decimal"/>
      <w:lvlText w:val="3.2.%1"/>
      <w:lvlJc w:val="left"/>
      <w:rPr>
        <w:rFonts w:ascii="Times New Roman" w:eastAsia="Times New Roman" w:hAnsi="Times New Roman" w:cs="Times New Roman"/>
        <w:b/>
        <w:bCs/>
        <w:i w:val="0"/>
        <w:iCs w:val="0"/>
        <w:smallCaps w:val="0"/>
        <w:strike w:val="0"/>
        <w:color w:val="000000" w:themeColor="text1"/>
        <w:spacing w:val="0"/>
        <w:w w:val="100"/>
        <w:position w:val="0"/>
        <w:sz w:val="28"/>
        <w:szCs w:val="28"/>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75A7A"/>
    <w:multiLevelType w:val="hybridMultilevel"/>
    <w:tmpl w:val="715AF8BA"/>
    <w:lvl w:ilvl="0" w:tplc="C04E054A">
      <w:start w:val="1"/>
      <w:numFmt w:val="bullet"/>
      <w:lvlText w:val=""/>
      <w:lvlJc w:val="left"/>
      <w:pPr>
        <w:tabs>
          <w:tab w:val="num" w:pos="720"/>
        </w:tabs>
        <w:ind w:left="720" w:hanging="360"/>
      </w:pPr>
      <w:rPr>
        <w:rFonts w:ascii="Wingdings" w:hAnsi="Wingdings" w:hint="default"/>
      </w:rPr>
    </w:lvl>
    <w:lvl w:ilvl="1" w:tplc="29564EC4">
      <w:start w:val="1"/>
      <w:numFmt w:val="bullet"/>
      <w:lvlText w:val=""/>
      <w:lvlJc w:val="left"/>
      <w:pPr>
        <w:tabs>
          <w:tab w:val="num" w:pos="1440"/>
        </w:tabs>
        <w:ind w:left="1440" w:hanging="360"/>
      </w:pPr>
      <w:rPr>
        <w:rFonts w:ascii="Wingdings" w:hAnsi="Wingdings" w:hint="default"/>
      </w:rPr>
    </w:lvl>
    <w:lvl w:ilvl="2" w:tplc="16143AA2" w:tentative="1">
      <w:start w:val="1"/>
      <w:numFmt w:val="bullet"/>
      <w:lvlText w:val=""/>
      <w:lvlJc w:val="left"/>
      <w:pPr>
        <w:tabs>
          <w:tab w:val="num" w:pos="2160"/>
        </w:tabs>
        <w:ind w:left="2160" w:hanging="360"/>
      </w:pPr>
      <w:rPr>
        <w:rFonts w:ascii="Wingdings" w:hAnsi="Wingdings" w:hint="default"/>
      </w:rPr>
    </w:lvl>
    <w:lvl w:ilvl="3" w:tplc="BEE6FF1C">
      <w:start w:val="1"/>
      <w:numFmt w:val="bullet"/>
      <w:lvlText w:val=""/>
      <w:lvlJc w:val="left"/>
      <w:pPr>
        <w:tabs>
          <w:tab w:val="num" w:pos="2880"/>
        </w:tabs>
        <w:ind w:left="2880" w:hanging="360"/>
      </w:pPr>
      <w:rPr>
        <w:rFonts w:ascii="Wingdings" w:hAnsi="Wingdings" w:hint="default"/>
      </w:rPr>
    </w:lvl>
    <w:lvl w:ilvl="4" w:tplc="69CC492A" w:tentative="1">
      <w:start w:val="1"/>
      <w:numFmt w:val="bullet"/>
      <w:lvlText w:val=""/>
      <w:lvlJc w:val="left"/>
      <w:pPr>
        <w:tabs>
          <w:tab w:val="num" w:pos="3600"/>
        </w:tabs>
        <w:ind w:left="3600" w:hanging="360"/>
      </w:pPr>
      <w:rPr>
        <w:rFonts w:ascii="Wingdings" w:hAnsi="Wingdings" w:hint="default"/>
      </w:rPr>
    </w:lvl>
    <w:lvl w:ilvl="5" w:tplc="64822DFE" w:tentative="1">
      <w:start w:val="1"/>
      <w:numFmt w:val="bullet"/>
      <w:lvlText w:val=""/>
      <w:lvlJc w:val="left"/>
      <w:pPr>
        <w:tabs>
          <w:tab w:val="num" w:pos="4320"/>
        </w:tabs>
        <w:ind w:left="4320" w:hanging="360"/>
      </w:pPr>
      <w:rPr>
        <w:rFonts w:ascii="Wingdings" w:hAnsi="Wingdings" w:hint="default"/>
      </w:rPr>
    </w:lvl>
    <w:lvl w:ilvl="6" w:tplc="BA7EF288" w:tentative="1">
      <w:start w:val="1"/>
      <w:numFmt w:val="bullet"/>
      <w:lvlText w:val=""/>
      <w:lvlJc w:val="left"/>
      <w:pPr>
        <w:tabs>
          <w:tab w:val="num" w:pos="5040"/>
        </w:tabs>
        <w:ind w:left="5040" w:hanging="360"/>
      </w:pPr>
      <w:rPr>
        <w:rFonts w:ascii="Wingdings" w:hAnsi="Wingdings" w:hint="default"/>
      </w:rPr>
    </w:lvl>
    <w:lvl w:ilvl="7" w:tplc="EEB683F4" w:tentative="1">
      <w:start w:val="1"/>
      <w:numFmt w:val="bullet"/>
      <w:lvlText w:val=""/>
      <w:lvlJc w:val="left"/>
      <w:pPr>
        <w:tabs>
          <w:tab w:val="num" w:pos="5760"/>
        </w:tabs>
        <w:ind w:left="5760" w:hanging="360"/>
      </w:pPr>
      <w:rPr>
        <w:rFonts w:ascii="Wingdings" w:hAnsi="Wingdings" w:hint="default"/>
      </w:rPr>
    </w:lvl>
    <w:lvl w:ilvl="8" w:tplc="D09ED82A" w:tentative="1">
      <w:start w:val="1"/>
      <w:numFmt w:val="bullet"/>
      <w:lvlText w:val=""/>
      <w:lvlJc w:val="left"/>
      <w:pPr>
        <w:tabs>
          <w:tab w:val="num" w:pos="6480"/>
        </w:tabs>
        <w:ind w:left="6480" w:hanging="360"/>
      </w:pPr>
      <w:rPr>
        <w:rFonts w:ascii="Wingdings" w:hAnsi="Wingdings" w:hint="default"/>
      </w:rPr>
    </w:lvl>
  </w:abstractNum>
  <w:abstractNum w:abstractNumId="8">
    <w:nsid w:val="15341017"/>
    <w:multiLevelType w:val="hybridMultilevel"/>
    <w:tmpl w:val="791C9EC2"/>
    <w:lvl w:ilvl="0" w:tplc="0A56D36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623684A"/>
    <w:multiLevelType w:val="multilevel"/>
    <w:tmpl w:val="7046C1D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7407D0"/>
    <w:multiLevelType w:val="hybridMultilevel"/>
    <w:tmpl w:val="B130E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A86E75"/>
    <w:multiLevelType w:val="hybridMultilevel"/>
    <w:tmpl w:val="5320811E"/>
    <w:lvl w:ilvl="0" w:tplc="040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AC1D96"/>
    <w:multiLevelType w:val="hybridMultilevel"/>
    <w:tmpl w:val="95382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3F7870"/>
    <w:multiLevelType w:val="hybridMultilevel"/>
    <w:tmpl w:val="BBA8AC3A"/>
    <w:lvl w:ilvl="0" w:tplc="D2A0E7BE">
      <w:start w:val="1"/>
      <w:numFmt w:val="bullet"/>
      <w:lvlText w:val=""/>
      <w:lvlJc w:val="left"/>
      <w:pPr>
        <w:ind w:left="720"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6D05AF"/>
    <w:multiLevelType w:val="multilevel"/>
    <w:tmpl w:val="82F21848"/>
    <w:lvl w:ilvl="0">
      <w:start w:val="1"/>
      <w:numFmt w:val="decimal"/>
      <w:lvlText w:val="%1."/>
      <w:lvlJc w:val="left"/>
      <w:rPr>
        <w:b/>
        <w:bCs w:val="0"/>
        <w:i w:val="0"/>
        <w:iCs w:val="0"/>
        <w:smallCaps w:val="0"/>
        <w:strike w:val="0"/>
        <w:color w:val="000000" w:themeColor="text1"/>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326520"/>
    <w:multiLevelType w:val="hybridMultilevel"/>
    <w:tmpl w:val="A384961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6">
    <w:nsid w:val="21A56C87"/>
    <w:multiLevelType w:val="hybridMultilevel"/>
    <w:tmpl w:val="A2EA7D3A"/>
    <w:lvl w:ilvl="0" w:tplc="DEAC09AA">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4BE4F13"/>
    <w:multiLevelType w:val="multilevel"/>
    <w:tmpl w:val="9670AED0"/>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7B77DC"/>
    <w:multiLevelType w:val="hybridMultilevel"/>
    <w:tmpl w:val="F2A6796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76E6A62"/>
    <w:multiLevelType w:val="hybridMultilevel"/>
    <w:tmpl w:val="18E2DC06"/>
    <w:lvl w:ilvl="0" w:tplc="044881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8F1F9D"/>
    <w:multiLevelType w:val="singleLevel"/>
    <w:tmpl w:val="1EDAFDD4"/>
    <w:lvl w:ilvl="0">
      <w:start w:val="1"/>
      <w:numFmt w:val="bullet"/>
      <w:pStyle w:val="BulletedList"/>
      <w:lvlText w:val=""/>
      <w:lvlJc w:val="left"/>
      <w:pPr>
        <w:tabs>
          <w:tab w:val="num" w:pos="403"/>
        </w:tabs>
        <w:ind w:left="403" w:hanging="403"/>
      </w:pPr>
      <w:rPr>
        <w:rFonts w:ascii="Symbol" w:hAnsi="Symbol" w:hint="default"/>
        <w:sz w:val="22"/>
      </w:rPr>
    </w:lvl>
  </w:abstractNum>
  <w:abstractNum w:abstractNumId="21">
    <w:nsid w:val="2BB73E6E"/>
    <w:multiLevelType w:val="hybridMultilevel"/>
    <w:tmpl w:val="28943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4F1070"/>
    <w:multiLevelType w:val="hybridMultilevel"/>
    <w:tmpl w:val="79286CE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F674367"/>
    <w:multiLevelType w:val="hybridMultilevel"/>
    <w:tmpl w:val="16F057FC"/>
    <w:lvl w:ilvl="0" w:tplc="C8C01624">
      <w:numFmt w:val="decimal"/>
      <w:lvlText w:val="3.%1"/>
      <w:lvlJc w:val="left"/>
      <w:pPr>
        <w:ind w:left="720" w:hanging="360"/>
      </w:pPr>
      <w:rPr>
        <w:rFonts w:hint="default"/>
        <w:caps/>
        <w:strike w:val="0"/>
        <w:dstrike w:val="0"/>
        <w:vanish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04A3830"/>
    <w:multiLevelType w:val="hybridMultilevel"/>
    <w:tmpl w:val="7B6C3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0817702"/>
    <w:multiLevelType w:val="hybridMultilevel"/>
    <w:tmpl w:val="D75EC704"/>
    <w:lvl w:ilvl="0" w:tplc="0418000F">
      <w:start w:val="1"/>
      <w:numFmt w:val="decimal"/>
      <w:lvlText w:val="%1."/>
      <w:lvlJc w:val="left"/>
      <w:pPr>
        <w:ind w:left="740" w:hanging="360"/>
      </w:pPr>
    </w:lvl>
    <w:lvl w:ilvl="1" w:tplc="04180019" w:tentative="1">
      <w:start w:val="1"/>
      <w:numFmt w:val="lowerLetter"/>
      <w:lvlText w:val="%2."/>
      <w:lvlJc w:val="left"/>
      <w:pPr>
        <w:ind w:left="1460" w:hanging="360"/>
      </w:pPr>
    </w:lvl>
    <w:lvl w:ilvl="2" w:tplc="0418001B" w:tentative="1">
      <w:start w:val="1"/>
      <w:numFmt w:val="lowerRoman"/>
      <w:lvlText w:val="%3."/>
      <w:lvlJc w:val="right"/>
      <w:pPr>
        <w:ind w:left="2180" w:hanging="180"/>
      </w:pPr>
    </w:lvl>
    <w:lvl w:ilvl="3" w:tplc="0418000F" w:tentative="1">
      <w:start w:val="1"/>
      <w:numFmt w:val="decimal"/>
      <w:lvlText w:val="%4."/>
      <w:lvlJc w:val="left"/>
      <w:pPr>
        <w:ind w:left="2900" w:hanging="360"/>
      </w:pPr>
    </w:lvl>
    <w:lvl w:ilvl="4" w:tplc="04180019" w:tentative="1">
      <w:start w:val="1"/>
      <w:numFmt w:val="lowerLetter"/>
      <w:lvlText w:val="%5."/>
      <w:lvlJc w:val="left"/>
      <w:pPr>
        <w:ind w:left="3620" w:hanging="360"/>
      </w:pPr>
    </w:lvl>
    <w:lvl w:ilvl="5" w:tplc="0418001B" w:tentative="1">
      <w:start w:val="1"/>
      <w:numFmt w:val="lowerRoman"/>
      <w:lvlText w:val="%6."/>
      <w:lvlJc w:val="right"/>
      <w:pPr>
        <w:ind w:left="4340" w:hanging="180"/>
      </w:pPr>
    </w:lvl>
    <w:lvl w:ilvl="6" w:tplc="0418000F" w:tentative="1">
      <w:start w:val="1"/>
      <w:numFmt w:val="decimal"/>
      <w:lvlText w:val="%7."/>
      <w:lvlJc w:val="left"/>
      <w:pPr>
        <w:ind w:left="5060" w:hanging="360"/>
      </w:pPr>
    </w:lvl>
    <w:lvl w:ilvl="7" w:tplc="04180019" w:tentative="1">
      <w:start w:val="1"/>
      <w:numFmt w:val="lowerLetter"/>
      <w:lvlText w:val="%8."/>
      <w:lvlJc w:val="left"/>
      <w:pPr>
        <w:ind w:left="5780" w:hanging="360"/>
      </w:pPr>
    </w:lvl>
    <w:lvl w:ilvl="8" w:tplc="0418001B" w:tentative="1">
      <w:start w:val="1"/>
      <w:numFmt w:val="lowerRoman"/>
      <w:lvlText w:val="%9."/>
      <w:lvlJc w:val="right"/>
      <w:pPr>
        <w:ind w:left="6500" w:hanging="180"/>
      </w:pPr>
    </w:lvl>
  </w:abstractNum>
  <w:abstractNum w:abstractNumId="26">
    <w:nsid w:val="31A37414"/>
    <w:multiLevelType w:val="multilevel"/>
    <w:tmpl w:val="CF72EF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694E8C"/>
    <w:multiLevelType w:val="multilevel"/>
    <w:tmpl w:val="55482574"/>
    <w:lvl w:ilvl="0">
      <w:start w:val="1"/>
      <w:numFmt w:val="decimal"/>
      <w:lvlText w:val="3.%1"/>
      <w:lvlJc w:val="left"/>
      <w:rPr>
        <w:rFonts w:ascii="Times New Roman" w:eastAsia="Times New Roman" w:hAnsi="Times New Roman" w:cs="Times New Roman"/>
        <w:b/>
        <w:bCs/>
        <w:i w:val="0"/>
        <w:iCs w:val="0"/>
        <w:smallCaps w:val="0"/>
        <w:strike w:val="0"/>
        <w:color w:val="000000" w:themeColor="text1"/>
        <w:spacing w:val="0"/>
        <w:w w:val="100"/>
        <w:position w:val="0"/>
        <w:sz w:val="28"/>
        <w:szCs w:val="28"/>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E6056F"/>
    <w:multiLevelType w:val="hybridMultilevel"/>
    <w:tmpl w:val="2B00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C90095"/>
    <w:multiLevelType w:val="multilevel"/>
    <w:tmpl w:val="10501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B55CEE"/>
    <w:multiLevelType w:val="hybridMultilevel"/>
    <w:tmpl w:val="D26402D8"/>
    <w:lvl w:ilvl="0" w:tplc="29C6DB7C">
      <w:start w:val="1"/>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FC6458"/>
    <w:multiLevelType w:val="multilevel"/>
    <w:tmpl w:val="9D5688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F4005C"/>
    <w:multiLevelType w:val="multilevel"/>
    <w:tmpl w:val="1660B0FC"/>
    <w:lvl w:ilvl="0">
      <w:start w:val="1"/>
      <w:numFmt w:val="decimal"/>
      <w:lvlText w:val="%1."/>
      <w:lvlJc w:val="left"/>
      <w:rPr>
        <w:rFonts w:ascii="Times New Roman" w:eastAsia="Times New Roman" w:hAnsi="Times New Roman" w:cs="Times New Roman"/>
        <w:b/>
        <w:bCs w:val="0"/>
        <w:i w:val="0"/>
        <w:iCs w:val="0"/>
        <w:smallCaps w:val="0"/>
        <w:strike w:val="0"/>
        <w:color w:val="003366"/>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A0C1642"/>
    <w:multiLevelType w:val="hybridMultilevel"/>
    <w:tmpl w:val="A2E47610"/>
    <w:lvl w:ilvl="0" w:tplc="9E2CA1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3AFC129D"/>
    <w:multiLevelType w:val="hybridMultilevel"/>
    <w:tmpl w:val="728CEBAE"/>
    <w:lvl w:ilvl="0" w:tplc="0A56D36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3BF32C1D"/>
    <w:multiLevelType w:val="hybridMultilevel"/>
    <w:tmpl w:val="0A84A5B4"/>
    <w:lvl w:ilvl="0" w:tplc="C8C01624">
      <w:numFmt w:val="decimal"/>
      <w:lvlText w:val="3.%1"/>
      <w:lvlJc w:val="left"/>
      <w:pPr>
        <w:ind w:left="720" w:hanging="360"/>
      </w:pPr>
      <w:rPr>
        <w:rFonts w:hint="default"/>
        <w:caps/>
        <w:strike w:val="0"/>
        <w:dstrike w:val="0"/>
        <w:vanish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3D650465"/>
    <w:multiLevelType w:val="multilevel"/>
    <w:tmpl w:val="ADA06EBA"/>
    <w:lvl w:ilvl="0">
      <w:start w:val="1"/>
      <w:numFmt w:val="decimal"/>
      <w:lvlText w:val="%1."/>
      <w:lvlJc w:val="left"/>
      <w:rPr>
        <w:rFonts w:ascii="Times New Roman" w:eastAsia="Times New Roman" w:hAnsi="Times New Roman" w:cs="Times New Roman"/>
        <w:b/>
        <w:bCs w:val="0"/>
        <w:i w:val="0"/>
        <w:iCs w:val="0"/>
        <w:smallCaps w:val="0"/>
        <w:strike w:val="0"/>
        <w:color w:val="365F91" w:themeColor="accent1" w:themeShade="BF"/>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E865D87"/>
    <w:multiLevelType w:val="multilevel"/>
    <w:tmpl w:val="CD0A754E"/>
    <w:lvl w:ilvl="0">
      <w:start w:val="4"/>
      <w:numFmt w:val="decimal"/>
      <w:lvlText w:val="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42882663"/>
    <w:multiLevelType w:val="multilevel"/>
    <w:tmpl w:val="5948830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3366"/>
        <w:spacing w:val="0"/>
        <w:w w:val="100"/>
        <w:position w:val="0"/>
        <w:sz w:val="28"/>
        <w:szCs w:val="28"/>
        <w:u w:val="none"/>
        <w:lang w:val="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42F45B03"/>
    <w:multiLevelType w:val="hybridMultilevel"/>
    <w:tmpl w:val="9A42849E"/>
    <w:lvl w:ilvl="0" w:tplc="C77C7E9C">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437060CD"/>
    <w:multiLevelType w:val="hybridMultilevel"/>
    <w:tmpl w:val="872049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46C22F4"/>
    <w:multiLevelType w:val="hybridMultilevel"/>
    <w:tmpl w:val="2E5E517A"/>
    <w:lvl w:ilvl="0" w:tplc="7748928C">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50F254A"/>
    <w:multiLevelType w:val="hybridMultilevel"/>
    <w:tmpl w:val="644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5925A6"/>
    <w:multiLevelType w:val="multilevel"/>
    <w:tmpl w:val="FD8CA1CC"/>
    <w:lvl w:ilvl="0">
      <w:start w:val="3"/>
      <w:numFmt w:val="decimal"/>
      <w:lvlText w:val="%1."/>
      <w:lvlJc w:val="left"/>
      <w:pPr>
        <w:ind w:left="0" w:firstLine="0"/>
      </w:pPr>
      <w:rPr>
        <w:rFonts w:ascii="Times New Roman" w:eastAsia="Times New Roman" w:hAnsi="Times New Roman" w:cs="Times New Roman" w:hint="default"/>
        <w:b/>
        <w:bCs w:val="0"/>
        <w:i w:val="0"/>
        <w:iCs w:val="0"/>
        <w:smallCaps w:val="0"/>
        <w:strike w:val="0"/>
        <w:color w:val="003366"/>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475960EC"/>
    <w:multiLevelType w:val="hybridMultilevel"/>
    <w:tmpl w:val="69D6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E11A8A"/>
    <w:multiLevelType w:val="multilevel"/>
    <w:tmpl w:val="94E6D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9423610"/>
    <w:multiLevelType w:val="multilevel"/>
    <w:tmpl w:val="14B01F78"/>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4A0A1C28"/>
    <w:multiLevelType w:val="multilevel"/>
    <w:tmpl w:val="710E8E7C"/>
    <w:lvl w:ilvl="0">
      <w:start w:val="1"/>
      <w:numFmt w:val="bullet"/>
      <w:lvlText w:val=""/>
      <w:lvlJc w:val="left"/>
      <w:rPr>
        <w:rFonts w:ascii="Wingdings" w:hAnsi="Wingdings" w:hint="default"/>
        <w:b/>
        <w:bCs w:val="0"/>
        <w:i w:val="0"/>
        <w:iCs w:val="0"/>
        <w:smallCaps w:val="0"/>
        <w:strike w:val="0"/>
        <w:color w:val="003366"/>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B1E0E02"/>
    <w:multiLevelType w:val="hybridMultilevel"/>
    <w:tmpl w:val="0B4CBA68"/>
    <w:lvl w:ilvl="0" w:tplc="0418000F">
      <w:start w:val="1"/>
      <w:numFmt w:val="decimal"/>
      <w:lvlText w:val="%1."/>
      <w:lvlJc w:val="left"/>
      <w:pPr>
        <w:ind w:left="740" w:hanging="360"/>
      </w:pPr>
    </w:lvl>
    <w:lvl w:ilvl="1" w:tplc="04180019" w:tentative="1">
      <w:start w:val="1"/>
      <w:numFmt w:val="lowerLetter"/>
      <w:lvlText w:val="%2."/>
      <w:lvlJc w:val="left"/>
      <w:pPr>
        <w:ind w:left="1460" w:hanging="360"/>
      </w:pPr>
    </w:lvl>
    <w:lvl w:ilvl="2" w:tplc="0418001B" w:tentative="1">
      <w:start w:val="1"/>
      <w:numFmt w:val="lowerRoman"/>
      <w:lvlText w:val="%3."/>
      <w:lvlJc w:val="right"/>
      <w:pPr>
        <w:ind w:left="2180" w:hanging="180"/>
      </w:pPr>
    </w:lvl>
    <w:lvl w:ilvl="3" w:tplc="0418000F" w:tentative="1">
      <w:start w:val="1"/>
      <w:numFmt w:val="decimal"/>
      <w:lvlText w:val="%4."/>
      <w:lvlJc w:val="left"/>
      <w:pPr>
        <w:ind w:left="2900" w:hanging="360"/>
      </w:pPr>
    </w:lvl>
    <w:lvl w:ilvl="4" w:tplc="04180019" w:tentative="1">
      <w:start w:val="1"/>
      <w:numFmt w:val="lowerLetter"/>
      <w:lvlText w:val="%5."/>
      <w:lvlJc w:val="left"/>
      <w:pPr>
        <w:ind w:left="3620" w:hanging="360"/>
      </w:pPr>
    </w:lvl>
    <w:lvl w:ilvl="5" w:tplc="0418001B" w:tentative="1">
      <w:start w:val="1"/>
      <w:numFmt w:val="lowerRoman"/>
      <w:lvlText w:val="%6."/>
      <w:lvlJc w:val="right"/>
      <w:pPr>
        <w:ind w:left="4340" w:hanging="180"/>
      </w:pPr>
    </w:lvl>
    <w:lvl w:ilvl="6" w:tplc="0418000F" w:tentative="1">
      <w:start w:val="1"/>
      <w:numFmt w:val="decimal"/>
      <w:lvlText w:val="%7."/>
      <w:lvlJc w:val="left"/>
      <w:pPr>
        <w:ind w:left="5060" w:hanging="360"/>
      </w:pPr>
    </w:lvl>
    <w:lvl w:ilvl="7" w:tplc="04180019" w:tentative="1">
      <w:start w:val="1"/>
      <w:numFmt w:val="lowerLetter"/>
      <w:lvlText w:val="%8."/>
      <w:lvlJc w:val="left"/>
      <w:pPr>
        <w:ind w:left="5780" w:hanging="360"/>
      </w:pPr>
    </w:lvl>
    <w:lvl w:ilvl="8" w:tplc="0418001B" w:tentative="1">
      <w:start w:val="1"/>
      <w:numFmt w:val="lowerRoman"/>
      <w:lvlText w:val="%9."/>
      <w:lvlJc w:val="right"/>
      <w:pPr>
        <w:ind w:left="6500" w:hanging="180"/>
      </w:pPr>
    </w:lvl>
  </w:abstractNum>
  <w:abstractNum w:abstractNumId="49">
    <w:nsid w:val="4B2E77E3"/>
    <w:multiLevelType w:val="hybridMultilevel"/>
    <w:tmpl w:val="189A5204"/>
    <w:lvl w:ilvl="0" w:tplc="7748928C">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4DC53897"/>
    <w:multiLevelType w:val="hybridMultilevel"/>
    <w:tmpl w:val="D952B50A"/>
    <w:lvl w:ilvl="0" w:tplc="A502EE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0592D42"/>
    <w:multiLevelType w:val="hybridMultilevel"/>
    <w:tmpl w:val="DCBA4CBC"/>
    <w:lvl w:ilvl="0" w:tplc="C8C01624">
      <w:numFmt w:val="decimal"/>
      <w:lvlText w:val="3.%1"/>
      <w:lvlJc w:val="left"/>
      <w:pPr>
        <w:ind w:left="1440" w:hanging="360"/>
      </w:pPr>
      <w:rPr>
        <w:rFonts w:hint="default"/>
        <w:caps/>
        <w:strike w:val="0"/>
        <w:dstrike w:val="0"/>
        <w:vanish w:val="0"/>
        <w:vertAlign w:val="baseline"/>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2">
    <w:nsid w:val="52A67A83"/>
    <w:multiLevelType w:val="multilevel"/>
    <w:tmpl w:val="6AB87E84"/>
    <w:lvl w:ilvl="0">
      <w:start w:val="1"/>
      <w:numFmt w:val="decimal"/>
      <w:lvlText w:val="%1)"/>
      <w:lvlJc w:val="left"/>
      <w:rPr>
        <w:rFonts w:ascii="Times New Roman" w:eastAsia="Times New Roman" w:hAnsi="Times New Roman" w:cs="Times New Roman"/>
        <w:b/>
        <w:bCs/>
        <w:i w:val="0"/>
        <w:iCs w:val="0"/>
        <w:smallCaps w:val="0"/>
        <w:strike w:val="0"/>
        <w:color w:val="365F91" w:themeColor="accent1" w:themeShade="BF"/>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43E1EF1"/>
    <w:multiLevelType w:val="multilevel"/>
    <w:tmpl w:val="49489DA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4BB4859"/>
    <w:multiLevelType w:val="hybridMultilevel"/>
    <w:tmpl w:val="D8A25E06"/>
    <w:lvl w:ilvl="0" w:tplc="6B9EF6F6">
      <w:start w:val="1"/>
      <w:numFmt w:val="decimal"/>
      <w:lvlText w:val="2.%1."/>
      <w:lvlJc w:val="left"/>
      <w:pPr>
        <w:ind w:left="720" w:hanging="360"/>
      </w:pPr>
      <w:rPr>
        <w:rFonts w:hint="default"/>
        <w:b/>
        <w:sz w:val="28"/>
        <w:szCs w:val="28"/>
      </w:rPr>
    </w:lvl>
    <w:lvl w:ilvl="1" w:tplc="38962E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2E60D0"/>
    <w:multiLevelType w:val="hybridMultilevel"/>
    <w:tmpl w:val="B1DE00BE"/>
    <w:lvl w:ilvl="0" w:tplc="FFFFFFFF">
      <w:numFmt w:val="decimal"/>
      <w:lvlText w:val=""/>
      <w:lvlJc w:val="left"/>
      <w:pPr>
        <w:ind w:left="1460" w:hanging="360"/>
      </w:pPr>
    </w:lvl>
    <w:lvl w:ilvl="1" w:tplc="04180019" w:tentative="1">
      <w:start w:val="1"/>
      <w:numFmt w:val="lowerLetter"/>
      <w:lvlText w:val="%2."/>
      <w:lvlJc w:val="left"/>
      <w:pPr>
        <w:ind w:left="2180" w:hanging="360"/>
      </w:pPr>
    </w:lvl>
    <w:lvl w:ilvl="2" w:tplc="0418001B" w:tentative="1">
      <w:start w:val="1"/>
      <w:numFmt w:val="lowerRoman"/>
      <w:lvlText w:val="%3."/>
      <w:lvlJc w:val="right"/>
      <w:pPr>
        <w:ind w:left="2900" w:hanging="180"/>
      </w:pPr>
    </w:lvl>
    <w:lvl w:ilvl="3" w:tplc="0418000F" w:tentative="1">
      <w:start w:val="1"/>
      <w:numFmt w:val="decimal"/>
      <w:lvlText w:val="%4."/>
      <w:lvlJc w:val="left"/>
      <w:pPr>
        <w:ind w:left="3620" w:hanging="360"/>
      </w:pPr>
    </w:lvl>
    <w:lvl w:ilvl="4" w:tplc="04180019" w:tentative="1">
      <w:start w:val="1"/>
      <w:numFmt w:val="lowerLetter"/>
      <w:lvlText w:val="%5."/>
      <w:lvlJc w:val="left"/>
      <w:pPr>
        <w:ind w:left="4340" w:hanging="360"/>
      </w:pPr>
    </w:lvl>
    <w:lvl w:ilvl="5" w:tplc="0418001B" w:tentative="1">
      <w:start w:val="1"/>
      <w:numFmt w:val="lowerRoman"/>
      <w:lvlText w:val="%6."/>
      <w:lvlJc w:val="right"/>
      <w:pPr>
        <w:ind w:left="5060" w:hanging="180"/>
      </w:pPr>
    </w:lvl>
    <w:lvl w:ilvl="6" w:tplc="0418000F" w:tentative="1">
      <w:start w:val="1"/>
      <w:numFmt w:val="decimal"/>
      <w:lvlText w:val="%7."/>
      <w:lvlJc w:val="left"/>
      <w:pPr>
        <w:ind w:left="5780" w:hanging="360"/>
      </w:pPr>
    </w:lvl>
    <w:lvl w:ilvl="7" w:tplc="04180019" w:tentative="1">
      <w:start w:val="1"/>
      <w:numFmt w:val="lowerLetter"/>
      <w:lvlText w:val="%8."/>
      <w:lvlJc w:val="left"/>
      <w:pPr>
        <w:ind w:left="6500" w:hanging="360"/>
      </w:pPr>
    </w:lvl>
    <w:lvl w:ilvl="8" w:tplc="0418001B" w:tentative="1">
      <w:start w:val="1"/>
      <w:numFmt w:val="lowerRoman"/>
      <w:lvlText w:val="%9."/>
      <w:lvlJc w:val="right"/>
      <w:pPr>
        <w:ind w:left="7220" w:hanging="180"/>
      </w:pPr>
    </w:lvl>
  </w:abstractNum>
  <w:abstractNum w:abstractNumId="56">
    <w:nsid w:val="5A7B7C7A"/>
    <w:multiLevelType w:val="hybridMultilevel"/>
    <w:tmpl w:val="5F34B03A"/>
    <w:lvl w:ilvl="0" w:tplc="C8C01624">
      <w:numFmt w:val="decimal"/>
      <w:lvlText w:val="3.%1"/>
      <w:lvlJc w:val="left"/>
      <w:pPr>
        <w:ind w:left="720" w:hanging="360"/>
      </w:pPr>
      <w:rPr>
        <w:rFonts w:hint="default"/>
        <w:caps/>
        <w:strike w:val="0"/>
        <w:dstrike w:val="0"/>
        <w:vanish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5B8C5DD2"/>
    <w:multiLevelType w:val="hybridMultilevel"/>
    <w:tmpl w:val="2D64A540"/>
    <w:lvl w:ilvl="0" w:tplc="044881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C613B7"/>
    <w:multiLevelType w:val="hybridMultilevel"/>
    <w:tmpl w:val="01B4B56C"/>
    <w:lvl w:ilvl="0" w:tplc="04090001">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5E744702"/>
    <w:multiLevelType w:val="multilevel"/>
    <w:tmpl w:val="91841C0A"/>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5E91285A"/>
    <w:multiLevelType w:val="multilevel"/>
    <w:tmpl w:val="1F2E9C36"/>
    <w:lvl w:ilvl="0">
      <w:start w:val="1"/>
      <w:numFmt w:val="decimal"/>
      <w:lvlText w:val="%1)"/>
      <w:lvlJc w:val="left"/>
      <w:rPr>
        <w:b w:val="0"/>
        <w:bCs w:val="0"/>
        <w:i w:val="0"/>
        <w:iCs w:val="0"/>
        <w:smallCaps w:val="0"/>
        <w:strike w:val="0"/>
        <w:color w:val="000000" w:themeColor="text1"/>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FE934A9"/>
    <w:multiLevelType w:val="hybridMultilevel"/>
    <w:tmpl w:val="E798547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nsid w:val="606F4FA3"/>
    <w:multiLevelType w:val="multilevel"/>
    <w:tmpl w:val="CD0A754E"/>
    <w:lvl w:ilvl="0">
      <w:start w:val="4"/>
      <w:numFmt w:val="decimal"/>
      <w:lvlText w:val="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643D3A9A"/>
    <w:multiLevelType w:val="multilevel"/>
    <w:tmpl w:val="FD8CA1CC"/>
    <w:lvl w:ilvl="0">
      <w:start w:val="3"/>
      <w:numFmt w:val="decimal"/>
      <w:lvlText w:val="%1."/>
      <w:lvlJc w:val="left"/>
      <w:pPr>
        <w:ind w:left="0" w:firstLine="0"/>
      </w:pPr>
      <w:rPr>
        <w:rFonts w:ascii="Times New Roman" w:eastAsia="Times New Roman" w:hAnsi="Times New Roman" w:cs="Times New Roman" w:hint="default"/>
        <w:b/>
        <w:bCs w:val="0"/>
        <w:i w:val="0"/>
        <w:iCs w:val="0"/>
        <w:smallCaps w:val="0"/>
        <w:strike w:val="0"/>
        <w:color w:val="003366"/>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64DA3F51"/>
    <w:multiLevelType w:val="hybridMultilevel"/>
    <w:tmpl w:val="807CA3FC"/>
    <w:lvl w:ilvl="0" w:tplc="04090001">
      <w:start w:val="1"/>
      <w:numFmt w:val="bullet"/>
      <w:lvlText w:val=""/>
      <w:lvlJc w:val="left"/>
      <w:pPr>
        <w:ind w:left="1100" w:hanging="360"/>
      </w:pPr>
      <w:rPr>
        <w:rFonts w:ascii="Symbol" w:hAnsi="Symbol"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65">
    <w:nsid w:val="656D4D3A"/>
    <w:multiLevelType w:val="hybridMultilevel"/>
    <w:tmpl w:val="CB064AA6"/>
    <w:lvl w:ilvl="0" w:tplc="041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nsid w:val="6A37034E"/>
    <w:multiLevelType w:val="hybridMultilevel"/>
    <w:tmpl w:val="80664208"/>
    <w:lvl w:ilvl="0" w:tplc="8CB8EA56">
      <w:start w:val="1"/>
      <w:numFmt w:val="decimal"/>
      <w:lvlText w:val="4.%1"/>
      <w:lvlJc w:val="left"/>
      <w:pPr>
        <w:ind w:left="720" w:hanging="360"/>
      </w:pPr>
      <w:rPr>
        <w:rFonts w:ascii="Times New Roman" w:hAnsi="Times New Roman" w:cs="Times New Roman" w:hint="default"/>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nsid w:val="6B097B4F"/>
    <w:multiLevelType w:val="hybridMultilevel"/>
    <w:tmpl w:val="CF302396"/>
    <w:lvl w:ilvl="0" w:tplc="0A56D36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nsid w:val="6C2C28B1"/>
    <w:multiLevelType w:val="hybridMultilevel"/>
    <w:tmpl w:val="A25C436A"/>
    <w:lvl w:ilvl="0" w:tplc="041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9">
    <w:nsid w:val="6D2E41CA"/>
    <w:multiLevelType w:val="hybridMultilevel"/>
    <w:tmpl w:val="392A5976"/>
    <w:lvl w:ilvl="0" w:tplc="0A56D368">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0">
    <w:nsid w:val="6E1735A7"/>
    <w:multiLevelType w:val="multilevel"/>
    <w:tmpl w:val="A2A0598C"/>
    <w:lvl w:ilvl="0">
      <w:start w:val="1"/>
      <w:numFmt w:val="decimal"/>
      <w:lvlText w:val="2.6.%1"/>
      <w:lvlJc w:val="left"/>
      <w:rPr>
        <w:rFonts w:ascii="Times New Roman" w:eastAsia="Times New Roman" w:hAnsi="Times New Roman" w:cs="Times New Roman"/>
        <w:b/>
        <w:bCs/>
        <w:i w:val="0"/>
        <w:iCs w:val="0"/>
        <w:smallCaps w:val="0"/>
        <w:strike w:val="0"/>
        <w:color w:val="000000" w:themeColor="text1"/>
        <w:spacing w:val="0"/>
        <w:w w:val="100"/>
        <w:position w:val="0"/>
        <w:sz w:val="28"/>
        <w:szCs w:val="28"/>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EFD2C25"/>
    <w:multiLevelType w:val="multilevel"/>
    <w:tmpl w:val="9E4E83D0"/>
    <w:lvl w:ilvl="0">
      <w:start w:val="1"/>
      <w:numFmt w:val="decimal"/>
      <w:lvlText w:val="%1."/>
      <w:lvlJc w:val="left"/>
      <w:rPr>
        <w:rFonts w:ascii="Times New Roman" w:eastAsia="Times New Roman" w:hAnsi="Times New Roman" w:cs="Times New Roman"/>
        <w:b/>
        <w:bCs w:val="0"/>
        <w:i w:val="0"/>
        <w:iCs w:val="0"/>
        <w:smallCaps w:val="0"/>
        <w:strike w:val="0"/>
        <w:color w:val="000000" w:themeColor="text1"/>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F044AB9"/>
    <w:multiLevelType w:val="multilevel"/>
    <w:tmpl w:val="5948830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3366"/>
        <w:spacing w:val="0"/>
        <w:w w:val="100"/>
        <w:position w:val="0"/>
        <w:sz w:val="28"/>
        <w:szCs w:val="28"/>
        <w:u w:val="none"/>
        <w:lang w:val="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71A6380F"/>
    <w:multiLevelType w:val="hybridMultilevel"/>
    <w:tmpl w:val="95205690"/>
    <w:lvl w:ilvl="0" w:tplc="66BCDA9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nsid w:val="726841BD"/>
    <w:multiLevelType w:val="hybridMultilevel"/>
    <w:tmpl w:val="17C43804"/>
    <w:lvl w:ilvl="0" w:tplc="D38AD1A0">
      <w:start w:val="1"/>
      <w:numFmt w:val="decimal"/>
      <w:lvlText w:val="2.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6207FE2"/>
    <w:multiLevelType w:val="multilevel"/>
    <w:tmpl w:val="9DF67AD4"/>
    <w:lvl w:ilvl="0">
      <w:start w:val="1"/>
      <w:numFmt w:val="lowerRoman"/>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7EC5823"/>
    <w:multiLevelType w:val="hybridMultilevel"/>
    <w:tmpl w:val="E8FA59AA"/>
    <w:lvl w:ilvl="0" w:tplc="041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nsid w:val="78A7029A"/>
    <w:multiLevelType w:val="hybridMultilevel"/>
    <w:tmpl w:val="042A34F0"/>
    <w:lvl w:ilvl="0" w:tplc="0A56D368">
      <w:start w:val="1"/>
      <w:numFmt w:val="decimal"/>
      <w:lvlText w:val="%1."/>
      <w:lvlJc w:val="left"/>
      <w:pPr>
        <w:ind w:left="1100" w:hanging="360"/>
      </w:pPr>
      <w:rPr>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8">
    <w:nsid w:val="792963DE"/>
    <w:multiLevelType w:val="multilevel"/>
    <w:tmpl w:val="52A02776"/>
    <w:lvl w:ilvl="0">
      <w:start w:val="1"/>
      <w:numFmt w:val="decimal"/>
      <w:lvlText w:val="%1."/>
      <w:lvlJc w:val="left"/>
      <w:rPr>
        <w:rFonts w:ascii="Times New Roman" w:eastAsia="Times New Roman" w:hAnsi="Times New Roman" w:cs="Times New Roman"/>
        <w:b/>
        <w:bCs w:val="0"/>
        <w:i w:val="0"/>
        <w:iCs w:val="0"/>
        <w:smallCaps w:val="0"/>
        <w:strike w:val="0"/>
        <w:color w:val="000000" w:themeColor="text1"/>
        <w:spacing w:val="0"/>
        <w:w w:val="100"/>
        <w:position w:val="0"/>
        <w:sz w:val="24"/>
        <w:szCs w:val="24"/>
        <w:u w:val="none"/>
        <w:lang w:val="ro-M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AD91BBF"/>
    <w:multiLevelType w:val="hybridMultilevel"/>
    <w:tmpl w:val="55505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C773E85"/>
    <w:multiLevelType w:val="hybridMultilevel"/>
    <w:tmpl w:val="5498A25E"/>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nsid w:val="7DD22A6D"/>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2">
    <w:nsid w:val="7F565B54"/>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26"/>
  </w:num>
  <w:num w:numId="2">
    <w:abstractNumId w:val="38"/>
  </w:num>
  <w:num w:numId="3">
    <w:abstractNumId w:val="29"/>
  </w:num>
  <w:num w:numId="4">
    <w:abstractNumId w:val="75"/>
  </w:num>
  <w:num w:numId="5">
    <w:abstractNumId w:val="60"/>
  </w:num>
  <w:num w:numId="6">
    <w:abstractNumId w:val="36"/>
  </w:num>
  <w:num w:numId="7">
    <w:abstractNumId w:val="52"/>
  </w:num>
  <w:num w:numId="8">
    <w:abstractNumId w:val="31"/>
  </w:num>
  <w:num w:numId="9">
    <w:abstractNumId w:val="32"/>
  </w:num>
  <w:num w:numId="10">
    <w:abstractNumId w:val="70"/>
  </w:num>
  <w:num w:numId="11">
    <w:abstractNumId w:val="53"/>
  </w:num>
  <w:num w:numId="12">
    <w:abstractNumId w:val="17"/>
  </w:num>
  <w:num w:numId="13">
    <w:abstractNumId w:val="78"/>
  </w:num>
  <w:num w:numId="14">
    <w:abstractNumId w:val="45"/>
  </w:num>
  <w:num w:numId="15">
    <w:abstractNumId w:val="27"/>
  </w:num>
  <w:num w:numId="16">
    <w:abstractNumId w:val="6"/>
  </w:num>
  <w:num w:numId="17">
    <w:abstractNumId w:val="3"/>
  </w:num>
  <w:num w:numId="18">
    <w:abstractNumId w:val="9"/>
  </w:num>
  <w:num w:numId="19">
    <w:abstractNumId w:val="71"/>
  </w:num>
  <w:num w:numId="20">
    <w:abstractNumId w:val="0"/>
  </w:num>
  <w:num w:numId="21">
    <w:abstractNumId w:val="28"/>
  </w:num>
  <w:num w:numId="22">
    <w:abstractNumId w:val="42"/>
  </w:num>
  <w:num w:numId="23">
    <w:abstractNumId w:val="54"/>
  </w:num>
  <w:num w:numId="24">
    <w:abstractNumId w:val="74"/>
  </w:num>
  <w:num w:numId="25">
    <w:abstractNumId w:val="30"/>
  </w:num>
  <w:num w:numId="26">
    <w:abstractNumId w:val="77"/>
  </w:num>
  <w:num w:numId="27">
    <w:abstractNumId w:val="47"/>
  </w:num>
  <w:num w:numId="28">
    <w:abstractNumId w:val="14"/>
  </w:num>
  <w:num w:numId="29">
    <w:abstractNumId w:val="4"/>
  </w:num>
  <w:num w:numId="30">
    <w:abstractNumId w:val="19"/>
  </w:num>
  <w:num w:numId="31">
    <w:abstractNumId w:val="57"/>
  </w:num>
  <w:num w:numId="32">
    <w:abstractNumId w:val="25"/>
  </w:num>
  <w:num w:numId="33">
    <w:abstractNumId w:val="48"/>
  </w:num>
  <w:num w:numId="34">
    <w:abstractNumId w:val="73"/>
  </w:num>
  <w:num w:numId="35">
    <w:abstractNumId w:val="16"/>
  </w:num>
  <w:num w:numId="36">
    <w:abstractNumId w:val="49"/>
  </w:num>
  <w:num w:numId="37">
    <w:abstractNumId w:val="5"/>
  </w:num>
  <w:num w:numId="38">
    <w:abstractNumId w:val="62"/>
  </w:num>
  <w:num w:numId="39">
    <w:abstractNumId w:val="37"/>
  </w:num>
  <w:num w:numId="40">
    <w:abstractNumId w:val="39"/>
  </w:num>
  <w:num w:numId="41">
    <w:abstractNumId w:val="41"/>
  </w:num>
  <w:num w:numId="42">
    <w:abstractNumId w:val="58"/>
  </w:num>
  <w:num w:numId="43">
    <w:abstractNumId w:val="2"/>
  </w:num>
  <w:num w:numId="44">
    <w:abstractNumId w:val="55"/>
  </w:num>
  <w:num w:numId="45">
    <w:abstractNumId w:val="40"/>
  </w:num>
  <w:num w:numId="46">
    <w:abstractNumId w:val="8"/>
  </w:num>
  <w:num w:numId="47">
    <w:abstractNumId w:val="1"/>
  </w:num>
  <w:num w:numId="48">
    <w:abstractNumId w:val="69"/>
  </w:num>
  <w:num w:numId="49">
    <w:abstractNumId w:val="34"/>
  </w:num>
  <w:num w:numId="50">
    <w:abstractNumId w:val="67"/>
  </w:num>
  <w:num w:numId="51">
    <w:abstractNumId w:val="66"/>
  </w:num>
  <w:num w:numId="52">
    <w:abstractNumId w:val="24"/>
  </w:num>
  <w:num w:numId="53">
    <w:abstractNumId w:val="12"/>
  </w:num>
  <w:num w:numId="54">
    <w:abstractNumId w:val="64"/>
  </w:num>
  <w:num w:numId="55">
    <w:abstractNumId w:val="18"/>
  </w:num>
  <w:num w:numId="56">
    <w:abstractNumId w:val="13"/>
  </w:num>
  <w:num w:numId="57">
    <w:abstractNumId w:val="79"/>
  </w:num>
  <w:num w:numId="58">
    <w:abstractNumId w:val="61"/>
  </w:num>
  <w:num w:numId="59">
    <w:abstractNumId w:val="23"/>
  </w:num>
  <w:num w:numId="60">
    <w:abstractNumId w:val="56"/>
  </w:num>
  <w:num w:numId="61">
    <w:abstractNumId w:val="35"/>
  </w:num>
  <w:num w:numId="62">
    <w:abstractNumId w:val="51"/>
  </w:num>
  <w:num w:numId="63">
    <w:abstractNumId w:val="20"/>
  </w:num>
  <w:num w:numId="64">
    <w:abstractNumId w:val="33"/>
  </w:num>
  <w:num w:numId="65">
    <w:abstractNumId w:val="82"/>
  </w:num>
  <w:num w:numId="66">
    <w:abstractNumId w:val="80"/>
  </w:num>
  <w:num w:numId="67">
    <w:abstractNumId w:val="68"/>
  </w:num>
  <w:num w:numId="68">
    <w:abstractNumId w:val="15"/>
  </w:num>
  <w:num w:numId="69">
    <w:abstractNumId w:val="76"/>
  </w:num>
  <w:num w:numId="70">
    <w:abstractNumId w:val="65"/>
  </w:num>
  <w:num w:numId="71">
    <w:abstractNumId w:val="7"/>
  </w:num>
  <w:num w:numId="72">
    <w:abstractNumId w:val="11"/>
  </w:num>
  <w:num w:numId="73">
    <w:abstractNumId w:val="10"/>
  </w:num>
  <w:num w:numId="74">
    <w:abstractNumId w:val="50"/>
  </w:num>
  <w:num w:numId="75">
    <w:abstractNumId w:val="22"/>
  </w:num>
  <w:num w:numId="76">
    <w:abstractNumId w:val="21"/>
  </w:num>
  <w:num w:numId="77">
    <w:abstractNumId w:val="72"/>
  </w:num>
  <w:num w:numId="78">
    <w:abstractNumId w:val="44"/>
  </w:num>
  <w:num w:numId="79">
    <w:abstractNumId w:val="81"/>
  </w:num>
  <w:num w:numId="80">
    <w:abstractNumId w:val="46"/>
  </w:num>
  <w:num w:numId="81">
    <w:abstractNumId w:val="59"/>
  </w:num>
  <w:num w:numId="82">
    <w:abstractNumId w:val="43"/>
  </w:num>
  <w:num w:numId="83">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2F"/>
    <w:rsid w:val="0000309E"/>
    <w:rsid w:val="00005804"/>
    <w:rsid w:val="00010482"/>
    <w:rsid w:val="00013944"/>
    <w:rsid w:val="0002140A"/>
    <w:rsid w:val="00022183"/>
    <w:rsid w:val="00022FE5"/>
    <w:rsid w:val="00025509"/>
    <w:rsid w:val="0002682C"/>
    <w:rsid w:val="00035F3D"/>
    <w:rsid w:val="00046F7E"/>
    <w:rsid w:val="00047108"/>
    <w:rsid w:val="00050A91"/>
    <w:rsid w:val="00074739"/>
    <w:rsid w:val="0007758D"/>
    <w:rsid w:val="00080AAA"/>
    <w:rsid w:val="00082CEC"/>
    <w:rsid w:val="00084E95"/>
    <w:rsid w:val="00095A82"/>
    <w:rsid w:val="000B7A75"/>
    <w:rsid w:val="000C42D5"/>
    <w:rsid w:val="000D24F5"/>
    <w:rsid w:val="000D2645"/>
    <w:rsid w:val="000D3742"/>
    <w:rsid w:val="000D38FF"/>
    <w:rsid w:val="000D42A5"/>
    <w:rsid w:val="000E728D"/>
    <w:rsid w:val="000F49EF"/>
    <w:rsid w:val="00100FFE"/>
    <w:rsid w:val="00101B8D"/>
    <w:rsid w:val="00103BFF"/>
    <w:rsid w:val="00107BF3"/>
    <w:rsid w:val="00112C9F"/>
    <w:rsid w:val="001136D9"/>
    <w:rsid w:val="00114C3B"/>
    <w:rsid w:val="001155D4"/>
    <w:rsid w:val="00115A61"/>
    <w:rsid w:val="001246BE"/>
    <w:rsid w:val="00145C1A"/>
    <w:rsid w:val="00146399"/>
    <w:rsid w:val="00162EC1"/>
    <w:rsid w:val="00171A75"/>
    <w:rsid w:val="00175286"/>
    <w:rsid w:val="00176286"/>
    <w:rsid w:val="00177097"/>
    <w:rsid w:val="00182AA7"/>
    <w:rsid w:val="001A05BC"/>
    <w:rsid w:val="001A1947"/>
    <w:rsid w:val="001A5B93"/>
    <w:rsid w:val="001B2395"/>
    <w:rsid w:val="001B320A"/>
    <w:rsid w:val="001B6AEC"/>
    <w:rsid w:val="001C48A1"/>
    <w:rsid w:val="001C599C"/>
    <w:rsid w:val="001E0362"/>
    <w:rsid w:val="001E2698"/>
    <w:rsid w:val="001E4F69"/>
    <w:rsid w:val="001E7773"/>
    <w:rsid w:val="001F0E35"/>
    <w:rsid w:val="002055C1"/>
    <w:rsid w:val="00205E37"/>
    <w:rsid w:val="00213DF2"/>
    <w:rsid w:val="00214496"/>
    <w:rsid w:val="00220CD8"/>
    <w:rsid w:val="002237E8"/>
    <w:rsid w:val="00231774"/>
    <w:rsid w:val="00244A5C"/>
    <w:rsid w:val="002474A7"/>
    <w:rsid w:val="002506F9"/>
    <w:rsid w:val="00255D58"/>
    <w:rsid w:val="00261901"/>
    <w:rsid w:val="0026375B"/>
    <w:rsid w:val="00265CB7"/>
    <w:rsid w:val="0026658A"/>
    <w:rsid w:val="00266794"/>
    <w:rsid w:val="00271A2A"/>
    <w:rsid w:val="002750F8"/>
    <w:rsid w:val="00284933"/>
    <w:rsid w:val="00293DAC"/>
    <w:rsid w:val="002A4F70"/>
    <w:rsid w:val="002A67FC"/>
    <w:rsid w:val="002A6A73"/>
    <w:rsid w:val="002B074B"/>
    <w:rsid w:val="002B1C7E"/>
    <w:rsid w:val="002B2134"/>
    <w:rsid w:val="002B326F"/>
    <w:rsid w:val="002C142F"/>
    <w:rsid w:val="002C23A7"/>
    <w:rsid w:val="002C4C70"/>
    <w:rsid w:val="002C7884"/>
    <w:rsid w:val="002D5509"/>
    <w:rsid w:val="002E0699"/>
    <w:rsid w:val="002E7BAA"/>
    <w:rsid w:val="002F2116"/>
    <w:rsid w:val="002F7FC1"/>
    <w:rsid w:val="003031BF"/>
    <w:rsid w:val="00317505"/>
    <w:rsid w:val="00320409"/>
    <w:rsid w:val="00321515"/>
    <w:rsid w:val="00321D1C"/>
    <w:rsid w:val="00323627"/>
    <w:rsid w:val="00330D83"/>
    <w:rsid w:val="00335259"/>
    <w:rsid w:val="00336D59"/>
    <w:rsid w:val="00340B01"/>
    <w:rsid w:val="003411FA"/>
    <w:rsid w:val="00350C57"/>
    <w:rsid w:val="00351459"/>
    <w:rsid w:val="003519D9"/>
    <w:rsid w:val="00352544"/>
    <w:rsid w:val="003552FC"/>
    <w:rsid w:val="00360769"/>
    <w:rsid w:val="003645F9"/>
    <w:rsid w:val="00365376"/>
    <w:rsid w:val="003711C2"/>
    <w:rsid w:val="00383D80"/>
    <w:rsid w:val="00394E9C"/>
    <w:rsid w:val="00396806"/>
    <w:rsid w:val="003A0DDD"/>
    <w:rsid w:val="003B64D6"/>
    <w:rsid w:val="003C6885"/>
    <w:rsid w:val="003D1D7E"/>
    <w:rsid w:val="003D29F2"/>
    <w:rsid w:val="003D49D8"/>
    <w:rsid w:val="003D5E5F"/>
    <w:rsid w:val="003E54F6"/>
    <w:rsid w:val="004026FA"/>
    <w:rsid w:val="00410366"/>
    <w:rsid w:val="004125D3"/>
    <w:rsid w:val="004234C9"/>
    <w:rsid w:val="00423EAC"/>
    <w:rsid w:val="004326CB"/>
    <w:rsid w:val="00442730"/>
    <w:rsid w:val="00442F44"/>
    <w:rsid w:val="00443F43"/>
    <w:rsid w:val="00445352"/>
    <w:rsid w:val="00445CB7"/>
    <w:rsid w:val="00447B46"/>
    <w:rsid w:val="004501D9"/>
    <w:rsid w:val="00460E08"/>
    <w:rsid w:val="0046715B"/>
    <w:rsid w:val="00471A15"/>
    <w:rsid w:val="00475B91"/>
    <w:rsid w:val="004833BA"/>
    <w:rsid w:val="00485285"/>
    <w:rsid w:val="00485D09"/>
    <w:rsid w:val="004862F4"/>
    <w:rsid w:val="00491BFD"/>
    <w:rsid w:val="00496D98"/>
    <w:rsid w:val="00497799"/>
    <w:rsid w:val="004A50E5"/>
    <w:rsid w:val="004A75B9"/>
    <w:rsid w:val="004B2931"/>
    <w:rsid w:val="004C001E"/>
    <w:rsid w:val="004C2A70"/>
    <w:rsid w:val="004C700A"/>
    <w:rsid w:val="004C7ECF"/>
    <w:rsid w:val="004F4BB5"/>
    <w:rsid w:val="00510178"/>
    <w:rsid w:val="00521D9B"/>
    <w:rsid w:val="00523989"/>
    <w:rsid w:val="00527E56"/>
    <w:rsid w:val="005353A6"/>
    <w:rsid w:val="005404EA"/>
    <w:rsid w:val="00543969"/>
    <w:rsid w:val="00550770"/>
    <w:rsid w:val="00551ED8"/>
    <w:rsid w:val="00553715"/>
    <w:rsid w:val="00555ED4"/>
    <w:rsid w:val="005633B0"/>
    <w:rsid w:val="0056686D"/>
    <w:rsid w:val="00573874"/>
    <w:rsid w:val="00580369"/>
    <w:rsid w:val="005815D8"/>
    <w:rsid w:val="005839FE"/>
    <w:rsid w:val="00584F0C"/>
    <w:rsid w:val="00595953"/>
    <w:rsid w:val="005A122B"/>
    <w:rsid w:val="005A19C6"/>
    <w:rsid w:val="005A6569"/>
    <w:rsid w:val="005B2391"/>
    <w:rsid w:val="005B6F76"/>
    <w:rsid w:val="005C4033"/>
    <w:rsid w:val="005C504D"/>
    <w:rsid w:val="005D1865"/>
    <w:rsid w:val="005D1986"/>
    <w:rsid w:val="005D4FC1"/>
    <w:rsid w:val="005E2284"/>
    <w:rsid w:val="005E3DA7"/>
    <w:rsid w:val="005E4D1E"/>
    <w:rsid w:val="005F2BCA"/>
    <w:rsid w:val="00604EFD"/>
    <w:rsid w:val="00605563"/>
    <w:rsid w:val="0060707B"/>
    <w:rsid w:val="006073F2"/>
    <w:rsid w:val="00611A12"/>
    <w:rsid w:val="00615729"/>
    <w:rsid w:val="00621CEF"/>
    <w:rsid w:val="00625107"/>
    <w:rsid w:val="0063078E"/>
    <w:rsid w:val="00634785"/>
    <w:rsid w:val="00642229"/>
    <w:rsid w:val="00653DB5"/>
    <w:rsid w:val="00655542"/>
    <w:rsid w:val="006564E7"/>
    <w:rsid w:val="00657613"/>
    <w:rsid w:val="00663B66"/>
    <w:rsid w:val="00663C52"/>
    <w:rsid w:val="0067212B"/>
    <w:rsid w:val="0068039C"/>
    <w:rsid w:val="00680B5C"/>
    <w:rsid w:val="00691F50"/>
    <w:rsid w:val="00694C23"/>
    <w:rsid w:val="006955C7"/>
    <w:rsid w:val="006965B5"/>
    <w:rsid w:val="006B70B6"/>
    <w:rsid w:val="006B7DCA"/>
    <w:rsid w:val="006C11FF"/>
    <w:rsid w:val="006C4391"/>
    <w:rsid w:val="006C77DC"/>
    <w:rsid w:val="006D3DA5"/>
    <w:rsid w:val="006D4641"/>
    <w:rsid w:val="006D46C0"/>
    <w:rsid w:val="006D4B26"/>
    <w:rsid w:val="006D576B"/>
    <w:rsid w:val="006E684B"/>
    <w:rsid w:val="006E68A4"/>
    <w:rsid w:val="006F424A"/>
    <w:rsid w:val="006F522B"/>
    <w:rsid w:val="006F54F8"/>
    <w:rsid w:val="00700F42"/>
    <w:rsid w:val="007027AC"/>
    <w:rsid w:val="00704849"/>
    <w:rsid w:val="00706E11"/>
    <w:rsid w:val="00713DC9"/>
    <w:rsid w:val="007232CA"/>
    <w:rsid w:val="00723B57"/>
    <w:rsid w:val="0072646E"/>
    <w:rsid w:val="007274E8"/>
    <w:rsid w:val="00730932"/>
    <w:rsid w:val="007400CE"/>
    <w:rsid w:val="00755669"/>
    <w:rsid w:val="00775FB5"/>
    <w:rsid w:val="00776D2E"/>
    <w:rsid w:val="00777234"/>
    <w:rsid w:val="0078222C"/>
    <w:rsid w:val="0078671F"/>
    <w:rsid w:val="00790433"/>
    <w:rsid w:val="00790A2F"/>
    <w:rsid w:val="007912F4"/>
    <w:rsid w:val="00791F3A"/>
    <w:rsid w:val="007925A5"/>
    <w:rsid w:val="00797815"/>
    <w:rsid w:val="007A1624"/>
    <w:rsid w:val="007A556A"/>
    <w:rsid w:val="007A5AED"/>
    <w:rsid w:val="007B762A"/>
    <w:rsid w:val="007C282F"/>
    <w:rsid w:val="007C77AB"/>
    <w:rsid w:val="007D3930"/>
    <w:rsid w:val="007D39BE"/>
    <w:rsid w:val="007D5EF0"/>
    <w:rsid w:val="007F556A"/>
    <w:rsid w:val="007F5752"/>
    <w:rsid w:val="007F6DAF"/>
    <w:rsid w:val="0081121F"/>
    <w:rsid w:val="0081166F"/>
    <w:rsid w:val="00811E34"/>
    <w:rsid w:val="00814E1F"/>
    <w:rsid w:val="0082192B"/>
    <w:rsid w:val="0082229A"/>
    <w:rsid w:val="0084250B"/>
    <w:rsid w:val="0084383C"/>
    <w:rsid w:val="00853851"/>
    <w:rsid w:val="00864D1F"/>
    <w:rsid w:val="00870BAA"/>
    <w:rsid w:val="00873821"/>
    <w:rsid w:val="008748D6"/>
    <w:rsid w:val="00880D26"/>
    <w:rsid w:val="0089775D"/>
    <w:rsid w:val="008A0F51"/>
    <w:rsid w:val="008A126B"/>
    <w:rsid w:val="008A7109"/>
    <w:rsid w:val="008C6767"/>
    <w:rsid w:val="008D1E51"/>
    <w:rsid w:val="008D5BD2"/>
    <w:rsid w:val="008D5E31"/>
    <w:rsid w:val="008D7449"/>
    <w:rsid w:val="008E0351"/>
    <w:rsid w:val="008E1F99"/>
    <w:rsid w:val="008E4AD3"/>
    <w:rsid w:val="008E6117"/>
    <w:rsid w:val="008F6D1F"/>
    <w:rsid w:val="00900A95"/>
    <w:rsid w:val="009024F9"/>
    <w:rsid w:val="009033FE"/>
    <w:rsid w:val="00920211"/>
    <w:rsid w:val="00921038"/>
    <w:rsid w:val="009317AF"/>
    <w:rsid w:val="009331BD"/>
    <w:rsid w:val="009372AD"/>
    <w:rsid w:val="00937567"/>
    <w:rsid w:val="009402B6"/>
    <w:rsid w:val="00944B0D"/>
    <w:rsid w:val="00947227"/>
    <w:rsid w:val="0095284C"/>
    <w:rsid w:val="00954C20"/>
    <w:rsid w:val="00955BAA"/>
    <w:rsid w:val="009568D8"/>
    <w:rsid w:val="00963E98"/>
    <w:rsid w:val="00971856"/>
    <w:rsid w:val="00971E06"/>
    <w:rsid w:val="00986771"/>
    <w:rsid w:val="00996D1F"/>
    <w:rsid w:val="009A7548"/>
    <w:rsid w:val="009B5008"/>
    <w:rsid w:val="009C2502"/>
    <w:rsid w:val="009C6B48"/>
    <w:rsid w:val="009C7580"/>
    <w:rsid w:val="009D0072"/>
    <w:rsid w:val="009D45CF"/>
    <w:rsid w:val="009D5396"/>
    <w:rsid w:val="009D58A1"/>
    <w:rsid w:val="009D6754"/>
    <w:rsid w:val="009E30E4"/>
    <w:rsid w:val="009F1ABC"/>
    <w:rsid w:val="009F337F"/>
    <w:rsid w:val="00A04533"/>
    <w:rsid w:val="00A11B91"/>
    <w:rsid w:val="00A17EC7"/>
    <w:rsid w:val="00A21428"/>
    <w:rsid w:val="00A239AC"/>
    <w:rsid w:val="00A24ACE"/>
    <w:rsid w:val="00A24C39"/>
    <w:rsid w:val="00A267F8"/>
    <w:rsid w:val="00A27097"/>
    <w:rsid w:val="00A41EA7"/>
    <w:rsid w:val="00A42B42"/>
    <w:rsid w:val="00A458DF"/>
    <w:rsid w:val="00A561F8"/>
    <w:rsid w:val="00A56978"/>
    <w:rsid w:val="00A615CA"/>
    <w:rsid w:val="00A73174"/>
    <w:rsid w:val="00A766A8"/>
    <w:rsid w:val="00A817B5"/>
    <w:rsid w:val="00A84F9F"/>
    <w:rsid w:val="00AB1EF8"/>
    <w:rsid w:val="00AB2BF2"/>
    <w:rsid w:val="00AB50EF"/>
    <w:rsid w:val="00AB60A5"/>
    <w:rsid w:val="00AC0CF0"/>
    <w:rsid w:val="00AD1B85"/>
    <w:rsid w:val="00AD4803"/>
    <w:rsid w:val="00AE142A"/>
    <w:rsid w:val="00AE6501"/>
    <w:rsid w:val="00B00B04"/>
    <w:rsid w:val="00B00EB8"/>
    <w:rsid w:val="00B2225E"/>
    <w:rsid w:val="00B35BC9"/>
    <w:rsid w:val="00B536AB"/>
    <w:rsid w:val="00B5440A"/>
    <w:rsid w:val="00B57046"/>
    <w:rsid w:val="00B62C1C"/>
    <w:rsid w:val="00B71ED1"/>
    <w:rsid w:val="00B73B3C"/>
    <w:rsid w:val="00B745A8"/>
    <w:rsid w:val="00B77DC3"/>
    <w:rsid w:val="00B8191B"/>
    <w:rsid w:val="00B928DD"/>
    <w:rsid w:val="00BA3105"/>
    <w:rsid w:val="00BA329E"/>
    <w:rsid w:val="00BA3714"/>
    <w:rsid w:val="00BA3BE4"/>
    <w:rsid w:val="00BB53E0"/>
    <w:rsid w:val="00BD0B33"/>
    <w:rsid w:val="00BD534C"/>
    <w:rsid w:val="00BD54A2"/>
    <w:rsid w:val="00BE0E5D"/>
    <w:rsid w:val="00BE144D"/>
    <w:rsid w:val="00BE42CF"/>
    <w:rsid w:val="00BE509D"/>
    <w:rsid w:val="00BF16B1"/>
    <w:rsid w:val="00BF779B"/>
    <w:rsid w:val="00C00445"/>
    <w:rsid w:val="00C134B7"/>
    <w:rsid w:val="00C13B44"/>
    <w:rsid w:val="00C2311B"/>
    <w:rsid w:val="00C2346E"/>
    <w:rsid w:val="00C24258"/>
    <w:rsid w:val="00C2434A"/>
    <w:rsid w:val="00C350D1"/>
    <w:rsid w:val="00C36024"/>
    <w:rsid w:val="00C40A91"/>
    <w:rsid w:val="00C41228"/>
    <w:rsid w:val="00C412C9"/>
    <w:rsid w:val="00C424D8"/>
    <w:rsid w:val="00C42EBF"/>
    <w:rsid w:val="00C47DB9"/>
    <w:rsid w:val="00C50E9A"/>
    <w:rsid w:val="00C56619"/>
    <w:rsid w:val="00C66021"/>
    <w:rsid w:val="00C825FA"/>
    <w:rsid w:val="00C826A4"/>
    <w:rsid w:val="00C8316F"/>
    <w:rsid w:val="00C912B3"/>
    <w:rsid w:val="00CB0417"/>
    <w:rsid w:val="00CB2033"/>
    <w:rsid w:val="00CB249A"/>
    <w:rsid w:val="00CB3E70"/>
    <w:rsid w:val="00CB6948"/>
    <w:rsid w:val="00CC414F"/>
    <w:rsid w:val="00CC43B0"/>
    <w:rsid w:val="00CD2AFC"/>
    <w:rsid w:val="00CD57B3"/>
    <w:rsid w:val="00CD71E4"/>
    <w:rsid w:val="00CD7DAB"/>
    <w:rsid w:val="00CE0C67"/>
    <w:rsid w:val="00CE661B"/>
    <w:rsid w:val="00CF2C73"/>
    <w:rsid w:val="00CF752C"/>
    <w:rsid w:val="00D12302"/>
    <w:rsid w:val="00D12B7A"/>
    <w:rsid w:val="00D13EE7"/>
    <w:rsid w:val="00D16915"/>
    <w:rsid w:val="00D16C68"/>
    <w:rsid w:val="00D24F2D"/>
    <w:rsid w:val="00D31A42"/>
    <w:rsid w:val="00D41883"/>
    <w:rsid w:val="00D4669C"/>
    <w:rsid w:val="00D549F4"/>
    <w:rsid w:val="00D5760C"/>
    <w:rsid w:val="00D57943"/>
    <w:rsid w:val="00D67C20"/>
    <w:rsid w:val="00D72ECE"/>
    <w:rsid w:val="00D74A5B"/>
    <w:rsid w:val="00D7786C"/>
    <w:rsid w:val="00D80736"/>
    <w:rsid w:val="00D82397"/>
    <w:rsid w:val="00D85EE0"/>
    <w:rsid w:val="00D86012"/>
    <w:rsid w:val="00D86A0C"/>
    <w:rsid w:val="00DA23E4"/>
    <w:rsid w:val="00DA4E89"/>
    <w:rsid w:val="00DC640C"/>
    <w:rsid w:val="00DD1023"/>
    <w:rsid w:val="00DD3E1C"/>
    <w:rsid w:val="00DE11D0"/>
    <w:rsid w:val="00DE43A9"/>
    <w:rsid w:val="00DE61DE"/>
    <w:rsid w:val="00DF218B"/>
    <w:rsid w:val="00DF2A06"/>
    <w:rsid w:val="00DF573D"/>
    <w:rsid w:val="00DF5857"/>
    <w:rsid w:val="00E00C4F"/>
    <w:rsid w:val="00E00ED5"/>
    <w:rsid w:val="00E011EE"/>
    <w:rsid w:val="00E01A6F"/>
    <w:rsid w:val="00E16CBB"/>
    <w:rsid w:val="00E26667"/>
    <w:rsid w:val="00E32797"/>
    <w:rsid w:val="00E57F55"/>
    <w:rsid w:val="00E609DD"/>
    <w:rsid w:val="00E624FF"/>
    <w:rsid w:val="00E668BB"/>
    <w:rsid w:val="00E67167"/>
    <w:rsid w:val="00E82193"/>
    <w:rsid w:val="00E85302"/>
    <w:rsid w:val="00E90523"/>
    <w:rsid w:val="00E91685"/>
    <w:rsid w:val="00EA3CCD"/>
    <w:rsid w:val="00EA4D23"/>
    <w:rsid w:val="00EA4D97"/>
    <w:rsid w:val="00EA6438"/>
    <w:rsid w:val="00EB0114"/>
    <w:rsid w:val="00EB03B0"/>
    <w:rsid w:val="00EB4E21"/>
    <w:rsid w:val="00EC4BB6"/>
    <w:rsid w:val="00EC5629"/>
    <w:rsid w:val="00EC6B65"/>
    <w:rsid w:val="00ED0926"/>
    <w:rsid w:val="00ED0EB2"/>
    <w:rsid w:val="00ED7559"/>
    <w:rsid w:val="00EE05A7"/>
    <w:rsid w:val="00EF44C0"/>
    <w:rsid w:val="00EF6A54"/>
    <w:rsid w:val="00EF75DA"/>
    <w:rsid w:val="00F035E6"/>
    <w:rsid w:val="00F05CFD"/>
    <w:rsid w:val="00F06C41"/>
    <w:rsid w:val="00F0740A"/>
    <w:rsid w:val="00F116D7"/>
    <w:rsid w:val="00F1472C"/>
    <w:rsid w:val="00F14869"/>
    <w:rsid w:val="00F15279"/>
    <w:rsid w:val="00F166A5"/>
    <w:rsid w:val="00F268AF"/>
    <w:rsid w:val="00F3749E"/>
    <w:rsid w:val="00F4598F"/>
    <w:rsid w:val="00F45A61"/>
    <w:rsid w:val="00F55C44"/>
    <w:rsid w:val="00F579C0"/>
    <w:rsid w:val="00F57AE8"/>
    <w:rsid w:val="00F64E4E"/>
    <w:rsid w:val="00F71616"/>
    <w:rsid w:val="00F82432"/>
    <w:rsid w:val="00F85F38"/>
    <w:rsid w:val="00F86170"/>
    <w:rsid w:val="00F87603"/>
    <w:rsid w:val="00F87ACF"/>
    <w:rsid w:val="00F91C90"/>
    <w:rsid w:val="00F96677"/>
    <w:rsid w:val="00FB1894"/>
    <w:rsid w:val="00FB29F3"/>
    <w:rsid w:val="00FB2E76"/>
    <w:rsid w:val="00FB5388"/>
    <w:rsid w:val="00FB5C21"/>
    <w:rsid w:val="00FC3070"/>
    <w:rsid w:val="00FC4404"/>
    <w:rsid w:val="00FD4155"/>
    <w:rsid w:val="00FD5A53"/>
    <w:rsid w:val="00FE016F"/>
    <w:rsid w:val="00FE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D86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6C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1B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7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3"/>
      <w:szCs w:val="23"/>
      <w:u w:val="none"/>
    </w:rPr>
  </w:style>
  <w:style w:type="character" w:customStyle="1" w:styleId="Footnote21">
    <w:name w:val="Footnote (2)"/>
    <w:basedOn w:val="Footnote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Footnote3">
    <w:name w:val="Footnote (3)_"/>
    <w:basedOn w:val="DefaultParagraphFont"/>
    <w:link w:val="Footnote30"/>
    <w:rPr>
      <w:rFonts w:ascii="Times New Roman" w:eastAsia="Times New Roman" w:hAnsi="Times New Roman" w:cs="Times New Roman"/>
      <w:b/>
      <w:bCs/>
      <w:i w:val="0"/>
      <w:iCs w:val="0"/>
      <w:smallCaps w:val="0"/>
      <w:strike w:val="0"/>
      <w:sz w:val="18"/>
      <w:szCs w:val="18"/>
      <w:u w:val="none"/>
    </w:rPr>
  </w:style>
  <w:style w:type="character" w:customStyle="1" w:styleId="Footnote31">
    <w:name w:val="Footnote (3)"/>
    <w:basedOn w:val="Footnote3"/>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3"/>
      <w:szCs w:val="33"/>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7"/>
      <w:szCs w:val="27"/>
      <w:u w:val="none"/>
    </w:rPr>
  </w:style>
  <w:style w:type="character" w:customStyle="1" w:styleId="Bodytext">
    <w:name w:val="Body text_"/>
    <w:basedOn w:val="DefaultParagraphFont"/>
    <w:link w:val="BodyText1"/>
    <w:rPr>
      <w:rFonts w:ascii="Tahoma" w:eastAsia="Tahoma" w:hAnsi="Tahoma" w:cs="Tahoma"/>
      <w:b w:val="0"/>
      <w:bCs w:val="0"/>
      <w:i w:val="0"/>
      <w:iCs w:val="0"/>
      <w:smallCaps w:val="0"/>
      <w:strike w:val="0"/>
      <w:sz w:val="18"/>
      <w:szCs w:val="18"/>
      <w:u w:val="none"/>
    </w:rPr>
  </w:style>
  <w:style w:type="character" w:customStyle="1" w:styleId="BodytextTimesNewRoman">
    <w:name w:val="Body text + Times New Roman"/>
    <w:aliases w:val="13.5 pt,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ro-RO"/>
    </w:rPr>
  </w:style>
  <w:style w:type="character" w:customStyle="1" w:styleId="Headerorfooter">
    <w:name w:val="Header or footer_"/>
    <w:basedOn w:val="DefaultParagraphFont"/>
    <w:link w:val="Headerorfooter0"/>
    <w:rPr>
      <w:rFonts w:ascii="Verdana" w:eastAsia="Verdana" w:hAnsi="Verdana" w:cs="Verdana"/>
      <w:b/>
      <w:bCs/>
      <w:i w:val="0"/>
      <w:iCs w:val="0"/>
      <w:smallCaps w:val="0"/>
      <w:strike w:val="0"/>
      <w:sz w:val="15"/>
      <w:szCs w:val="15"/>
      <w:u w:val="none"/>
    </w:rPr>
  </w:style>
  <w:style w:type="character" w:customStyle="1" w:styleId="Headerorfooter1">
    <w:name w:val="Header or footer"/>
    <w:basedOn w:val="Headerorfooter"/>
    <w:rPr>
      <w:rFonts w:ascii="Verdana" w:eastAsia="Verdana" w:hAnsi="Verdana" w:cs="Verdana"/>
      <w:b/>
      <w:bCs/>
      <w:i w:val="0"/>
      <w:iCs w:val="0"/>
      <w:smallCaps w:val="0"/>
      <w:strike w:val="0"/>
      <w:color w:val="000000"/>
      <w:spacing w:val="0"/>
      <w:w w:val="100"/>
      <w:position w:val="0"/>
      <w:sz w:val="15"/>
      <w:szCs w:val="15"/>
      <w:u w:val="none"/>
      <w:lang w:val="ro-RO"/>
    </w:rPr>
  </w:style>
  <w:style w:type="character" w:customStyle="1" w:styleId="HeaderorfooterTimesNewRoman">
    <w:name w:val="Header or footer + Times New Roman"/>
    <w:aliases w:val="11.5 pt,Not Bold"/>
    <w:basedOn w:val="Headerorfooter"/>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TOC1Char">
    <w:name w:val="TOC 1 Char"/>
    <w:basedOn w:val="DefaultParagraphFont"/>
    <w:link w:val="TOC1"/>
    <w:uiPriority w:val="39"/>
    <w:rsid w:val="004862F4"/>
    <w:rPr>
      <w:rFonts w:ascii="Times New Roman" w:eastAsia="Times New Roman" w:hAnsi="Times New Roman" w:cs="Times New Roman"/>
      <w:bCs/>
      <w:color w:val="365F91" w:themeColor="accent1" w:themeShade="BF"/>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7"/>
      <w:szCs w:val="27"/>
      <w:u w:val="none"/>
    </w:rPr>
  </w:style>
  <w:style w:type="character" w:customStyle="1" w:styleId="Bodytext10SmallCaps">
    <w:name w:val="Body text (10) + Small Caps"/>
    <w:basedOn w:val="Bodytext10"/>
    <w:rPr>
      <w:rFonts w:ascii="Times New Roman" w:eastAsia="Times New Roman" w:hAnsi="Times New Roman" w:cs="Times New Roman"/>
      <w:b w:val="0"/>
      <w:bCs w:val="0"/>
      <w:i w:val="0"/>
      <w:iCs w:val="0"/>
      <w:smallCaps/>
      <w:strike w:val="0"/>
      <w:color w:val="000000"/>
      <w:spacing w:val="0"/>
      <w:w w:val="100"/>
      <w:position w:val="0"/>
      <w:sz w:val="23"/>
      <w:szCs w:val="23"/>
      <w:u w:val="none"/>
      <w:lang w:val="ro-RO"/>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23"/>
      <w:szCs w:val="23"/>
      <w:u w:val="none"/>
    </w:rPr>
  </w:style>
  <w:style w:type="character" w:customStyle="1" w:styleId="Bodytext10Italic">
    <w:name w:val="Body text (10) + Italic"/>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paragraph" w:customStyle="1" w:styleId="Footnote0">
    <w:name w:val="Footnote"/>
    <w:basedOn w:val="Normal"/>
    <w:link w:val="Footnote"/>
    <w:pPr>
      <w:shd w:val="clear" w:color="auto" w:fill="FFFFFF"/>
      <w:spacing w:line="206" w:lineRule="exact"/>
      <w:jc w:val="both"/>
    </w:pPr>
    <w:rPr>
      <w:rFonts w:ascii="Times New Roman" w:eastAsia="Times New Roman" w:hAnsi="Times New Roman" w:cs="Times New Roman"/>
      <w:sz w:val="17"/>
      <w:szCs w:val="17"/>
    </w:rPr>
  </w:style>
  <w:style w:type="paragraph" w:customStyle="1" w:styleId="Footnote20">
    <w:name w:val="Footnote (2)"/>
    <w:basedOn w:val="Normal"/>
    <w:link w:val="Footnote2"/>
    <w:pPr>
      <w:shd w:val="clear" w:color="auto" w:fill="FFFFFF"/>
      <w:spacing w:line="182" w:lineRule="exact"/>
      <w:jc w:val="both"/>
    </w:pPr>
    <w:rPr>
      <w:rFonts w:ascii="Times New Roman" w:eastAsia="Times New Roman" w:hAnsi="Times New Roman" w:cs="Times New Roman"/>
      <w:sz w:val="23"/>
      <w:szCs w:val="23"/>
    </w:rPr>
  </w:style>
  <w:style w:type="paragraph" w:customStyle="1" w:styleId="Footnote30">
    <w:name w:val="Footnote (3)"/>
    <w:basedOn w:val="Normal"/>
    <w:link w:val="Footnote3"/>
    <w:pPr>
      <w:shd w:val="clear" w:color="auto" w:fill="FFFFFF"/>
      <w:spacing w:line="230" w:lineRule="exact"/>
    </w:pPr>
    <w:rPr>
      <w:rFonts w:ascii="Times New Roman" w:eastAsia="Times New Roman" w:hAnsi="Times New Roman" w:cs="Times New Roman"/>
      <w:b/>
      <w:bCs/>
      <w:sz w:val="18"/>
      <w:szCs w:val="18"/>
    </w:rPr>
  </w:style>
  <w:style w:type="paragraph" w:customStyle="1" w:styleId="Heading11">
    <w:name w:val="Heading #1"/>
    <w:basedOn w:val="Normal"/>
    <w:link w:val="Heading10"/>
    <w:pPr>
      <w:shd w:val="clear" w:color="auto" w:fill="FFFFFF"/>
      <w:spacing w:after="3480" w:line="413" w:lineRule="exact"/>
      <w:jc w:val="both"/>
      <w:outlineLvl w:val="0"/>
    </w:pPr>
    <w:rPr>
      <w:rFonts w:ascii="Times New Roman" w:eastAsia="Times New Roman" w:hAnsi="Times New Roman" w:cs="Times New Roman"/>
      <w:b/>
      <w:bCs/>
      <w:sz w:val="33"/>
      <w:szCs w:val="33"/>
    </w:rPr>
  </w:style>
  <w:style w:type="paragraph" w:customStyle="1" w:styleId="Bodytext90">
    <w:name w:val="Body text (9)"/>
    <w:basedOn w:val="Normal"/>
    <w:link w:val="Bodytext9"/>
    <w:pPr>
      <w:shd w:val="clear" w:color="auto" w:fill="FFFFFF"/>
      <w:spacing w:before="3480" w:after="1620" w:line="523" w:lineRule="exact"/>
      <w:ind w:hanging="360"/>
      <w:jc w:val="center"/>
    </w:pPr>
    <w:rPr>
      <w:rFonts w:ascii="Times New Roman" w:eastAsia="Times New Roman" w:hAnsi="Times New Roman" w:cs="Times New Roman"/>
      <w:b/>
      <w:bCs/>
      <w:sz w:val="27"/>
      <w:szCs w:val="27"/>
    </w:rPr>
  </w:style>
  <w:style w:type="paragraph" w:customStyle="1" w:styleId="BodyText1">
    <w:name w:val="Body Text1"/>
    <w:basedOn w:val="Normal"/>
    <w:link w:val="Bodytext"/>
    <w:pPr>
      <w:shd w:val="clear" w:color="auto" w:fill="FFFFFF"/>
      <w:spacing w:line="0" w:lineRule="atLeast"/>
    </w:pPr>
    <w:rPr>
      <w:rFonts w:ascii="Tahoma" w:eastAsia="Tahoma" w:hAnsi="Tahoma" w:cs="Tahoma"/>
      <w:sz w:val="18"/>
      <w:szCs w:val="18"/>
    </w:rPr>
  </w:style>
  <w:style w:type="paragraph" w:customStyle="1" w:styleId="Headerorfooter0">
    <w:name w:val="Header or footer"/>
    <w:basedOn w:val="Normal"/>
    <w:link w:val="Headerorfooter"/>
    <w:pPr>
      <w:shd w:val="clear" w:color="auto" w:fill="FFFFFF"/>
      <w:spacing w:line="0" w:lineRule="atLeast"/>
    </w:pPr>
    <w:rPr>
      <w:rFonts w:ascii="Verdana" w:eastAsia="Verdana" w:hAnsi="Verdana" w:cs="Verdana"/>
      <w:b/>
      <w:bCs/>
      <w:sz w:val="15"/>
      <w:szCs w:val="15"/>
    </w:rPr>
  </w:style>
  <w:style w:type="paragraph" w:styleId="TOC1">
    <w:name w:val="toc 1"/>
    <w:basedOn w:val="Normal"/>
    <w:link w:val="TOC1Char"/>
    <w:autoRedefine/>
    <w:uiPriority w:val="39"/>
    <w:rsid w:val="004862F4"/>
    <w:pPr>
      <w:widowControl/>
      <w:tabs>
        <w:tab w:val="left" w:pos="341"/>
        <w:tab w:val="right" w:leader="dot" w:pos="9498"/>
      </w:tabs>
      <w:ind w:firstLine="284"/>
    </w:pPr>
    <w:rPr>
      <w:rFonts w:ascii="Times New Roman" w:eastAsia="Times New Roman" w:hAnsi="Times New Roman" w:cs="Times New Roman"/>
      <w:bCs/>
      <w:color w:val="365F91" w:themeColor="accent1" w:themeShade="BF"/>
    </w:rPr>
  </w:style>
  <w:style w:type="paragraph" w:customStyle="1" w:styleId="Bodytext100">
    <w:name w:val="Body text (10)"/>
    <w:basedOn w:val="Normal"/>
    <w:link w:val="Bodytext10"/>
    <w:pPr>
      <w:shd w:val="clear" w:color="auto" w:fill="FFFFFF"/>
      <w:spacing w:before="300" w:after="300" w:line="274" w:lineRule="exact"/>
      <w:ind w:hanging="380"/>
      <w:jc w:val="both"/>
    </w:pPr>
    <w:rPr>
      <w:rFonts w:ascii="Times New Roman" w:eastAsia="Times New Roman" w:hAnsi="Times New Roman" w:cs="Times New Roman"/>
      <w:sz w:val="23"/>
      <w:szCs w:val="23"/>
    </w:rPr>
  </w:style>
  <w:style w:type="paragraph" w:customStyle="1" w:styleId="Heading21">
    <w:name w:val="Heading #2"/>
    <w:basedOn w:val="Normal"/>
    <w:link w:val="Heading20"/>
    <w:pPr>
      <w:shd w:val="clear" w:color="auto" w:fill="FFFFFF"/>
      <w:spacing w:before="300" w:after="300" w:line="0" w:lineRule="atLeast"/>
      <w:ind w:hanging="360"/>
      <w:jc w:val="both"/>
      <w:outlineLvl w:val="1"/>
    </w:pPr>
    <w:rPr>
      <w:rFonts w:ascii="Times New Roman" w:eastAsia="Times New Roman" w:hAnsi="Times New Roman" w:cs="Times New Roman"/>
      <w:b/>
      <w:bCs/>
      <w:sz w:val="27"/>
      <w:szCs w:val="27"/>
    </w:rPr>
  </w:style>
  <w:style w:type="paragraph" w:customStyle="1" w:styleId="Bodytext110">
    <w:name w:val="Body text (11)"/>
    <w:basedOn w:val="Normal"/>
    <w:link w:val="Bodytext11"/>
    <w:pPr>
      <w:shd w:val="clear" w:color="auto" w:fill="FFFFFF"/>
      <w:spacing w:before="360" w:after="240" w:line="274" w:lineRule="exact"/>
      <w:jc w:val="both"/>
    </w:pPr>
    <w:rPr>
      <w:rFonts w:ascii="Times New Roman" w:eastAsia="Times New Roman" w:hAnsi="Times New Roman" w:cs="Times New Roman"/>
      <w:i/>
      <w:iCs/>
      <w:sz w:val="23"/>
      <w:szCs w:val="23"/>
    </w:rPr>
  </w:style>
  <w:style w:type="paragraph" w:styleId="TOC2">
    <w:name w:val="toc 2"/>
    <w:basedOn w:val="Normal"/>
    <w:autoRedefine/>
    <w:uiPriority w:val="39"/>
    <w:rsid w:val="005A122B"/>
    <w:pPr>
      <w:tabs>
        <w:tab w:val="left" w:pos="426"/>
        <w:tab w:val="right" w:leader="dot" w:pos="9498"/>
      </w:tabs>
      <w:ind w:right="653"/>
      <w:jc w:val="both"/>
    </w:pPr>
    <w:rPr>
      <w:rFonts w:ascii="Times New Roman" w:eastAsia="Times New Roman" w:hAnsi="Times New Roman" w:cs="Times New Roman"/>
      <w:b/>
      <w:bCs/>
      <w:sz w:val="27"/>
      <w:szCs w:val="27"/>
    </w:rPr>
  </w:style>
  <w:style w:type="paragraph" w:styleId="Header">
    <w:name w:val="header"/>
    <w:basedOn w:val="Normal"/>
    <w:link w:val="HeaderChar"/>
    <w:unhideWhenUsed/>
    <w:rsid w:val="00755669"/>
    <w:pPr>
      <w:tabs>
        <w:tab w:val="center" w:pos="4844"/>
        <w:tab w:val="right" w:pos="9689"/>
      </w:tabs>
    </w:pPr>
  </w:style>
  <w:style w:type="character" w:customStyle="1" w:styleId="HeaderChar">
    <w:name w:val="Header Char"/>
    <w:basedOn w:val="DefaultParagraphFont"/>
    <w:link w:val="Header"/>
    <w:uiPriority w:val="99"/>
    <w:rsid w:val="00755669"/>
    <w:rPr>
      <w:color w:val="000000"/>
    </w:rPr>
  </w:style>
  <w:style w:type="paragraph" w:styleId="Footer">
    <w:name w:val="footer"/>
    <w:basedOn w:val="Normal"/>
    <w:link w:val="FooterChar"/>
    <w:uiPriority w:val="99"/>
    <w:unhideWhenUsed/>
    <w:rsid w:val="00755669"/>
    <w:pPr>
      <w:tabs>
        <w:tab w:val="center" w:pos="4844"/>
        <w:tab w:val="right" w:pos="9689"/>
      </w:tabs>
    </w:pPr>
  </w:style>
  <w:style w:type="character" w:customStyle="1" w:styleId="FooterChar">
    <w:name w:val="Footer Char"/>
    <w:basedOn w:val="DefaultParagraphFont"/>
    <w:link w:val="Footer"/>
    <w:uiPriority w:val="99"/>
    <w:rsid w:val="00755669"/>
    <w:rPr>
      <w:color w:val="000000"/>
    </w:rPr>
  </w:style>
  <w:style w:type="paragraph" w:styleId="BalloonText">
    <w:name w:val="Balloon Text"/>
    <w:basedOn w:val="Normal"/>
    <w:link w:val="BalloonTextChar"/>
    <w:uiPriority w:val="99"/>
    <w:semiHidden/>
    <w:unhideWhenUsed/>
    <w:rsid w:val="00755669"/>
    <w:rPr>
      <w:rFonts w:ascii="Tahoma" w:hAnsi="Tahoma" w:cs="Tahoma"/>
      <w:sz w:val="16"/>
      <w:szCs w:val="16"/>
    </w:rPr>
  </w:style>
  <w:style w:type="character" w:customStyle="1" w:styleId="BalloonTextChar">
    <w:name w:val="Balloon Text Char"/>
    <w:basedOn w:val="DefaultParagraphFont"/>
    <w:link w:val="BalloonText"/>
    <w:uiPriority w:val="99"/>
    <w:semiHidden/>
    <w:rsid w:val="00755669"/>
    <w:rPr>
      <w:rFonts w:ascii="Tahoma" w:hAnsi="Tahoma" w:cs="Tahoma"/>
      <w:color w:val="000000"/>
      <w:sz w:val="16"/>
      <w:szCs w:val="16"/>
    </w:rPr>
  </w:style>
  <w:style w:type="paragraph" w:customStyle="1" w:styleId="Default">
    <w:name w:val="Default"/>
    <w:rsid w:val="00442730"/>
    <w:pPr>
      <w:widowControl/>
      <w:autoSpaceDE w:val="0"/>
      <w:autoSpaceDN w:val="0"/>
      <w:adjustRightInd w:val="0"/>
    </w:pPr>
    <w:rPr>
      <w:rFonts w:ascii="Times New Roman" w:eastAsiaTheme="minorHAnsi" w:hAnsi="Times New Roman" w:cs="Times New Roman"/>
      <w:color w:val="000000"/>
      <w:lang w:val="en-US"/>
    </w:rPr>
  </w:style>
  <w:style w:type="paragraph" w:styleId="BodyText0">
    <w:name w:val="Body Text"/>
    <w:aliases w:val="bt,Body,by"/>
    <w:basedOn w:val="Default"/>
    <w:next w:val="Default"/>
    <w:link w:val="BodyTextChar"/>
    <w:uiPriority w:val="99"/>
    <w:rsid w:val="00442730"/>
    <w:rPr>
      <w:color w:val="auto"/>
      <w:lang w:val="ru-RU"/>
    </w:rPr>
  </w:style>
  <w:style w:type="character" w:customStyle="1" w:styleId="BodyTextChar">
    <w:name w:val="Body Text Char"/>
    <w:aliases w:val="bt Char,Body Char,by Char"/>
    <w:basedOn w:val="DefaultParagraphFont"/>
    <w:link w:val="BodyText0"/>
    <w:uiPriority w:val="99"/>
    <w:rsid w:val="00442730"/>
    <w:rPr>
      <w:rFonts w:ascii="Times New Roman" w:eastAsiaTheme="minorHAnsi" w:hAnsi="Times New Roman" w:cs="Times New Roman"/>
      <w:lang w:val="ru-RU"/>
    </w:rPr>
  </w:style>
  <w:style w:type="character" w:customStyle="1" w:styleId="longtext">
    <w:name w:val="long_text"/>
    <w:basedOn w:val="DefaultParagraphFont"/>
    <w:rsid w:val="00C912B3"/>
  </w:style>
  <w:style w:type="paragraph" w:styleId="ListParagraph">
    <w:name w:val="List Paragraph"/>
    <w:basedOn w:val="Normal"/>
    <w:uiPriority w:val="34"/>
    <w:qFormat/>
    <w:rsid w:val="00C912B3"/>
    <w:pPr>
      <w:ind w:left="720"/>
      <w:contextualSpacing/>
    </w:pPr>
  </w:style>
  <w:style w:type="paragraph" w:customStyle="1" w:styleId="Subtitle1">
    <w:name w:val="Subtitle1"/>
    <w:basedOn w:val="Normal"/>
    <w:rsid w:val="006C4391"/>
    <w:pPr>
      <w:widowControl/>
      <w:spacing w:line="520" w:lineRule="exact"/>
    </w:pPr>
    <w:rPr>
      <w:rFonts w:ascii="Helvetica" w:eastAsia="Times New Roman" w:hAnsi="Helvetica" w:cs="Times New Roman"/>
      <w:b/>
      <w:bCs/>
      <w:color w:val="auto"/>
      <w:sz w:val="32"/>
      <w:szCs w:val="32"/>
      <w:lang w:val="en-GB" w:bidi="he-IL"/>
    </w:rPr>
  </w:style>
  <w:style w:type="table" w:styleId="TableGrid">
    <w:name w:val="Table Grid"/>
    <w:basedOn w:val="TableNormal"/>
    <w:uiPriority w:val="59"/>
    <w:rsid w:val="00E66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4C7ECF"/>
    <w:rPr>
      <w:sz w:val="20"/>
      <w:szCs w:val="20"/>
    </w:rPr>
  </w:style>
  <w:style w:type="paragraph" w:customStyle="1" w:styleId="BulletedList">
    <w:name w:val="Bulleted List"/>
    <w:basedOn w:val="Normal"/>
    <w:link w:val="BulletedListChar"/>
    <w:rsid w:val="004C7ECF"/>
    <w:pPr>
      <w:widowControl/>
      <w:numPr>
        <w:numId w:val="63"/>
      </w:numPr>
    </w:pPr>
    <w:rPr>
      <w:rFonts w:ascii="Times New Roman" w:eastAsia="SimSun" w:hAnsi="Times New Roman" w:cs="Times New Roman"/>
      <w:color w:val="auto"/>
      <w:szCs w:val="20"/>
      <w:lang w:val="en-US" w:eastAsia="zh-CN"/>
    </w:rPr>
  </w:style>
  <w:style w:type="character" w:customStyle="1" w:styleId="BulletedListChar">
    <w:name w:val="Bulleted List Char"/>
    <w:link w:val="BulletedList"/>
    <w:rsid w:val="004C7ECF"/>
    <w:rPr>
      <w:rFonts w:ascii="Times New Roman" w:eastAsia="SimSun" w:hAnsi="Times New Roman" w:cs="Times New Roman"/>
      <w:szCs w:val="20"/>
      <w:lang w:val="en-US" w:eastAsia="zh-CN"/>
    </w:rPr>
  </w:style>
  <w:style w:type="character" w:customStyle="1" w:styleId="Heading1Char">
    <w:name w:val="Heading 1 Char"/>
    <w:basedOn w:val="DefaultParagraphFont"/>
    <w:link w:val="Heading1"/>
    <w:uiPriority w:val="9"/>
    <w:rsid w:val="00D86012"/>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link w:val="FootnoteTextChar"/>
    <w:semiHidden/>
    <w:unhideWhenUsed/>
    <w:rsid w:val="00920211"/>
    <w:rPr>
      <w:sz w:val="20"/>
      <w:szCs w:val="20"/>
    </w:rPr>
  </w:style>
  <w:style w:type="character" w:customStyle="1" w:styleId="FootnoteTextChar">
    <w:name w:val="Footnote Text Char"/>
    <w:aliases w:val="Footnote Text 2 Char,Footnote Text3 Char,Footnote Text12 Char,ALTS FOOTNOTE12 Char,Footnote Text Char112 Char,Footnote Text Char Char Char12 Char,Footnote Text Char1 Char Char Char Char12 Char,Footnote Text Char1 Char Char Char12 Char"/>
    <w:basedOn w:val="DefaultParagraphFont"/>
    <w:link w:val="FootnoteText"/>
    <w:rsid w:val="00920211"/>
    <w:rPr>
      <w:color w:val="000000"/>
      <w:sz w:val="20"/>
      <w:szCs w:val="20"/>
    </w:rPr>
  </w:style>
  <w:style w:type="character" w:styleId="FootnoteReference">
    <w:name w:val="footnote reference"/>
    <w:aliases w:val="Nota"/>
    <w:basedOn w:val="DefaultParagraphFont"/>
    <w:semiHidden/>
    <w:unhideWhenUsed/>
    <w:rsid w:val="00920211"/>
    <w:rPr>
      <w:vertAlign w:val="superscript"/>
    </w:rPr>
  </w:style>
  <w:style w:type="character" w:customStyle="1" w:styleId="Heading4Char">
    <w:name w:val="Heading 4 Char"/>
    <w:basedOn w:val="DefaultParagraphFont"/>
    <w:link w:val="Heading4"/>
    <w:uiPriority w:val="9"/>
    <w:semiHidden/>
    <w:rsid w:val="00BA3714"/>
    <w:rPr>
      <w:rFonts w:asciiTheme="majorHAnsi" w:eastAsiaTheme="majorEastAsia" w:hAnsiTheme="majorHAnsi" w:cstheme="majorBidi"/>
      <w:b/>
      <w:bCs/>
      <w:i/>
      <w:iCs/>
      <w:color w:val="4F81BD" w:themeColor="accent1"/>
    </w:rPr>
  </w:style>
  <w:style w:type="character" w:customStyle="1" w:styleId="mediumtext1">
    <w:name w:val="medium_text1"/>
    <w:rsid w:val="008E1F99"/>
    <w:rPr>
      <w:sz w:val="24"/>
      <w:szCs w:val="24"/>
    </w:rPr>
  </w:style>
  <w:style w:type="paragraph" w:styleId="Caption">
    <w:name w:val="caption"/>
    <w:basedOn w:val="Normal"/>
    <w:next w:val="Normal"/>
    <w:qFormat/>
    <w:rsid w:val="00510178"/>
    <w:rPr>
      <w:rFonts w:ascii="Times New Roman" w:eastAsia="Times New Roman" w:hAnsi="Times New Roman" w:cs="Times New Roman"/>
      <w:snapToGrid w:val="0"/>
      <w:color w:val="auto"/>
      <w:szCs w:val="20"/>
      <w:lang w:val="en-US"/>
    </w:rPr>
  </w:style>
  <w:style w:type="character" w:styleId="CommentReference">
    <w:name w:val="annotation reference"/>
    <w:basedOn w:val="DefaultParagraphFont"/>
    <w:uiPriority w:val="99"/>
    <w:semiHidden/>
    <w:unhideWhenUsed/>
    <w:rsid w:val="00D85EE0"/>
    <w:rPr>
      <w:sz w:val="16"/>
      <w:szCs w:val="16"/>
    </w:rPr>
  </w:style>
  <w:style w:type="paragraph" w:styleId="CommentText">
    <w:name w:val="annotation text"/>
    <w:basedOn w:val="Normal"/>
    <w:link w:val="CommentTextChar"/>
    <w:uiPriority w:val="99"/>
    <w:semiHidden/>
    <w:unhideWhenUsed/>
    <w:rsid w:val="00D85EE0"/>
    <w:rPr>
      <w:sz w:val="20"/>
      <w:szCs w:val="20"/>
    </w:rPr>
  </w:style>
  <w:style w:type="character" w:customStyle="1" w:styleId="CommentTextChar">
    <w:name w:val="Comment Text Char"/>
    <w:basedOn w:val="DefaultParagraphFont"/>
    <w:link w:val="CommentText"/>
    <w:uiPriority w:val="99"/>
    <w:semiHidden/>
    <w:rsid w:val="00D85EE0"/>
    <w:rPr>
      <w:color w:val="000000"/>
      <w:sz w:val="20"/>
      <w:szCs w:val="20"/>
    </w:rPr>
  </w:style>
  <w:style w:type="paragraph" w:styleId="CommentSubject">
    <w:name w:val="annotation subject"/>
    <w:basedOn w:val="CommentText"/>
    <w:next w:val="CommentText"/>
    <w:link w:val="CommentSubjectChar"/>
    <w:uiPriority w:val="99"/>
    <w:semiHidden/>
    <w:unhideWhenUsed/>
    <w:rsid w:val="00D85EE0"/>
    <w:rPr>
      <w:b/>
      <w:bCs/>
    </w:rPr>
  </w:style>
  <w:style w:type="character" w:customStyle="1" w:styleId="CommentSubjectChar">
    <w:name w:val="Comment Subject Char"/>
    <w:basedOn w:val="CommentTextChar"/>
    <w:link w:val="CommentSubject"/>
    <w:uiPriority w:val="99"/>
    <w:semiHidden/>
    <w:rsid w:val="00D85EE0"/>
    <w:rPr>
      <w:b/>
      <w:bCs/>
      <w:color w:val="000000"/>
      <w:sz w:val="20"/>
      <w:szCs w:val="20"/>
    </w:rPr>
  </w:style>
  <w:style w:type="paragraph" w:styleId="TOCHeading">
    <w:name w:val="TOC Heading"/>
    <w:basedOn w:val="Heading1"/>
    <w:next w:val="Normal"/>
    <w:uiPriority w:val="39"/>
    <w:unhideWhenUsed/>
    <w:qFormat/>
    <w:rsid w:val="00550770"/>
    <w:pPr>
      <w:widowControl/>
      <w:spacing w:line="276" w:lineRule="auto"/>
      <w:outlineLvl w:val="9"/>
    </w:pPr>
    <w:rPr>
      <w:lang w:val="en-US" w:eastAsia="ja-JP"/>
    </w:rPr>
  </w:style>
  <w:style w:type="paragraph" w:styleId="TOC3">
    <w:name w:val="toc 3"/>
    <w:basedOn w:val="Normal"/>
    <w:next w:val="Normal"/>
    <w:autoRedefine/>
    <w:uiPriority w:val="39"/>
    <w:unhideWhenUsed/>
    <w:rsid w:val="00550770"/>
    <w:pPr>
      <w:spacing w:after="100"/>
      <w:ind w:left="480"/>
    </w:pPr>
  </w:style>
  <w:style w:type="character" w:customStyle="1" w:styleId="Heading3Char">
    <w:name w:val="Heading 3 Char"/>
    <w:basedOn w:val="DefaultParagraphFont"/>
    <w:link w:val="Heading3"/>
    <w:uiPriority w:val="9"/>
    <w:semiHidden/>
    <w:rsid w:val="00A11B9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16C6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9D0072"/>
    <w:pPr>
      <w:widowControl/>
    </w:pPr>
    <w:rPr>
      <w:color w:val="000000"/>
    </w:rPr>
  </w:style>
  <w:style w:type="character" w:styleId="FollowedHyperlink">
    <w:name w:val="FollowedHyperlink"/>
    <w:basedOn w:val="DefaultParagraphFont"/>
    <w:uiPriority w:val="99"/>
    <w:semiHidden/>
    <w:unhideWhenUsed/>
    <w:rsid w:val="009D0072"/>
    <w:rPr>
      <w:color w:val="800080" w:themeColor="followedHyperlink"/>
      <w:u w:val="single"/>
    </w:rPr>
  </w:style>
  <w:style w:type="paragraph" w:styleId="TOC4">
    <w:name w:val="toc 4"/>
    <w:basedOn w:val="Normal"/>
    <w:next w:val="Normal"/>
    <w:autoRedefine/>
    <w:uiPriority w:val="39"/>
    <w:semiHidden/>
    <w:unhideWhenUsed/>
    <w:rsid w:val="000C42D5"/>
    <w:pPr>
      <w:spacing w:after="100"/>
      <w:ind w:left="720"/>
    </w:pPr>
  </w:style>
  <w:style w:type="paragraph" w:customStyle="1" w:styleId="MTNotetoDraft">
    <w:name w:val="MTNotetoDraft"/>
    <w:basedOn w:val="Normal"/>
    <w:rsid w:val="000C42D5"/>
    <w:pPr>
      <w:widowControl/>
      <w:spacing w:after="240"/>
      <w:jc w:val="both"/>
    </w:pPr>
    <w:rPr>
      <w:rFonts w:ascii="Times New Roman Bold" w:eastAsia="MS Mincho" w:hAnsi="Times New Roman Bold" w:cs="Times New Roman"/>
      <w:b/>
      <w:noProof/>
      <w:color w:val="auto"/>
      <w:szCs w:val="20"/>
      <w:lang w:val="en-CA"/>
    </w:rPr>
  </w:style>
  <w:style w:type="character" w:customStyle="1" w:styleId="mtbold">
    <w:name w:val="mtbold"/>
    <w:rsid w:val="00EB4E21"/>
    <w:rPr>
      <w:rFonts w:ascii="Times New Roman Bold" w:hAnsi="Times New Roman Bold"/>
      <w:b/>
      <w:sz w:val="24"/>
    </w:rPr>
  </w:style>
  <w:style w:type="paragraph" w:customStyle="1" w:styleId="CharChar5CaracterCaracterCharChar">
    <w:name w:val="Char Char5 Caracter Caracter Char Char"/>
    <w:basedOn w:val="Normal"/>
    <w:rsid w:val="006965B5"/>
    <w:pPr>
      <w:widowControl/>
      <w:spacing w:after="160" w:line="240" w:lineRule="exact"/>
    </w:pPr>
    <w:rPr>
      <w:rFonts w:ascii="Tahoma" w:eastAsia="Times New Roman" w:hAnsi="Tahoma" w:cs="Times New Roman"/>
      <w:color w:val="auto"/>
      <w:sz w:val="20"/>
      <w:szCs w:val="20"/>
      <w:lang w:val="en-US"/>
    </w:rPr>
  </w:style>
  <w:style w:type="paragraph" w:customStyle="1" w:styleId="CharChar5CaracterCaracterCharChar0">
    <w:name w:val="Char Char5 Caracter Caracter Char Char"/>
    <w:basedOn w:val="Normal"/>
    <w:rsid w:val="00360769"/>
    <w:pPr>
      <w:widowControl/>
      <w:spacing w:after="160" w:line="240" w:lineRule="exact"/>
    </w:pPr>
    <w:rPr>
      <w:rFonts w:ascii="Tahoma" w:eastAsia="Times New Roman" w:hAnsi="Tahoma" w:cs="Times New Roman"/>
      <w:color w:val="auto"/>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D86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6C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1B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7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3"/>
      <w:szCs w:val="23"/>
      <w:u w:val="none"/>
    </w:rPr>
  </w:style>
  <w:style w:type="character" w:customStyle="1" w:styleId="Footnote21">
    <w:name w:val="Footnote (2)"/>
    <w:basedOn w:val="Footnote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Footnote3">
    <w:name w:val="Footnote (3)_"/>
    <w:basedOn w:val="DefaultParagraphFont"/>
    <w:link w:val="Footnote30"/>
    <w:rPr>
      <w:rFonts w:ascii="Times New Roman" w:eastAsia="Times New Roman" w:hAnsi="Times New Roman" w:cs="Times New Roman"/>
      <w:b/>
      <w:bCs/>
      <w:i w:val="0"/>
      <w:iCs w:val="0"/>
      <w:smallCaps w:val="0"/>
      <w:strike w:val="0"/>
      <w:sz w:val="18"/>
      <w:szCs w:val="18"/>
      <w:u w:val="none"/>
    </w:rPr>
  </w:style>
  <w:style w:type="character" w:customStyle="1" w:styleId="Footnote31">
    <w:name w:val="Footnote (3)"/>
    <w:basedOn w:val="Footnote3"/>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3"/>
      <w:szCs w:val="33"/>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7"/>
      <w:szCs w:val="27"/>
      <w:u w:val="none"/>
    </w:rPr>
  </w:style>
  <w:style w:type="character" w:customStyle="1" w:styleId="Bodytext">
    <w:name w:val="Body text_"/>
    <w:basedOn w:val="DefaultParagraphFont"/>
    <w:link w:val="BodyText1"/>
    <w:rPr>
      <w:rFonts w:ascii="Tahoma" w:eastAsia="Tahoma" w:hAnsi="Tahoma" w:cs="Tahoma"/>
      <w:b w:val="0"/>
      <w:bCs w:val="0"/>
      <w:i w:val="0"/>
      <w:iCs w:val="0"/>
      <w:smallCaps w:val="0"/>
      <w:strike w:val="0"/>
      <w:sz w:val="18"/>
      <w:szCs w:val="18"/>
      <w:u w:val="none"/>
    </w:rPr>
  </w:style>
  <w:style w:type="character" w:customStyle="1" w:styleId="BodytextTimesNewRoman">
    <w:name w:val="Body text + Times New Roman"/>
    <w:aliases w:val="13.5 pt,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ro-RO"/>
    </w:rPr>
  </w:style>
  <w:style w:type="character" w:customStyle="1" w:styleId="Headerorfooter">
    <w:name w:val="Header or footer_"/>
    <w:basedOn w:val="DefaultParagraphFont"/>
    <w:link w:val="Headerorfooter0"/>
    <w:rPr>
      <w:rFonts w:ascii="Verdana" w:eastAsia="Verdana" w:hAnsi="Verdana" w:cs="Verdana"/>
      <w:b/>
      <w:bCs/>
      <w:i w:val="0"/>
      <w:iCs w:val="0"/>
      <w:smallCaps w:val="0"/>
      <w:strike w:val="0"/>
      <w:sz w:val="15"/>
      <w:szCs w:val="15"/>
      <w:u w:val="none"/>
    </w:rPr>
  </w:style>
  <w:style w:type="character" w:customStyle="1" w:styleId="Headerorfooter1">
    <w:name w:val="Header or footer"/>
    <w:basedOn w:val="Headerorfooter"/>
    <w:rPr>
      <w:rFonts w:ascii="Verdana" w:eastAsia="Verdana" w:hAnsi="Verdana" w:cs="Verdana"/>
      <w:b/>
      <w:bCs/>
      <w:i w:val="0"/>
      <w:iCs w:val="0"/>
      <w:smallCaps w:val="0"/>
      <w:strike w:val="0"/>
      <w:color w:val="000000"/>
      <w:spacing w:val="0"/>
      <w:w w:val="100"/>
      <w:position w:val="0"/>
      <w:sz w:val="15"/>
      <w:szCs w:val="15"/>
      <w:u w:val="none"/>
      <w:lang w:val="ro-RO"/>
    </w:rPr>
  </w:style>
  <w:style w:type="character" w:customStyle="1" w:styleId="HeaderorfooterTimesNewRoman">
    <w:name w:val="Header or footer + Times New Roman"/>
    <w:aliases w:val="11.5 pt,Not Bold"/>
    <w:basedOn w:val="Headerorfooter"/>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TOC1Char">
    <w:name w:val="TOC 1 Char"/>
    <w:basedOn w:val="DefaultParagraphFont"/>
    <w:link w:val="TOC1"/>
    <w:uiPriority w:val="39"/>
    <w:rsid w:val="004862F4"/>
    <w:rPr>
      <w:rFonts w:ascii="Times New Roman" w:eastAsia="Times New Roman" w:hAnsi="Times New Roman" w:cs="Times New Roman"/>
      <w:bCs/>
      <w:color w:val="365F91" w:themeColor="accent1" w:themeShade="BF"/>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7"/>
      <w:szCs w:val="27"/>
      <w:u w:val="none"/>
    </w:rPr>
  </w:style>
  <w:style w:type="character" w:customStyle="1" w:styleId="Bodytext10SmallCaps">
    <w:name w:val="Body text (10) + Small Caps"/>
    <w:basedOn w:val="Bodytext10"/>
    <w:rPr>
      <w:rFonts w:ascii="Times New Roman" w:eastAsia="Times New Roman" w:hAnsi="Times New Roman" w:cs="Times New Roman"/>
      <w:b w:val="0"/>
      <w:bCs w:val="0"/>
      <w:i w:val="0"/>
      <w:iCs w:val="0"/>
      <w:smallCaps/>
      <w:strike w:val="0"/>
      <w:color w:val="000000"/>
      <w:spacing w:val="0"/>
      <w:w w:val="100"/>
      <w:position w:val="0"/>
      <w:sz w:val="23"/>
      <w:szCs w:val="23"/>
      <w:u w:val="none"/>
      <w:lang w:val="ro-RO"/>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23"/>
      <w:szCs w:val="23"/>
      <w:u w:val="none"/>
    </w:rPr>
  </w:style>
  <w:style w:type="character" w:customStyle="1" w:styleId="Bodytext10Italic">
    <w:name w:val="Body text (10) + Italic"/>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paragraph" w:customStyle="1" w:styleId="Footnote0">
    <w:name w:val="Footnote"/>
    <w:basedOn w:val="Normal"/>
    <w:link w:val="Footnote"/>
    <w:pPr>
      <w:shd w:val="clear" w:color="auto" w:fill="FFFFFF"/>
      <w:spacing w:line="206" w:lineRule="exact"/>
      <w:jc w:val="both"/>
    </w:pPr>
    <w:rPr>
      <w:rFonts w:ascii="Times New Roman" w:eastAsia="Times New Roman" w:hAnsi="Times New Roman" w:cs="Times New Roman"/>
      <w:sz w:val="17"/>
      <w:szCs w:val="17"/>
    </w:rPr>
  </w:style>
  <w:style w:type="paragraph" w:customStyle="1" w:styleId="Footnote20">
    <w:name w:val="Footnote (2)"/>
    <w:basedOn w:val="Normal"/>
    <w:link w:val="Footnote2"/>
    <w:pPr>
      <w:shd w:val="clear" w:color="auto" w:fill="FFFFFF"/>
      <w:spacing w:line="182" w:lineRule="exact"/>
      <w:jc w:val="both"/>
    </w:pPr>
    <w:rPr>
      <w:rFonts w:ascii="Times New Roman" w:eastAsia="Times New Roman" w:hAnsi="Times New Roman" w:cs="Times New Roman"/>
      <w:sz w:val="23"/>
      <w:szCs w:val="23"/>
    </w:rPr>
  </w:style>
  <w:style w:type="paragraph" w:customStyle="1" w:styleId="Footnote30">
    <w:name w:val="Footnote (3)"/>
    <w:basedOn w:val="Normal"/>
    <w:link w:val="Footnote3"/>
    <w:pPr>
      <w:shd w:val="clear" w:color="auto" w:fill="FFFFFF"/>
      <w:spacing w:line="230" w:lineRule="exact"/>
    </w:pPr>
    <w:rPr>
      <w:rFonts w:ascii="Times New Roman" w:eastAsia="Times New Roman" w:hAnsi="Times New Roman" w:cs="Times New Roman"/>
      <w:b/>
      <w:bCs/>
      <w:sz w:val="18"/>
      <w:szCs w:val="18"/>
    </w:rPr>
  </w:style>
  <w:style w:type="paragraph" w:customStyle="1" w:styleId="Heading11">
    <w:name w:val="Heading #1"/>
    <w:basedOn w:val="Normal"/>
    <w:link w:val="Heading10"/>
    <w:pPr>
      <w:shd w:val="clear" w:color="auto" w:fill="FFFFFF"/>
      <w:spacing w:after="3480" w:line="413" w:lineRule="exact"/>
      <w:jc w:val="both"/>
      <w:outlineLvl w:val="0"/>
    </w:pPr>
    <w:rPr>
      <w:rFonts w:ascii="Times New Roman" w:eastAsia="Times New Roman" w:hAnsi="Times New Roman" w:cs="Times New Roman"/>
      <w:b/>
      <w:bCs/>
      <w:sz w:val="33"/>
      <w:szCs w:val="33"/>
    </w:rPr>
  </w:style>
  <w:style w:type="paragraph" w:customStyle="1" w:styleId="Bodytext90">
    <w:name w:val="Body text (9)"/>
    <w:basedOn w:val="Normal"/>
    <w:link w:val="Bodytext9"/>
    <w:pPr>
      <w:shd w:val="clear" w:color="auto" w:fill="FFFFFF"/>
      <w:spacing w:before="3480" w:after="1620" w:line="523" w:lineRule="exact"/>
      <w:ind w:hanging="360"/>
      <w:jc w:val="center"/>
    </w:pPr>
    <w:rPr>
      <w:rFonts w:ascii="Times New Roman" w:eastAsia="Times New Roman" w:hAnsi="Times New Roman" w:cs="Times New Roman"/>
      <w:b/>
      <w:bCs/>
      <w:sz w:val="27"/>
      <w:szCs w:val="27"/>
    </w:rPr>
  </w:style>
  <w:style w:type="paragraph" w:customStyle="1" w:styleId="BodyText1">
    <w:name w:val="Body Text1"/>
    <w:basedOn w:val="Normal"/>
    <w:link w:val="Bodytext"/>
    <w:pPr>
      <w:shd w:val="clear" w:color="auto" w:fill="FFFFFF"/>
      <w:spacing w:line="0" w:lineRule="atLeast"/>
    </w:pPr>
    <w:rPr>
      <w:rFonts w:ascii="Tahoma" w:eastAsia="Tahoma" w:hAnsi="Tahoma" w:cs="Tahoma"/>
      <w:sz w:val="18"/>
      <w:szCs w:val="18"/>
    </w:rPr>
  </w:style>
  <w:style w:type="paragraph" w:customStyle="1" w:styleId="Headerorfooter0">
    <w:name w:val="Header or footer"/>
    <w:basedOn w:val="Normal"/>
    <w:link w:val="Headerorfooter"/>
    <w:pPr>
      <w:shd w:val="clear" w:color="auto" w:fill="FFFFFF"/>
      <w:spacing w:line="0" w:lineRule="atLeast"/>
    </w:pPr>
    <w:rPr>
      <w:rFonts w:ascii="Verdana" w:eastAsia="Verdana" w:hAnsi="Verdana" w:cs="Verdana"/>
      <w:b/>
      <w:bCs/>
      <w:sz w:val="15"/>
      <w:szCs w:val="15"/>
    </w:rPr>
  </w:style>
  <w:style w:type="paragraph" w:styleId="TOC1">
    <w:name w:val="toc 1"/>
    <w:basedOn w:val="Normal"/>
    <w:link w:val="TOC1Char"/>
    <w:autoRedefine/>
    <w:uiPriority w:val="39"/>
    <w:rsid w:val="004862F4"/>
    <w:pPr>
      <w:widowControl/>
      <w:tabs>
        <w:tab w:val="left" w:pos="341"/>
        <w:tab w:val="right" w:leader="dot" w:pos="9498"/>
      </w:tabs>
      <w:ind w:firstLine="284"/>
    </w:pPr>
    <w:rPr>
      <w:rFonts w:ascii="Times New Roman" w:eastAsia="Times New Roman" w:hAnsi="Times New Roman" w:cs="Times New Roman"/>
      <w:bCs/>
      <w:color w:val="365F91" w:themeColor="accent1" w:themeShade="BF"/>
    </w:rPr>
  </w:style>
  <w:style w:type="paragraph" w:customStyle="1" w:styleId="Bodytext100">
    <w:name w:val="Body text (10)"/>
    <w:basedOn w:val="Normal"/>
    <w:link w:val="Bodytext10"/>
    <w:pPr>
      <w:shd w:val="clear" w:color="auto" w:fill="FFFFFF"/>
      <w:spacing w:before="300" w:after="300" w:line="274" w:lineRule="exact"/>
      <w:ind w:hanging="380"/>
      <w:jc w:val="both"/>
    </w:pPr>
    <w:rPr>
      <w:rFonts w:ascii="Times New Roman" w:eastAsia="Times New Roman" w:hAnsi="Times New Roman" w:cs="Times New Roman"/>
      <w:sz w:val="23"/>
      <w:szCs w:val="23"/>
    </w:rPr>
  </w:style>
  <w:style w:type="paragraph" w:customStyle="1" w:styleId="Heading21">
    <w:name w:val="Heading #2"/>
    <w:basedOn w:val="Normal"/>
    <w:link w:val="Heading20"/>
    <w:pPr>
      <w:shd w:val="clear" w:color="auto" w:fill="FFFFFF"/>
      <w:spacing w:before="300" w:after="300" w:line="0" w:lineRule="atLeast"/>
      <w:ind w:hanging="360"/>
      <w:jc w:val="both"/>
      <w:outlineLvl w:val="1"/>
    </w:pPr>
    <w:rPr>
      <w:rFonts w:ascii="Times New Roman" w:eastAsia="Times New Roman" w:hAnsi="Times New Roman" w:cs="Times New Roman"/>
      <w:b/>
      <w:bCs/>
      <w:sz w:val="27"/>
      <w:szCs w:val="27"/>
    </w:rPr>
  </w:style>
  <w:style w:type="paragraph" w:customStyle="1" w:styleId="Bodytext110">
    <w:name w:val="Body text (11)"/>
    <w:basedOn w:val="Normal"/>
    <w:link w:val="Bodytext11"/>
    <w:pPr>
      <w:shd w:val="clear" w:color="auto" w:fill="FFFFFF"/>
      <w:spacing w:before="360" w:after="240" w:line="274" w:lineRule="exact"/>
      <w:jc w:val="both"/>
    </w:pPr>
    <w:rPr>
      <w:rFonts w:ascii="Times New Roman" w:eastAsia="Times New Roman" w:hAnsi="Times New Roman" w:cs="Times New Roman"/>
      <w:i/>
      <w:iCs/>
      <w:sz w:val="23"/>
      <w:szCs w:val="23"/>
    </w:rPr>
  </w:style>
  <w:style w:type="paragraph" w:styleId="TOC2">
    <w:name w:val="toc 2"/>
    <w:basedOn w:val="Normal"/>
    <w:autoRedefine/>
    <w:uiPriority w:val="39"/>
    <w:rsid w:val="005A122B"/>
    <w:pPr>
      <w:tabs>
        <w:tab w:val="left" w:pos="426"/>
        <w:tab w:val="right" w:leader="dot" w:pos="9498"/>
      </w:tabs>
      <w:ind w:right="653"/>
      <w:jc w:val="both"/>
    </w:pPr>
    <w:rPr>
      <w:rFonts w:ascii="Times New Roman" w:eastAsia="Times New Roman" w:hAnsi="Times New Roman" w:cs="Times New Roman"/>
      <w:b/>
      <w:bCs/>
      <w:sz w:val="27"/>
      <w:szCs w:val="27"/>
    </w:rPr>
  </w:style>
  <w:style w:type="paragraph" w:styleId="Header">
    <w:name w:val="header"/>
    <w:basedOn w:val="Normal"/>
    <w:link w:val="HeaderChar"/>
    <w:unhideWhenUsed/>
    <w:rsid w:val="00755669"/>
    <w:pPr>
      <w:tabs>
        <w:tab w:val="center" w:pos="4844"/>
        <w:tab w:val="right" w:pos="9689"/>
      </w:tabs>
    </w:pPr>
  </w:style>
  <w:style w:type="character" w:customStyle="1" w:styleId="HeaderChar">
    <w:name w:val="Header Char"/>
    <w:basedOn w:val="DefaultParagraphFont"/>
    <w:link w:val="Header"/>
    <w:uiPriority w:val="99"/>
    <w:rsid w:val="00755669"/>
    <w:rPr>
      <w:color w:val="000000"/>
    </w:rPr>
  </w:style>
  <w:style w:type="paragraph" w:styleId="Footer">
    <w:name w:val="footer"/>
    <w:basedOn w:val="Normal"/>
    <w:link w:val="FooterChar"/>
    <w:uiPriority w:val="99"/>
    <w:unhideWhenUsed/>
    <w:rsid w:val="00755669"/>
    <w:pPr>
      <w:tabs>
        <w:tab w:val="center" w:pos="4844"/>
        <w:tab w:val="right" w:pos="9689"/>
      </w:tabs>
    </w:pPr>
  </w:style>
  <w:style w:type="character" w:customStyle="1" w:styleId="FooterChar">
    <w:name w:val="Footer Char"/>
    <w:basedOn w:val="DefaultParagraphFont"/>
    <w:link w:val="Footer"/>
    <w:uiPriority w:val="99"/>
    <w:rsid w:val="00755669"/>
    <w:rPr>
      <w:color w:val="000000"/>
    </w:rPr>
  </w:style>
  <w:style w:type="paragraph" w:styleId="BalloonText">
    <w:name w:val="Balloon Text"/>
    <w:basedOn w:val="Normal"/>
    <w:link w:val="BalloonTextChar"/>
    <w:uiPriority w:val="99"/>
    <w:semiHidden/>
    <w:unhideWhenUsed/>
    <w:rsid w:val="00755669"/>
    <w:rPr>
      <w:rFonts w:ascii="Tahoma" w:hAnsi="Tahoma" w:cs="Tahoma"/>
      <w:sz w:val="16"/>
      <w:szCs w:val="16"/>
    </w:rPr>
  </w:style>
  <w:style w:type="character" w:customStyle="1" w:styleId="BalloonTextChar">
    <w:name w:val="Balloon Text Char"/>
    <w:basedOn w:val="DefaultParagraphFont"/>
    <w:link w:val="BalloonText"/>
    <w:uiPriority w:val="99"/>
    <w:semiHidden/>
    <w:rsid w:val="00755669"/>
    <w:rPr>
      <w:rFonts w:ascii="Tahoma" w:hAnsi="Tahoma" w:cs="Tahoma"/>
      <w:color w:val="000000"/>
      <w:sz w:val="16"/>
      <w:szCs w:val="16"/>
    </w:rPr>
  </w:style>
  <w:style w:type="paragraph" w:customStyle="1" w:styleId="Default">
    <w:name w:val="Default"/>
    <w:rsid w:val="00442730"/>
    <w:pPr>
      <w:widowControl/>
      <w:autoSpaceDE w:val="0"/>
      <w:autoSpaceDN w:val="0"/>
      <w:adjustRightInd w:val="0"/>
    </w:pPr>
    <w:rPr>
      <w:rFonts w:ascii="Times New Roman" w:eastAsiaTheme="minorHAnsi" w:hAnsi="Times New Roman" w:cs="Times New Roman"/>
      <w:color w:val="000000"/>
      <w:lang w:val="en-US"/>
    </w:rPr>
  </w:style>
  <w:style w:type="paragraph" w:styleId="BodyText0">
    <w:name w:val="Body Text"/>
    <w:aliases w:val="bt,Body,by"/>
    <w:basedOn w:val="Default"/>
    <w:next w:val="Default"/>
    <w:link w:val="BodyTextChar"/>
    <w:uiPriority w:val="99"/>
    <w:rsid w:val="00442730"/>
    <w:rPr>
      <w:color w:val="auto"/>
      <w:lang w:val="ru-RU"/>
    </w:rPr>
  </w:style>
  <w:style w:type="character" w:customStyle="1" w:styleId="BodyTextChar">
    <w:name w:val="Body Text Char"/>
    <w:aliases w:val="bt Char,Body Char,by Char"/>
    <w:basedOn w:val="DefaultParagraphFont"/>
    <w:link w:val="BodyText0"/>
    <w:uiPriority w:val="99"/>
    <w:rsid w:val="00442730"/>
    <w:rPr>
      <w:rFonts w:ascii="Times New Roman" w:eastAsiaTheme="minorHAnsi" w:hAnsi="Times New Roman" w:cs="Times New Roman"/>
      <w:lang w:val="ru-RU"/>
    </w:rPr>
  </w:style>
  <w:style w:type="character" w:customStyle="1" w:styleId="longtext">
    <w:name w:val="long_text"/>
    <w:basedOn w:val="DefaultParagraphFont"/>
    <w:rsid w:val="00C912B3"/>
  </w:style>
  <w:style w:type="paragraph" w:styleId="ListParagraph">
    <w:name w:val="List Paragraph"/>
    <w:basedOn w:val="Normal"/>
    <w:uiPriority w:val="34"/>
    <w:qFormat/>
    <w:rsid w:val="00C912B3"/>
    <w:pPr>
      <w:ind w:left="720"/>
      <w:contextualSpacing/>
    </w:pPr>
  </w:style>
  <w:style w:type="paragraph" w:customStyle="1" w:styleId="Subtitle1">
    <w:name w:val="Subtitle1"/>
    <w:basedOn w:val="Normal"/>
    <w:rsid w:val="006C4391"/>
    <w:pPr>
      <w:widowControl/>
      <w:spacing w:line="520" w:lineRule="exact"/>
    </w:pPr>
    <w:rPr>
      <w:rFonts w:ascii="Helvetica" w:eastAsia="Times New Roman" w:hAnsi="Helvetica" w:cs="Times New Roman"/>
      <w:b/>
      <w:bCs/>
      <w:color w:val="auto"/>
      <w:sz w:val="32"/>
      <w:szCs w:val="32"/>
      <w:lang w:val="en-GB" w:bidi="he-IL"/>
    </w:rPr>
  </w:style>
  <w:style w:type="table" w:styleId="TableGrid">
    <w:name w:val="Table Grid"/>
    <w:basedOn w:val="TableNormal"/>
    <w:uiPriority w:val="59"/>
    <w:rsid w:val="00E66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4C7ECF"/>
    <w:rPr>
      <w:sz w:val="20"/>
      <w:szCs w:val="20"/>
    </w:rPr>
  </w:style>
  <w:style w:type="paragraph" w:customStyle="1" w:styleId="BulletedList">
    <w:name w:val="Bulleted List"/>
    <w:basedOn w:val="Normal"/>
    <w:link w:val="BulletedListChar"/>
    <w:rsid w:val="004C7ECF"/>
    <w:pPr>
      <w:widowControl/>
      <w:numPr>
        <w:numId w:val="63"/>
      </w:numPr>
    </w:pPr>
    <w:rPr>
      <w:rFonts w:ascii="Times New Roman" w:eastAsia="SimSun" w:hAnsi="Times New Roman" w:cs="Times New Roman"/>
      <w:color w:val="auto"/>
      <w:szCs w:val="20"/>
      <w:lang w:val="en-US" w:eastAsia="zh-CN"/>
    </w:rPr>
  </w:style>
  <w:style w:type="character" w:customStyle="1" w:styleId="BulletedListChar">
    <w:name w:val="Bulleted List Char"/>
    <w:link w:val="BulletedList"/>
    <w:rsid w:val="004C7ECF"/>
    <w:rPr>
      <w:rFonts w:ascii="Times New Roman" w:eastAsia="SimSun" w:hAnsi="Times New Roman" w:cs="Times New Roman"/>
      <w:szCs w:val="20"/>
      <w:lang w:val="en-US" w:eastAsia="zh-CN"/>
    </w:rPr>
  </w:style>
  <w:style w:type="character" w:customStyle="1" w:styleId="Heading1Char">
    <w:name w:val="Heading 1 Char"/>
    <w:basedOn w:val="DefaultParagraphFont"/>
    <w:link w:val="Heading1"/>
    <w:uiPriority w:val="9"/>
    <w:rsid w:val="00D86012"/>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link w:val="FootnoteTextChar"/>
    <w:semiHidden/>
    <w:unhideWhenUsed/>
    <w:rsid w:val="00920211"/>
    <w:rPr>
      <w:sz w:val="20"/>
      <w:szCs w:val="20"/>
    </w:rPr>
  </w:style>
  <w:style w:type="character" w:customStyle="1" w:styleId="FootnoteTextChar">
    <w:name w:val="Footnote Text Char"/>
    <w:aliases w:val="Footnote Text 2 Char,Footnote Text3 Char,Footnote Text12 Char,ALTS FOOTNOTE12 Char,Footnote Text Char112 Char,Footnote Text Char Char Char12 Char,Footnote Text Char1 Char Char Char Char12 Char,Footnote Text Char1 Char Char Char12 Char"/>
    <w:basedOn w:val="DefaultParagraphFont"/>
    <w:link w:val="FootnoteText"/>
    <w:rsid w:val="00920211"/>
    <w:rPr>
      <w:color w:val="000000"/>
      <w:sz w:val="20"/>
      <w:szCs w:val="20"/>
    </w:rPr>
  </w:style>
  <w:style w:type="character" w:styleId="FootnoteReference">
    <w:name w:val="footnote reference"/>
    <w:aliases w:val="Nota"/>
    <w:basedOn w:val="DefaultParagraphFont"/>
    <w:semiHidden/>
    <w:unhideWhenUsed/>
    <w:rsid w:val="00920211"/>
    <w:rPr>
      <w:vertAlign w:val="superscript"/>
    </w:rPr>
  </w:style>
  <w:style w:type="character" w:customStyle="1" w:styleId="Heading4Char">
    <w:name w:val="Heading 4 Char"/>
    <w:basedOn w:val="DefaultParagraphFont"/>
    <w:link w:val="Heading4"/>
    <w:uiPriority w:val="9"/>
    <w:semiHidden/>
    <w:rsid w:val="00BA3714"/>
    <w:rPr>
      <w:rFonts w:asciiTheme="majorHAnsi" w:eastAsiaTheme="majorEastAsia" w:hAnsiTheme="majorHAnsi" w:cstheme="majorBidi"/>
      <w:b/>
      <w:bCs/>
      <w:i/>
      <w:iCs/>
      <w:color w:val="4F81BD" w:themeColor="accent1"/>
    </w:rPr>
  </w:style>
  <w:style w:type="character" w:customStyle="1" w:styleId="mediumtext1">
    <w:name w:val="medium_text1"/>
    <w:rsid w:val="008E1F99"/>
    <w:rPr>
      <w:sz w:val="24"/>
      <w:szCs w:val="24"/>
    </w:rPr>
  </w:style>
  <w:style w:type="paragraph" w:styleId="Caption">
    <w:name w:val="caption"/>
    <w:basedOn w:val="Normal"/>
    <w:next w:val="Normal"/>
    <w:qFormat/>
    <w:rsid w:val="00510178"/>
    <w:rPr>
      <w:rFonts w:ascii="Times New Roman" w:eastAsia="Times New Roman" w:hAnsi="Times New Roman" w:cs="Times New Roman"/>
      <w:snapToGrid w:val="0"/>
      <w:color w:val="auto"/>
      <w:szCs w:val="20"/>
      <w:lang w:val="en-US"/>
    </w:rPr>
  </w:style>
  <w:style w:type="character" w:styleId="CommentReference">
    <w:name w:val="annotation reference"/>
    <w:basedOn w:val="DefaultParagraphFont"/>
    <w:uiPriority w:val="99"/>
    <w:semiHidden/>
    <w:unhideWhenUsed/>
    <w:rsid w:val="00D85EE0"/>
    <w:rPr>
      <w:sz w:val="16"/>
      <w:szCs w:val="16"/>
    </w:rPr>
  </w:style>
  <w:style w:type="paragraph" w:styleId="CommentText">
    <w:name w:val="annotation text"/>
    <w:basedOn w:val="Normal"/>
    <w:link w:val="CommentTextChar"/>
    <w:uiPriority w:val="99"/>
    <w:semiHidden/>
    <w:unhideWhenUsed/>
    <w:rsid w:val="00D85EE0"/>
    <w:rPr>
      <w:sz w:val="20"/>
      <w:szCs w:val="20"/>
    </w:rPr>
  </w:style>
  <w:style w:type="character" w:customStyle="1" w:styleId="CommentTextChar">
    <w:name w:val="Comment Text Char"/>
    <w:basedOn w:val="DefaultParagraphFont"/>
    <w:link w:val="CommentText"/>
    <w:uiPriority w:val="99"/>
    <w:semiHidden/>
    <w:rsid w:val="00D85EE0"/>
    <w:rPr>
      <w:color w:val="000000"/>
      <w:sz w:val="20"/>
      <w:szCs w:val="20"/>
    </w:rPr>
  </w:style>
  <w:style w:type="paragraph" w:styleId="CommentSubject">
    <w:name w:val="annotation subject"/>
    <w:basedOn w:val="CommentText"/>
    <w:next w:val="CommentText"/>
    <w:link w:val="CommentSubjectChar"/>
    <w:uiPriority w:val="99"/>
    <w:semiHidden/>
    <w:unhideWhenUsed/>
    <w:rsid w:val="00D85EE0"/>
    <w:rPr>
      <w:b/>
      <w:bCs/>
    </w:rPr>
  </w:style>
  <w:style w:type="character" w:customStyle="1" w:styleId="CommentSubjectChar">
    <w:name w:val="Comment Subject Char"/>
    <w:basedOn w:val="CommentTextChar"/>
    <w:link w:val="CommentSubject"/>
    <w:uiPriority w:val="99"/>
    <w:semiHidden/>
    <w:rsid w:val="00D85EE0"/>
    <w:rPr>
      <w:b/>
      <w:bCs/>
      <w:color w:val="000000"/>
      <w:sz w:val="20"/>
      <w:szCs w:val="20"/>
    </w:rPr>
  </w:style>
  <w:style w:type="paragraph" w:styleId="TOCHeading">
    <w:name w:val="TOC Heading"/>
    <w:basedOn w:val="Heading1"/>
    <w:next w:val="Normal"/>
    <w:uiPriority w:val="39"/>
    <w:unhideWhenUsed/>
    <w:qFormat/>
    <w:rsid w:val="00550770"/>
    <w:pPr>
      <w:widowControl/>
      <w:spacing w:line="276" w:lineRule="auto"/>
      <w:outlineLvl w:val="9"/>
    </w:pPr>
    <w:rPr>
      <w:lang w:val="en-US" w:eastAsia="ja-JP"/>
    </w:rPr>
  </w:style>
  <w:style w:type="paragraph" w:styleId="TOC3">
    <w:name w:val="toc 3"/>
    <w:basedOn w:val="Normal"/>
    <w:next w:val="Normal"/>
    <w:autoRedefine/>
    <w:uiPriority w:val="39"/>
    <w:unhideWhenUsed/>
    <w:rsid w:val="00550770"/>
    <w:pPr>
      <w:spacing w:after="100"/>
      <w:ind w:left="480"/>
    </w:pPr>
  </w:style>
  <w:style w:type="character" w:customStyle="1" w:styleId="Heading3Char">
    <w:name w:val="Heading 3 Char"/>
    <w:basedOn w:val="DefaultParagraphFont"/>
    <w:link w:val="Heading3"/>
    <w:uiPriority w:val="9"/>
    <w:semiHidden/>
    <w:rsid w:val="00A11B9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16C6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9D0072"/>
    <w:pPr>
      <w:widowControl/>
    </w:pPr>
    <w:rPr>
      <w:color w:val="000000"/>
    </w:rPr>
  </w:style>
  <w:style w:type="character" w:styleId="FollowedHyperlink">
    <w:name w:val="FollowedHyperlink"/>
    <w:basedOn w:val="DefaultParagraphFont"/>
    <w:uiPriority w:val="99"/>
    <w:semiHidden/>
    <w:unhideWhenUsed/>
    <w:rsid w:val="009D0072"/>
    <w:rPr>
      <w:color w:val="800080" w:themeColor="followedHyperlink"/>
      <w:u w:val="single"/>
    </w:rPr>
  </w:style>
  <w:style w:type="paragraph" w:styleId="TOC4">
    <w:name w:val="toc 4"/>
    <w:basedOn w:val="Normal"/>
    <w:next w:val="Normal"/>
    <w:autoRedefine/>
    <w:uiPriority w:val="39"/>
    <w:semiHidden/>
    <w:unhideWhenUsed/>
    <w:rsid w:val="000C42D5"/>
    <w:pPr>
      <w:spacing w:after="100"/>
      <w:ind w:left="720"/>
    </w:pPr>
  </w:style>
  <w:style w:type="paragraph" w:customStyle="1" w:styleId="MTNotetoDraft">
    <w:name w:val="MTNotetoDraft"/>
    <w:basedOn w:val="Normal"/>
    <w:rsid w:val="000C42D5"/>
    <w:pPr>
      <w:widowControl/>
      <w:spacing w:after="240"/>
      <w:jc w:val="both"/>
    </w:pPr>
    <w:rPr>
      <w:rFonts w:ascii="Times New Roman Bold" w:eastAsia="MS Mincho" w:hAnsi="Times New Roman Bold" w:cs="Times New Roman"/>
      <w:b/>
      <w:noProof/>
      <w:color w:val="auto"/>
      <w:szCs w:val="20"/>
      <w:lang w:val="en-CA"/>
    </w:rPr>
  </w:style>
  <w:style w:type="character" w:customStyle="1" w:styleId="mtbold">
    <w:name w:val="mtbold"/>
    <w:rsid w:val="00EB4E21"/>
    <w:rPr>
      <w:rFonts w:ascii="Times New Roman Bold" w:hAnsi="Times New Roman Bold"/>
      <w:b/>
      <w:sz w:val="24"/>
    </w:rPr>
  </w:style>
  <w:style w:type="paragraph" w:customStyle="1" w:styleId="CharChar5CaracterCaracterCharChar">
    <w:name w:val="Char Char5 Caracter Caracter Char Char"/>
    <w:basedOn w:val="Normal"/>
    <w:rsid w:val="006965B5"/>
    <w:pPr>
      <w:widowControl/>
      <w:spacing w:after="160" w:line="240" w:lineRule="exact"/>
    </w:pPr>
    <w:rPr>
      <w:rFonts w:ascii="Tahoma" w:eastAsia="Times New Roman" w:hAnsi="Tahoma" w:cs="Times New Roman"/>
      <w:color w:val="auto"/>
      <w:sz w:val="20"/>
      <w:szCs w:val="20"/>
      <w:lang w:val="en-US"/>
    </w:rPr>
  </w:style>
  <w:style w:type="paragraph" w:customStyle="1" w:styleId="CharChar5CaracterCaracterCharChar0">
    <w:name w:val="Char Char5 Caracter Caracter Char Char"/>
    <w:basedOn w:val="Normal"/>
    <w:rsid w:val="00360769"/>
    <w:pPr>
      <w:widowControl/>
      <w:spacing w:after="160" w:line="240" w:lineRule="exact"/>
    </w:pPr>
    <w:rPr>
      <w:rFonts w:ascii="Tahoma" w:eastAsia="Times New Roman" w:hAnsi="Tahoma"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6958">
      <w:bodyDiv w:val="1"/>
      <w:marLeft w:val="0"/>
      <w:marRight w:val="0"/>
      <w:marTop w:val="0"/>
      <w:marBottom w:val="0"/>
      <w:divBdr>
        <w:top w:val="none" w:sz="0" w:space="0" w:color="auto"/>
        <w:left w:val="none" w:sz="0" w:space="0" w:color="auto"/>
        <w:bottom w:val="none" w:sz="0" w:space="0" w:color="auto"/>
        <w:right w:val="none" w:sz="0" w:space="0" w:color="auto"/>
      </w:divBdr>
    </w:div>
    <w:div w:id="127705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anrceti.m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anrceti.md/files/filefield/HCA_piata3_15.07.10.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469A-DDC2-4FBC-8AD1-1E4CA7DD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9895</Words>
  <Characters>56404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Analiza pietei 8</vt:lpstr>
    </vt:vector>
  </TitlesOfParts>
  <Company/>
  <LinksUpToDate>false</LinksUpToDate>
  <CharactersWithSpaces>66167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pietei 8</dc:title>
  <dc:creator>Mihail PASCAL</dc:creator>
  <cp:lastModifiedBy>Sergiu Copacean</cp:lastModifiedBy>
  <cp:revision>3</cp:revision>
  <cp:lastPrinted>2017-08-21T08:44:00Z</cp:lastPrinted>
  <dcterms:created xsi:type="dcterms:W3CDTF">2017-08-21T08:44:00Z</dcterms:created>
  <dcterms:modified xsi:type="dcterms:W3CDTF">2017-08-21T08:45:00Z</dcterms:modified>
</cp:coreProperties>
</file>